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0B42" w:rsidRPr="00BE3E1D" w:rsidRDefault="004F0B42" w:rsidP="004F0B42">
      <w:pPr>
        <w:shd w:val="clear" w:color="auto" w:fill="FFFFFF"/>
        <w:spacing w:after="0" w:line="240" w:lineRule="auto"/>
        <w:rPr>
          <w:rFonts w:ascii="Arial" w:hAnsi="Arial" w:cs="Arial"/>
          <w:b/>
          <w:bCs/>
          <w:color w:val="000000"/>
          <w:sz w:val="24"/>
          <w:szCs w:val="24"/>
        </w:rPr>
      </w:pPr>
      <w:r w:rsidRPr="00BE3E1D">
        <w:rPr>
          <w:rFonts w:ascii="Arial" w:eastAsia="Times New Roman" w:hAnsi="Arial" w:cs="Arial"/>
          <w:b/>
          <w:sz w:val="24"/>
          <w:szCs w:val="24"/>
          <w:lang w:val="es-ES_tradnl" w:eastAsia="es-ES"/>
        </w:rPr>
        <w:t xml:space="preserve">EXPEDIENTE </w:t>
      </w:r>
      <w:r w:rsidR="00BE3E1D">
        <w:rPr>
          <w:rFonts w:ascii="Arial" w:eastAsia="Times New Roman" w:hAnsi="Arial" w:cs="Arial"/>
          <w:b/>
          <w:sz w:val="24"/>
          <w:szCs w:val="24"/>
          <w:lang w:val="es-ES_tradnl" w:eastAsia="es-ES"/>
        </w:rPr>
        <w:t xml:space="preserve">Nº </w:t>
      </w:r>
      <w:r w:rsidR="0053594D">
        <w:rPr>
          <w:rFonts w:ascii="Arial" w:hAnsi="Arial" w:cs="Arial"/>
          <w:b/>
          <w:bCs/>
          <w:color w:val="000000"/>
          <w:sz w:val="24"/>
          <w:szCs w:val="24"/>
        </w:rPr>
        <w:t>1492/</w:t>
      </w:r>
      <w:r w:rsidRPr="00BE3E1D">
        <w:rPr>
          <w:rFonts w:ascii="Arial" w:hAnsi="Arial" w:cs="Arial"/>
          <w:b/>
          <w:bCs/>
          <w:color w:val="000000"/>
          <w:sz w:val="24"/>
          <w:szCs w:val="24"/>
        </w:rPr>
        <w:t xml:space="preserve">2010.TC – </w:t>
      </w:r>
      <w:r w:rsidR="00BE3E1D">
        <w:rPr>
          <w:rFonts w:ascii="Arial" w:hAnsi="Arial" w:cs="Arial"/>
          <w:b/>
          <w:bCs/>
          <w:color w:val="000000"/>
          <w:sz w:val="24"/>
          <w:szCs w:val="24"/>
        </w:rPr>
        <w:t xml:space="preserve">Nº </w:t>
      </w:r>
      <w:r w:rsidR="0053594D">
        <w:rPr>
          <w:rFonts w:ascii="Arial" w:hAnsi="Arial" w:cs="Arial"/>
          <w:b/>
          <w:bCs/>
          <w:color w:val="000000"/>
          <w:sz w:val="24"/>
          <w:szCs w:val="24"/>
        </w:rPr>
        <w:t>164/</w:t>
      </w:r>
      <w:r w:rsidRPr="00BE3E1D">
        <w:rPr>
          <w:rFonts w:ascii="Arial" w:hAnsi="Arial" w:cs="Arial"/>
          <w:b/>
          <w:bCs/>
          <w:color w:val="000000"/>
          <w:sz w:val="24"/>
          <w:szCs w:val="24"/>
        </w:rPr>
        <w:t>2011.TC (Acumulados)</w:t>
      </w:r>
    </w:p>
    <w:p w:rsidR="00BE3E1D" w:rsidRPr="00BE3E1D" w:rsidRDefault="00BE3E1D" w:rsidP="00BE3E1D">
      <w:pPr>
        <w:shd w:val="clear" w:color="auto" w:fill="FFFFFF"/>
        <w:tabs>
          <w:tab w:val="left" w:pos="5595"/>
        </w:tabs>
        <w:spacing w:after="0" w:line="240" w:lineRule="auto"/>
        <w:rPr>
          <w:rFonts w:ascii="Arial" w:eastAsia="Times New Roman" w:hAnsi="Arial" w:cs="Arial"/>
          <w:b/>
          <w:sz w:val="24"/>
          <w:szCs w:val="24"/>
          <w:lang w:val="es-ES_tradnl" w:eastAsia="es-ES"/>
        </w:rPr>
      </w:pPr>
      <w:r w:rsidRPr="00BE3E1D">
        <w:rPr>
          <w:rFonts w:ascii="Arial" w:eastAsia="Times New Roman" w:hAnsi="Arial" w:cs="Arial"/>
          <w:b/>
          <w:sz w:val="24"/>
          <w:szCs w:val="24"/>
          <w:lang w:val="es-ES_tradnl" w:eastAsia="es-ES"/>
        </w:rPr>
        <w:tab/>
      </w:r>
    </w:p>
    <w:p w:rsidR="004F0B42" w:rsidRPr="00CE71B2" w:rsidRDefault="004F0B42" w:rsidP="004F0B4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  <w:r w:rsidRPr="00F23B0E">
        <w:rPr>
          <w:rFonts w:ascii="Arial" w:eastAsia="Times New Roman" w:hAnsi="Arial" w:cs="Arial"/>
          <w:sz w:val="24"/>
          <w:szCs w:val="24"/>
          <w:lang w:val="es-ES_tradnl" w:eastAsia="es-ES"/>
        </w:rPr>
        <w:t>Jesús María</w:t>
      </w:r>
      <w:r>
        <w:rPr>
          <w:rFonts w:ascii="Arial" w:eastAsia="Times New Roman" w:hAnsi="Arial" w:cs="Arial"/>
          <w:sz w:val="24"/>
          <w:szCs w:val="24"/>
          <w:lang w:val="es-ES_tradnl" w:eastAsia="es-ES"/>
        </w:rPr>
        <w:t>, veintiocho de setiembre</w:t>
      </w:r>
      <w:r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 </w:t>
      </w:r>
      <w:r>
        <w:rPr>
          <w:rFonts w:ascii="Arial" w:eastAsia="Times New Roman" w:hAnsi="Arial" w:cs="Arial"/>
          <w:sz w:val="24"/>
          <w:szCs w:val="24"/>
          <w:lang w:val="es-ES_tradnl" w:eastAsia="es-ES"/>
        </w:rPr>
        <w:t>del dos mil once</w:t>
      </w:r>
      <w:r w:rsidRPr="00F23B0E">
        <w:rPr>
          <w:rFonts w:ascii="Arial" w:eastAsia="Times New Roman" w:hAnsi="Arial" w:cs="Arial"/>
          <w:sz w:val="24"/>
          <w:szCs w:val="24"/>
          <w:lang w:val="es-ES_tradnl" w:eastAsia="es-ES"/>
        </w:rPr>
        <w:t>.</w:t>
      </w:r>
    </w:p>
    <w:p w:rsidR="004F0B42" w:rsidRPr="00F23B0E" w:rsidRDefault="004F0B42" w:rsidP="004F0B42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sz w:val="24"/>
          <w:szCs w:val="24"/>
          <w:lang w:val="es-ES_tradnl" w:eastAsia="es-ES"/>
        </w:rPr>
      </w:pPr>
    </w:p>
    <w:p w:rsidR="004F0B42" w:rsidRPr="00F23B0E" w:rsidRDefault="004F0B42" w:rsidP="004F0B42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val="es-ES_tradnl" w:eastAsia="es-ES"/>
        </w:rPr>
      </w:pPr>
      <w:r w:rsidRPr="00F23B0E">
        <w:rPr>
          <w:rFonts w:ascii="Arial" w:eastAsia="Times New Roman" w:hAnsi="Arial" w:cs="Arial"/>
          <w:sz w:val="24"/>
          <w:szCs w:val="24"/>
          <w:lang w:val="es-ES_tradnl" w:eastAsia="es-ES"/>
        </w:rPr>
        <w:t xml:space="preserve">De acuerdo al estado del procedimiento y a lo solicitado por las partes intervinientes en el siguiente procedimiento administrativo, de conformidad con lo establecido en los artículos 182 y 183 de la Ley del Procedimiento Administrativo General- Ley 27444, este Tribunal ha dispuesto: </w:t>
      </w:r>
      <w:r w:rsidRPr="00F23B0E">
        <w:rPr>
          <w:rFonts w:ascii="Arial" w:eastAsia="Times New Roman" w:hAnsi="Arial" w:cs="Arial"/>
          <w:b/>
          <w:sz w:val="24"/>
          <w:szCs w:val="24"/>
          <w:lang w:val="es-ES_tradnl" w:eastAsia="es-ES"/>
        </w:rPr>
        <w:t>Señalar Audiencia Pública</w:t>
      </w:r>
      <w:r w:rsidRPr="00F23B0E">
        <w:rPr>
          <w:rFonts w:ascii="Arial" w:eastAsia="Times New Roman" w:hAnsi="Arial" w:cs="Arial"/>
          <w:sz w:val="24"/>
          <w:szCs w:val="24"/>
          <w:lang w:val="es-ES_tradnl" w:eastAsia="es-ES"/>
        </w:rPr>
        <w:t xml:space="preserve"> en la fecha y hora que a continuación se detallan, a fin que las partes realicen sus respectivos informes técnico y/o legal correspondientes por el término de diez (10) minutos cada una: </w:t>
      </w:r>
    </w:p>
    <w:p w:rsidR="004F0B42" w:rsidRPr="00F23B0E" w:rsidRDefault="004F0B42" w:rsidP="004F0B42">
      <w:pPr>
        <w:spacing w:after="0" w:line="240" w:lineRule="auto"/>
        <w:rPr>
          <w:rFonts w:ascii="Arial Narrow" w:eastAsia="Times New Roman" w:hAnsi="Arial Narrow" w:cs="Arial"/>
          <w:sz w:val="20"/>
          <w:szCs w:val="20"/>
          <w:lang w:val="es-ES_tradnl" w:eastAsia="es-ES"/>
        </w:rPr>
      </w:pPr>
    </w:p>
    <w:tbl>
      <w:tblPr>
        <w:tblW w:w="8520" w:type="dxa"/>
        <w:jc w:val="center"/>
        <w:tblInd w:w="12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CC00"/>
        <w:tblCellMar>
          <w:left w:w="70" w:type="dxa"/>
          <w:right w:w="70" w:type="dxa"/>
        </w:tblCellMar>
        <w:tblLook w:val="04A0"/>
      </w:tblPr>
      <w:tblGrid>
        <w:gridCol w:w="3668"/>
        <w:gridCol w:w="1805"/>
        <w:gridCol w:w="3047"/>
      </w:tblGrid>
      <w:tr w:rsidR="004F0B42" w:rsidRPr="00F23B0E" w:rsidTr="001B6124">
        <w:trPr>
          <w:trHeight w:val="299"/>
          <w:jc w:val="center"/>
        </w:trPr>
        <w:tc>
          <w:tcPr>
            <w:tcW w:w="8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4F0B42" w:rsidRPr="00F23B0E" w:rsidRDefault="004F0B42" w:rsidP="001B6124">
            <w:pPr>
              <w:spacing w:after="0" w:line="240" w:lineRule="auto"/>
              <w:ind w:left="426"/>
              <w:jc w:val="center"/>
              <w:rPr>
                <w:rFonts w:ascii="Arial" w:eastAsia="Times New Roman" w:hAnsi="Arial" w:cs="Arial"/>
                <w:sz w:val="16"/>
                <w:lang w:val="es-ES_tradnl" w:eastAsia="es-ES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  <w:t>PRIMERA</w:t>
            </w:r>
            <w:r w:rsidRPr="00F23B0E"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  <w:t xml:space="preserve"> SALA</w:t>
            </w:r>
          </w:p>
        </w:tc>
      </w:tr>
      <w:tr w:rsidR="004F0B42" w:rsidRPr="00F23B0E" w:rsidTr="001B6124">
        <w:trPr>
          <w:trHeight w:val="133"/>
          <w:jc w:val="center"/>
        </w:trPr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0B42" w:rsidRPr="00F23B0E" w:rsidRDefault="004F0B42" w:rsidP="001B6124">
            <w:pPr>
              <w:spacing w:after="0" w:line="133" w:lineRule="atLeast"/>
              <w:jc w:val="center"/>
              <w:rPr>
                <w:rFonts w:ascii="Arial" w:eastAsia="Times New Roman" w:hAnsi="Arial" w:cs="Arial"/>
                <w:b/>
                <w:sz w:val="16"/>
                <w:lang w:val="es-ES_tradnl" w:eastAsia="es-ES"/>
              </w:rPr>
            </w:pPr>
            <w:r w:rsidRPr="00F23B0E"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  <w:t>Expediente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0B42" w:rsidRPr="00F23B0E" w:rsidRDefault="004F0B42" w:rsidP="001B6124">
            <w:pPr>
              <w:spacing w:after="0" w:line="133" w:lineRule="atLeast"/>
              <w:jc w:val="center"/>
              <w:rPr>
                <w:rFonts w:ascii="Arial" w:eastAsia="Times New Roman" w:hAnsi="Arial" w:cs="Arial"/>
                <w:b/>
                <w:sz w:val="16"/>
                <w:lang w:val="es-ES_tradnl" w:eastAsia="es-ES"/>
              </w:rPr>
            </w:pPr>
            <w:r w:rsidRPr="00F23B0E"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  <w:t>Fecha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0B42" w:rsidRPr="00F23B0E" w:rsidRDefault="004F0B42" w:rsidP="001B6124">
            <w:pPr>
              <w:spacing w:after="0" w:line="133" w:lineRule="atLeast"/>
              <w:jc w:val="center"/>
              <w:rPr>
                <w:rFonts w:ascii="Arial" w:eastAsia="Times New Roman" w:hAnsi="Arial" w:cs="Arial"/>
                <w:b/>
                <w:sz w:val="16"/>
                <w:lang w:val="es-ES_tradnl" w:eastAsia="es-ES"/>
              </w:rPr>
            </w:pPr>
            <w:r w:rsidRPr="00F23B0E"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  <w:t>Hora</w:t>
            </w:r>
          </w:p>
        </w:tc>
      </w:tr>
      <w:tr w:rsidR="004F0B42" w:rsidRPr="00F23B0E" w:rsidTr="001B6124">
        <w:trPr>
          <w:trHeight w:val="133"/>
          <w:jc w:val="center"/>
        </w:trPr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3E1D" w:rsidRPr="0053594D" w:rsidRDefault="00BE3E1D" w:rsidP="00BE3E1D">
            <w:pPr>
              <w:shd w:val="clear" w:color="auto" w:fill="FFFFFF"/>
              <w:spacing w:after="0" w:line="240" w:lineRule="auto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53594D">
              <w:rPr>
                <w:rFonts w:ascii="Arial" w:hAnsi="Arial" w:cs="Arial"/>
                <w:bCs/>
                <w:color w:val="000000"/>
                <w:sz w:val="24"/>
                <w:szCs w:val="24"/>
              </w:rPr>
              <w:t xml:space="preserve">Nº </w:t>
            </w:r>
            <w:r w:rsidR="0053594D" w:rsidRPr="0053594D">
              <w:rPr>
                <w:rFonts w:ascii="Arial" w:hAnsi="Arial" w:cs="Arial"/>
                <w:bCs/>
                <w:color w:val="000000"/>
                <w:sz w:val="24"/>
                <w:szCs w:val="24"/>
              </w:rPr>
              <w:t>1492/</w:t>
            </w:r>
            <w:r w:rsidRPr="0053594D">
              <w:rPr>
                <w:rFonts w:ascii="Arial" w:hAnsi="Arial" w:cs="Arial"/>
                <w:bCs/>
                <w:color w:val="000000"/>
                <w:sz w:val="24"/>
                <w:szCs w:val="24"/>
              </w:rPr>
              <w:t xml:space="preserve">2010.TC –                  Nº </w:t>
            </w:r>
            <w:r w:rsidR="0053594D" w:rsidRPr="0053594D">
              <w:rPr>
                <w:rFonts w:ascii="Arial" w:hAnsi="Arial" w:cs="Arial"/>
                <w:bCs/>
                <w:color w:val="000000"/>
                <w:sz w:val="24"/>
                <w:szCs w:val="24"/>
              </w:rPr>
              <w:t>164/</w:t>
            </w:r>
            <w:r w:rsidRPr="0053594D">
              <w:rPr>
                <w:rFonts w:ascii="Arial" w:hAnsi="Arial" w:cs="Arial"/>
                <w:bCs/>
                <w:color w:val="000000"/>
                <w:sz w:val="24"/>
                <w:szCs w:val="24"/>
              </w:rPr>
              <w:t>2011.TC (Acumulados)</w:t>
            </w:r>
          </w:p>
          <w:p w:rsidR="004F0B42" w:rsidRPr="0053594D" w:rsidRDefault="004F0B42" w:rsidP="001B6124">
            <w:pPr>
              <w:spacing w:after="0" w:line="133" w:lineRule="atLeast"/>
              <w:jc w:val="center"/>
              <w:rPr>
                <w:rFonts w:ascii="Arial" w:eastAsia="Times New Roman" w:hAnsi="Arial" w:cs="Arial"/>
                <w:sz w:val="16"/>
                <w:lang w:val="es-ES_tradnl" w:eastAsia="es-ES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0B42" w:rsidRPr="0053594D" w:rsidRDefault="004F0B42" w:rsidP="001B6124">
            <w:pPr>
              <w:spacing w:after="0" w:line="133" w:lineRule="atLeast"/>
              <w:jc w:val="center"/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</w:pPr>
            <w:r w:rsidRPr="0053594D"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>06.10.2011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0B42" w:rsidRPr="00F23B0E" w:rsidRDefault="00BE3E1D" w:rsidP="001B6124">
            <w:pPr>
              <w:spacing w:after="0" w:line="133" w:lineRule="atLeast"/>
              <w:jc w:val="center"/>
              <w:rPr>
                <w:rFonts w:ascii="Arial" w:eastAsia="Times New Roman" w:hAnsi="Arial" w:cs="Arial"/>
                <w:sz w:val="16"/>
                <w:lang w:val="es-ES_tradnl" w:eastAsia="es-E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>10:3</w:t>
            </w:r>
            <w:r w:rsidR="004F0B42"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>0</w:t>
            </w:r>
            <w:r w:rsidR="004F0B42" w:rsidRPr="00F23B0E"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 xml:space="preserve"> horas</w:t>
            </w:r>
          </w:p>
        </w:tc>
      </w:tr>
    </w:tbl>
    <w:p w:rsidR="004F0B42" w:rsidRPr="00D35A77" w:rsidRDefault="004F0B42" w:rsidP="004F0B42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bCs/>
          <w:color w:val="000000" w:themeColor="text1"/>
          <w:sz w:val="24"/>
          <w:szCs w:val="24"/>
          <w:lang w:val="es-ES_tradnl" w:eastAsia="es-ES"/>
        </w:rPr>
      </w:pPr>
    </w:p>
    <w:p w:rsidR="004F0B42" w:rsidRPr="00D35A77" w:rsidRDefault="004F0B42" w:rsidP="004F0B42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444444"/>
          <w:sz w:val="24"/>
          <w:szCs w:val="24"/>
          <w:lang w:val="es-ES_tradnl" w:eastAsia="es-ES"/>
        </w:rPr>
      </w:pPr>
    </w:p>
    <w:p w:rsidR="004F0B42" w:rsidRPr="00D35A77" w:rsidRDefault="004F0B42" w:rsidP="004F0B42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bCs/>
          <w:color w:val="000000" w:themeColor="text1"/>
          <w:sz w:val="24"/>
          <w:szCs w:val="24"/>
          <w:lang w:val="es-ES_tradnl" w:eastAsia="es-ES"/>
        </w:rPr>
      </w:pPr>
      <w:r w:rsidRPr="00D35A77">
        <w:rPr>
          <w:rFonts w:ascii="Arial" w:eastAsia="Times New Roman" w:hAnsi="Arial" w:cs="Arial"/>
          <w:bCs/>
          <w:color w:val="000000" w:themeColor="text1"/>
          <w:sz w:val="24"/>
          <w:szCs w:val="24"/>
          <w:lang w:val="es-ES_tradnl" w:eastAsia="es-ES"/>
        </w:rPr>
        <w:t>Lo que se notifica en aplicación a lo dispuesto de la Directiva Nº 09-2010/OSCE-PRE aprobada por Resolución Nº 505-2010-OSCE/PRE del 05.10.2010, publicada en el Diario Oficial “El Peruano” el 12.10.2010.</w:t>
      </w:r>
    </w:p>
    <w:p w:rsidR="004F0B42" w:rsidRPr="00D35A77" w:rsidRDefault="004F0B42" w:rsidP="004F0B42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bCs/>
          <w:color w:val="000000" w:themeColor="text1"/>
          <w:sz w:val="24"/>
          <w:szCs w:val="24"/>
          <w:lang w:val="es-ES_tradnl" w:eastAsia="es-ES"/>
        </w:rPr>
      </w:pPr>
    </w:p>
    <w:p w:rsidR="004F0B42" w:rsidRPr="00D35A77" w:rsidRDefault="004F0B42" w:rsidP="004F0B42">
      <w:pPr>
        <w:shd w:val="clear" w:color="auto" w:fill="FFFFFF"/>
        <w:spacing w:after="240" w:line="240" w:lineRule="auto"/>
        <w:jc w:val="both"/>
        <w:rPr>
          <w:rFonts w:ascii="Arial Narrow" w:eastAsia="Times New Roman" w:hAnsi="Arial Narrow" w:cs="Times New Roman"/>
          <w:color w:val="000000"/>
          <w:sz w:val="24"/>
          <w:szCs w:val="24"/>
          <w:lang w:val="es-ES_tradnl" w:eastAsia="es-ES"/>
        </w:rPr>
      </w:pPr>
      <w:r w:rsidRPr="00D35A77">
        <w:rPr>
          <w:rFonts w:ascii="Arial Narrow" w:eastAsia="Times New Roman" w:hAnsi="Arial Narrow" w:cs="Times New Roman"/>
          <w:color w:val="000000"/>
          <w:sz w:val="24"/>
          <w:szCs w:val="24"/>
          <w:lang w:val="es-ES_tradnl" w:eastAsia="es-ES"/>
        </w:rPr>
        <w:t>(*) Deberán acercarse a la Entidad 15 minutos antes de empezar la audiencia.</w:t>
      </w:r>
    </w:p>
    <w:p w:rsidR="004F0B42" w:rsidRPr="00D35A77" w:rsidRDefault="004F0B42" w:rsidP="004F0B42">
      <w:pPr>
        <w:shd w:val="clear" w:color="auto" w:fill="FFFFFF"/>
        <w:spacing w:line="240" w:lineRule="auto"/>
        <w:ind w:left="561" w:hanging="426"/>
        <w:jc w:val="both"/>
        <w:rPr>
          <w:rFonts w:ascii="Arial Narrow" w:eastAsia="Times New Roman" w:hAnsi="Arial Narrow" w:cs="Times New Roman"/>
          <w:i/>
          <w:color w:val="000000"/>
          <w:sz w:val="24"/>
          <w:szCs w:val="24"/>
          <w:lang w:val="es-ES_tradnl" w:eastAsia="es-ES"/>
        </w:rPr>
      </w:pPr>
      <w:r w:rsidRPr="00D35A77">
        <w:rPr>
          <w:rFonts w:ascii="Arial Narrow" w:eastAsia="Times New Roman" w:hAnsi="Arial Narrow" w:cs="Times New Roman"/>
          <w:i/>
          <w:color w:val="000000"/>
          <w:sz w:val="24"/>
          <w:szCs w:val="24"/>
          <w:lang w:val="es-ES_tradnl" w:eastAsia="es-ES"/>
        </w:rPr>
        <w:t xml:space="preserve">Nota: En caso de necesitar el uso de Proyector de Transparencia, Proyector Multimedia y </w:t>
      </w:r>
      <w:proofErr w:type="spellStart"/>
      <w:r w:rsidRPr="00D35A77">
        <w:rPr>
          <w:rFonts w:ascii="Arial Narrow" w:eastAsia="Times New Roman" w:hAnsi="Arial Narrow" w:cs="Times New Roman"/>
          <w:i/>
          <w:color w:val="000000"/>
          <w:sz w:val="24"/>
          <w:szCs w:val="24"/>
          <w:lang w:val="es-ES_tradnl" w:eastAsia="es-ES"/>
        </w:rPr>
        <w:t>Ecran</w:t>
      </w:r>
      <w:proofErr w:type="spellEnd"/>
      <w:r w:rsidRPr="00D35A77">
        <w:rPr>
          <w:rFonts w:ascii="Arial Narrow" w:eastAsia="Times New Roman" w:hAnsi="Arial Narrow" w:cs="Times New Roman"/>
          <w:i/>
          <w:color w:val="000000"/>
          <w:sz w:val="24"/>
          <w:szCs w:val="24"/>
          <w:lang w:val="es-ES_tradnl" w:eastAsia="es-ES"/>
        </w:rPr>
        <w:t xml:space="preserve"> deberá solicitarse con 48 horas de anticipación. Asimismo, en caso que el material de exposición a utilizar haya sido formateado en el Programa “POWER POINT”, el </w:t>
      </w:r>
      <w:proofErr w:type="gramStart"/>
      <w:r w:rsidRPr="00D35A77">
        <w:rPr>
          <w:rFonts w:ascii="Arial Narrow" w:eastAsia="Times New Roman" w:hAnsi="Arial Narrow" w:cs="Times New Roman"/>
          <w:i/>
          <w:color w:val="000000"/>
          <w:sz w:val="24"/>
          <w:szCs w:val="24"/>
          <w:lang w:val="es-ES_tradnl" w:eastAsia="es-ES"/>
        </w:rPr>
        <w:t>expositor</w:t>
      </w:r>
      <w:proofErr w:type="gramEnd"/>
      <w:r w:rsidRPr="00D35A77">
        <w:rPr>
          <w:rFonts w:ascii="Arial Narrow" w:eastAsia="Times New Roman" w:hAnsi="Arial Narrow" w:cs="Times New Roman"/>
          <w:i/>
          <w:color w:val="000000"/>
          <w:sz w:val="24"/>
          <w:szCs w:val="24"/>
          <w:lang w:val="es-ES_tradnl" w:eastAsia="es-ES"/>
        </w:rPr>
        <w:t xml:space="preserve"> deberá traer consigo su respectiva computadora portátil (LAP TOP).</w:t>
      </w:r>
    </w:p>
    <w:p w:rsidR="004F0B42" w:rsidRPr="00D35A77" w:rsidRDefault="004F0B42" w:rsidP="004F0B42">
      <w:pPr>
        <w:rPr>
          <w:lang w:val="es-ES_tradnl"/>
        </w:rPr>
      </w:pPr>
    </w:p>
    <w:p w:rsidR="004F0B42" w:rsidRPr="00590BCA" w:rsidRDefault="004F0B42" w:rsidP="004F0B42">
      <w:pPr>
        <w:rPr>
          <w:lang w:val="es-ES_tradnl"/>
        </w:rPr>
      </w:pPr>
    </w:p>
    <w:p w:rsidR="004F0B42" w:rsidRPr="00A74BCD" w:rsidRDefault="004F0B42" w:rsidP="004F0B42">
      <w:pPr>
        <w:rPr>
          <w:lang w:val="es-ES_tradnl"/>
        </w:rPr>
      </w:pPr>
    </w:p>
    <w:p w:rsidR="004F0B42" w:rsidRPr="00D769BF" w:rsidRDefault="004F0B42" w:rsidP="004F0B42">
      <w:pPr>
        <w:rPr>
          <w:lang w:val="es-ES_tradnl"/>
        </w:rPr>
      </w:pPr>
    </w:p>
    <w:p w:rsidR="004F0B42" w:rsidRPr="00D2621D" w:rsidRDefault="004F0B42" w:rsidP="004F0B42">
      <w:pPr>
        <w:rPr>
          <w:lang w:val="es-ES_tradnl"/>
        </w:rPr>
      </w:pPr>
    </w:p>
    <w:p w:rsidR="00F66DE9" w:rsidRDefault="00F66DE9"/>
    <w:sectPr w:rsidR="00F66DE9" w:rsidSect="008458C8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4F0B42"/>
    <w:rsid w:val="004F0B42"/>
    <w:rsid w:val="0053594D"/>
    <w:rsid w:val="00BE3E1D"/>
    <w:rsid w:val="00F66D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0B42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209</Words>
  <Characters>1154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mdelgado</dc:creator>
  <cp:keywords/>
  <dc:description/>
  <cp:lastModifiedBy>mdelgado</cp:lastModifiedBy>
  <cp:revision>2</cp:revision>
  <dcterms:created xsi:type="dcterms:W3CDTF">2011-09-28T21:32:00Z</dcterms:created>
  <dcterms:modified xsi:type="dcterms:W3CDTF">2011-09-28T21:50:00Z</dcterms:modified>
</cp:coreProperties>
</file>