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0B5D" w:rsidRDefault="005F0B5D" w:rsidP="005F0B5D">
      <w:pPr>
        <w:shd w:val="clear" w:color="auto" w:fill="FFFFFF"/>
        <w:spacing w:before="0" w:beforeAutospacing="0" w:after="0" w:afterAutospacing="0" w:line="240" w:lineRule="auto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  <w:r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EXPEDIENTE Nº 466/2010.</w:t>
      </w:r>
      <w:r w:rsidRPr="00F23B0E"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TC</w:t>
      </w:r>
      <w:r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.</w:t>
      </w:r>
    </w:p>
    <w:p w:rsidR="005F0B5D" w:rsidRPr="00F23B0E" w:rsidRDefault="005F0B5D" w:rsidP="005F0B5D">
      <w:pPr>
        <w:shd w:val="clear" w:color="auto" w:fill="FFFFFF"/>
        <w:spacing w:before="0" w:beforeAutospacing="0" w:after="0" w:afterAutospacing="0" w:line="240" w:lineRule="auto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</w:p>
    <w:p w:rsidR="005F0B5D" w:rsidRPr="00CE71B2" w:rsidRDefault="005F0B5D" w:rsidP="005F0B5D">
      <w:pPr>
        <w:shd w:val="clear" w:color="auto" w:fill="FFFFFF"/>
        <w:spacing w:before="0" w:beforeAutospacing="0" w:after="0" w:afterAutospacing="0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Jesús María, </w:t>
      </w:r>
      <w:r>
        <w:rPr>
          <w:rFonts w:ascii="Arial" w:eastAsia="Times New Roman" w:hAnsi="Arial" w:cs="Arial"/>
          <w:sz w:val="24"/>
          <w:szCs w:val="24"/>
          <w:lang w:val="es-ES_tradnl" w:eastAsia="es-ES"/>
        </w:rPr>
        <w:t>once de agosto</w:t>
      </w:r>
      <w:r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val="es-ES_tradnl" w:eastAsia="es-ES"/>
        </w:rPr>
        <w:t>del dos mil diez</w:t>
      </w: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>.</w:t>
      </w:r>
    </w:p>
    <w:p w:rsidR="005F0B5D" w:rsidRPr="00F23B0E" w:rsidRDefault="005F0B5D" w:rsidP="005F0B5D">
      <w:pPr>
        <w:shd w:val="clear" w:color="auto" w:fill="FFFFFF"/>
        <w:spacing w:before="0" w:beforeAutospacing="0" w:after="0" w:afterAutospacing="0" w:line="240" w:lineRule="auto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</w:p>
    <w:p w:rsidR="005F0B5D" w:rsidRPr="00F23B0E" w:rsidRDefault="005F0B5D" w:rsidP="005F0B5D">
      <w:pPr>
        <w:spacing w:before="0" w:beforeAutospacing="0" w:after="0" w:afterAutospacing="0" w:line="240" w:lineRule="auto"/>
        <w:rPr>
          <w:rFonts w:ascii="Arial" w:eastAsia="Times New Roman" w:hAnsi="Arial" w:cs="Arial"/>
          <w:sz w:val="24"/>
          <w:szCs w:val="24"/>
          <w:lang w:val="es-ES_tradnl" w:eastAsia="es-ES"/>
        </w:rPr>
      </w:pP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De acuerdo al estado del procedimiento y a lo solicitado por las partes intervinientes en el siguiente procedimiento administrativo, de conformidad con lo establecido en los artículos 182 y 183 de la Ley del Procedimiento Administrativo General- Ley 27444, este Tribunal ha dispuesto: </w:t>
      </w:r>
      <w:r w:rsidRPr="00F23B0E"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Señalar Audiencia Pública</w:t>
      </w: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 en la fecha y hora que a continuación se detallan, a fin que las partes realicen sus respectivos informes técnico y/o legal correspondientes por el término de diez (10) minutos cada una: </w:t>
      </w:r>
    </w:p>
    <w:p w:rsidR="005F0B5D" w:rsidRPr="00F23B0E" w:rsidRDefault="005F0B5D" w:rsidP="005F0B5D">
      <w:pPr>
        <w:spacing w:before="0" w:beforeAutospacing="0" w:after="0" w:afterAutospacing="0" w:line="240" w:lineRule="auto"/>
        <w:rPr>
          <w:rFonts w:ascii="Arial Narrow" w:eastAsia="Times New Roman" w:hAnsi="Arial Narrow" w:cs="Arial"/>
          <w:sz w:val="20"/>
          <w:szCs w:val="20"/>
          <w:lang w:val="es-ES_tradnl" w:eastAsia="es-ES"/>
        </w:rPr>
      </w:pPr>
    </w:p>
    <w:tbl>
      <w:tblPr>
        <w:tblW w:w="8520" w:type="dxa"/>
        <w:jc w:val="center"/>
        <w:tblInd w:w="1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CC00"/>
        <w:tblCellMar>
          <w:left w:w="70" w:type="dxa"/>
          <w:right w:w="70" w:type="dxa"/>
        </w:tblCellMar>
        <w:tblLook w:val="04A0"/>
      </w:tblPr>
      <w:tblGrid>
        <w:gridCol w:w="3668"/>
        <w:gridCol w:w="1805"/>
        <w:gridCol w:w="3047"/>
      </w:tblGrid>
      <w:tr w:rsidR="005F0B5D" w:rsidRPr="00F23B0E" w:rsidTr="00BA5560">
        <w:trPr>
          <w:trHeight w:val="299"/>
          <w:jc w:val="center"/>
        </w:trPr>
        <w:tc>
          <w:tcPr>
            <w:tcW w:w="8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5F0B5D" w:rsidRPr="00F23B0E" w:rsidRDefault="005F0B5D" w:rsidP="00BA5560">
            <w:pPr>
              <w:spacing w:before="0" w:beforeAutospacing="0" w:after="0" w:afterAutospacing="0" w:line="240" w:lineRule="auto"/>
              <w:ind w:left="426"/>
              <w:jc w:val="center"/>
              <w:rPr>
                <w:rFonts w:ascii="Arial" w:eastAsia="Times New Roman" w:hAnsi="Arial" w:cs="Arial"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PRIMERA SALA</w:t>
            </w:r>
          </w:p>
        </w:tc>
      </w:tr>
      <w:tr w:rsidR="005F0B5D" w:rsidRPr="00F23B0E" w:rsidTr="00BA5560">
        <w:trPr>
          <w:trHeight w:val="133"/>
          <w:jc w:val="center"/>
        </w:trPr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0B5D" w:rsidRPr="00F23B0E" w:rsidRDefault="005F0B5D" w:rsidP="00BA5560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b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Expediente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F0B5D" w:rsidRPr="00F23B0E" w:rsidRDefault="005F0B5D" w:rsidP="00BA5560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b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Fecha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F0B5D" w:rsidRPr="00F23B0E" w:rsidRDefault="005F0B5D" w:rsidP="00BA5560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b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Hora</w:t>
            </w:r>
          </w:p>
        </w:tc>
      </w:tr>
      <w:tr w:rsidR="005F0B5D" w:rsidRPr="00F23B0E" w:rsidTr="00BA5560">
        <w:trPr>
          <w:trHeight w:val="133"/>
          <w:jc w:val="center"/>
        </w:trPr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0B5D" w:rsidRPr="00F23B0E" w:rsidRDefault="005F0B5D" w:rsidP="00BA5560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sz w:val="16"/>
                <w:lang w:val="es-ES_tradnl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466/2010.</w:t>
            </w:r>
            <w:r w:rsidRPr="00F23B0E"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TC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F0B5D" w:rsidRPr="007401FB" w:rsidRDefault="005F0B5D" w:rsidP="00BA5560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18.08.2010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F0B5D" w:rsidRPr="00F96BA2" w:rsidRDefault="005F0B5D" w:rsidP="00BA5560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15.30</w:t>
            </w:r>
            <w:r w:rsidRPr="00F23B0E"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 xml:space="preserve"> horas</w:t>
            </w:r>
          </w:p>
        </w:tc>
      </w:tr>
    </w:tbl>
    <w:p w:rsidR="005F0B5D" w:rsidRPr="00F23B0E" w:rsidRDefault="005F0B5D" w:rsidP="005F0B5D">
      <w:pPr>
        <w:spacing w:before="0" w:beforeAutospacing="0" w:after="0" w:afterAutospacing="0" w:line="240" w:lineRule="auto"/>
        <w:jc w:val="center"/>
        <w:rPr>
          <w:rFonts w:ascii="Arial" w:eastAsia="Times New Roman" w:hAnsi="Arial" w:cs="Arial"/>
          <w:sz w:val="24"/>
          <w:szCs w:val="24"/>
          <w:lang w:val="es-ES_tradnl" w:eastAsia="es-ES"/>
        </w:rPr>
      </w:pPr>
    </w:p>
    <w:p w:rsidR="005F0B5D" w:rsidRPr="0044149B" w:rsidRDefault="005F0B5D" w:rsidP="005F0B5D">
      <w:pPr>
        <w:rPr>
          <w:rFonts w:ascii="Arial" w:eastAsia="Times New Roman" w:hAnsi="Arial" w:cs="Arial"/>
          <w:sz w:val="24"/>
          <w:szCs w:val="24"/>
          <w:lang w:eastAsia="es-ES"/>
        </w:rPr>
      </w:pPr>
      <w:r w:rsidRPr="0044149B">
        <w:rPr>
          <w:rFonts w:ascii="Arial" w:eastAsia="Times New Roman" w:hAnsi="Arial" w:cs="Arial"/>
          <w:sz w:val="24"/>
          <w:szCs w:val="24"/>
          <w:lang w:eastAsia="es-ES"/>
        </w:rPr>
        <w:t>Lo que se notifica en aplicación a lo dispuesto en el acápite c) del literal B, numeral IV del la Directiva Nº 08-2009/OSCE-CD aprobada por Resolución Nº 391-2009-OSCE/PRE del 07.10.2009, publicada en el Diario Oficial “El Peruano” el 17.10.2009.</w:t>
      </w:r>
    </w:p>
    <w:p w:rsidR="005F0B5D" w:rsidRDefault="005F0B5D" w:rsidP="005F0B5D"/>
    <w:p w:rsidR="005F0B5D" w:rsidRDefault="005F0B5D" w:rsidP="005F0B5D"/>
    <w:p w:rsidR="00560772" w:rsidRDefault="00560772"/>
    <w:sectPr w:rsidR="00560772" w:rsidSect="00DE0206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F0B5D"/>
    <w:rsid w:val="00030EDE"/>
    <w:rsid w:val="00560772"/>
    <w:rsid w:val="005F0B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0B5D"/>
    <w:pPr>
      <w:spacing w:before="100" w:beforeAutospacing="1" w:after="100" w:afterAutospacing="1"/>
      <w:jc w:val="both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138</Words>
  <Characters>761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mdelgado</dc:creator>
  <cp:keywords/>
  <dc:description/>
  <cp:lastModifiedBy>mdelgado</cp:lastModifiedBy>
  <cp:revision>1</cp:revision>
  <dcterms:created xsi:type="dcterms:W3CDTF">2010-08-11T23:11:00Z</dcterms:created>
  <dcterms:modified xsi:type="dcterms:W3CDTF">2010-08-11T23:37:00Z</dcterms:modified>
</cp:coreProperties>
</file>