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C35" w:rsidRDefault="00437C35" w:rsidP="00437C35">
      <w:pPr>
        <w:tabs>
          <w:tab w:val="num" w:pos="2835"/>
        </w:tabs>
        <w:ind w:left="2835" w:right="1215" w:hanging="1701"/>
        <w:jc w:val="center"/>
        <w:rPr>
          <w:rFonts w:ascii="Tahoma" w:hAnsi="Tahoma" w:cs="Tahoma"/>
          <w:b/>
          <w:i/>
        </w:rPr>
      </w:pPr>
      <w:r>
        <w:rPr>
          <w:rFonts w:ascii="Tahoma" w:hAnsi="Tahoma" w:cs="Tahoma"/>
          <w:b/>
          <w:i/>
        </w:rPr>
        <w:t>Resolución Nº 2187.2007/TC-S2</w:t>
      </w:r>
    </w:p>
    <w:p w:rsidR="00437C35" w:rsidRDefault="00437C35" w:rsidP="00302BB2">
      <w:pPr>
        <w:tabs>
          <w:tab w:val="num" w:pos="2835"/>
        </w:tabs>
        <w:ind w:left="2835" w:right="1215" w:hanging="1701"/>
        <w:jc w:val="both"/>
        <w:rPr>
          <w:rFonts w:ascii="Tahoma" w:hAnsi="Tahoma" w:cs="Tahoma"/>
          <w:b/>
          <w:i/>
        </w:rPr>
      </w:pPr>
    </w:p>
    <w:p w:rsidR="00302BB2" w:rsidRPr="00C92275" w:rsidRDefault="00965E33" w:rsidP="00302BB2">
      <w:pPr>
        <w:tabs>
          <w:tab w:val="num" w:pos="2835"/>
        </w:tabs>
        <w:ind w:left="2835" w:right="1215" w:hanging="1701"/>
        <w:jc w:val="both"/>
        <w:rPr>
          <w:rFonts w:ascii="Tahoma" w:hAnsi="Tahoma" w:cs="Tahoma"/>
          <w:i/>
        </w:rPr>
      </w:pPr>
      <w:r w:rsidRPr="0001287F">
        <w:rPr>
          <w:rFonts w:ascii="Tahoma" w:hAnsi="Tahoma" w:cs="Tahoma"/>
          <w:b/>
          <w:i/>
        </w:rPr>
        <w:t>Sumilla   :</w:t>
      </w:r>
      <w:r w:rsidRPr="0001287F">
        <w:rPr>
          <w:rFonts w:ascii="Tahoma" w:hAnsi="Tahoma" w:cs="Tahoma"/>
          <w:b/>
          <w:i/>
        </w:rPr>
        <w:tab/>
      </w:r>
      <w:r w:rsidR="00C92275">
        <w:rPr>
          <w:rFonts w:ascii="Tahoma" w:hAnsi="Tahoma" w:cs="Tahoma"/>
          <w:b/>
          <w:i/>
        </w:rPr>
        <w:t xml:space="preserve">1) </w:t>
      </w:r>
      <w:r w:rsidR="00C92275" w:rsidRPr="00C92275">
        <w:rPr>
          <w:rFonts w:ascii="Tahoma" w:hAnsi="Tahoma" w:cs="Tahoma"/>
          <w:i/>
        </w:rPr>
        <w:t>Son considerados documentos públicos aquellos emitidos válidamente por los órganos de las entidades o de la administración</w:t>
      </w:r>
      <w:r w:rsidR="00302BB2" w:rsidRPr="00C92275">
        <w:rPr>
          <w:rFonts w:ascii="Tahoma" w:hAnsi="Tahoma" w:cs="Tahoma"/>
          <w:i/>
        </w:rPr>
        <w:t>.</w:t>
      </w:r>
      <w:r w:rsidR="00C92275">
        <w:rPr>
          <w:rFonts w:ascii="Tahoma" w:hAnsi="Tahoma" w:cs="Tahoma"/>
          <w:i/>
        </w:rPr>
        <w:t xml:space="preserve"> </w:t>
      </w:r>
      <w:r w:rsidR="00C92275" w:rsidRPr="00C92275">
        <w:rPr>
          <w:rFonts w:ascii="Tahoma" w:hAnsi="Tahoma" w:cs="Tahoma"/>
          <w:b/>
          <w:i/>
        </w:rPr>
        <w:t>2)</w:t>
      </w:r>
      <w:r w:rsidR="00C92275" w:rsidRPr="00C92275">
        <w:rPr>
          <w:rFonts w:ascii="Tahoma" w:hAnsi="Tahoma" w:cs="Tahoma"/>
          <w:i/>
        </w:rPr>
        <w:t xml:space="preserve"> </w:t>
      </w:r>
      <w:r w:rsidR="00C92275" w:rsidRPr="0001287F">
        <w:rPr>
          <w:rFonts w:ascii="Tahoma" w:hAnsi="Tahoma" w:cs="Tahoma"/>
          <w:i/>
        </w:rPr>
        <w:t xml:space="preserve">La intermediación laboral sólo podrá prestarse por empresas de servicios constituidas como personas jurídicas de acuerdo a la Ley General de </w:t>
      </w:r>
      <w:r w:rsidR="00C92275" w:rsidRPr="0001287F">
        <w:rPr>
          <w:rFonts w:ascii="Tahoma" w:hAnsi="Tahoma" w:cs="Tahoma"/>
        </w:rPr>
        <w:t>Sociedades</w:t>
      </w:r>
      <w:r w:rsidR="00C92275" w:rsidRPr="0001287F">
        <w:rPr>
          <w:rFonts w:ascii="Tahoma" w:hAnsi="Tahoma" w:cs="Tahoma"/>
          <w:i/>
        </w:rPr>
        <w:t xml:space="preserve"> o como Cooperativas conforme a la Ley General de Cooperativas, </w:t>
      </w:r>
      <w:r w:rsidR="00C92275" w:rsidRPr="00C92275">
        <w:rPr>
          <w:rFonts w:ascii="Tahoma" w:hAnsi="Tahoma" w:cs="Tahoma"/>
          <w:i/>
        </w:rPr>
        <w:t>y tendrá como objeto exclusivo la prestación de servicios de intermediación laboral</w:t>
      </w:r>
    </w:p>
    <w:p w:rsidR="00C3673F" w:rsidRPr="0001287F" w:rsidRDefault="00C3673F" w:rsidP="00A2385F">
      <w:pPr>
        <w:pStyle w:val="Textoindependiente3"/>
        <w:spacing w:after="0"/>
        <w:ind w:left="4248"/>
        <w:rPr>
          <w:rFonts w:ascii="Tahoma" w:hAnsi="Tahoma" w:cs="Tahoma"/>
          <w:b/>
          <w:sz w:val="20"/>
          <w:szCs w:val="20"/>
        </w:rPr>
      </w:pPr>
    </w:p>
    <w:p w:rsidR="00965E33" w:rsidRPr="0001287F" w:rsidRDefault="00965E33" w:rsidP="00A2385F">
      <w:pPr>
        <w:pStyle w:val="Textoindependiente3"/>
        <w:spacing w:after="0"/>
        <w:ind w:left="4248"/>
        <w:rPr>
          <w:rFonts w:ascii="Tahoma" w:hAnsi="Tahoma" w:cs="Tahoma"/>
          <w:b/>
          <w:sz w:val="20"/>
          <w:szCs w:val="20"/>
        </w:rPr>
      </w:pPr>
      <w:r w:rsidRPr="0001287F">
        <w:rPr>
          <w:rFonts w:ascii="Tahoma" w:hAnsi="Tahoma" w:cs="Tahoma"/>
          <w:b/>
          <w:sz w:val="20"/>
          <w:szCs w:val="20"/>
        </w:rPr>
        <w:t xml:space="preserve">Lima, </w:t>
      </w:r>
      <w:r w:rsidR="00437C35">
        <w:rPr>
          <w:rFonts w:ascii="Tahoma" w:hAnsi="Tahoma" w:cs="Tahoma"/>
          <w:b/>
          <w:sz w:val="20"/>
          <w:szCs w:val="20"/>
        </w:rPr>
        <w:t>11 de diciembre de 2007</w:t>
      </w:r>
    </w:p>
    <w:p w:rsidR="004B65C3" w:rsidRPr="0001287F" w:rsidRDefault="004B65C3" w:rsidP="00684C56">
      <w:pPr>
        <w:pStyle w:val="Textoindependiente"/>
        <w:tabs>
          <w:tab w:val="left" w:pos="540"/>
        </w:tabs>
        <w:rPr>
          <w:rFonts w:cs="Tahoma"/>
          <w:b/>
          <w:sz w:val="20"/>
          <w:lang w:val="es-PE"/>
        </w:rPr>
      </w:pPr>
    </w:p>
    <w:p w:rsidR="00965E33" w:rsidRPr="0001287F" w:rsidRDefault="00965E33" w:rsidP="000F450C">
      <w:pPr>
        <w:pStyle w:val="Textoindependiente"/>
        <w:widowControl/>
        <w:tabs>
          <w:tab w:val="left" w:pos="540"/>
        </w:tabs>
        <w:suppressAutoHyphens w:val="0"/>
        <w:ind w:right="-81"/>
        <w:rPr>
          <w:rFonts w:cs="Tahoma"/>
          <w:sz w:val="20"/>
        </w:rPr>
      </w:pPr>
      <w:r w:rsidRPr="0001287F">
        <w:rPr>
          <w:rFonts w:cs="Tahoma"/>
          <w:b/>
          <w:sz w:val="20"/>
        </w:rPr>
        <w:tab/>
        <w:t>Visto</w:t>
      </w:r>
      <w:r w:rsidRPr="0001287F">
        <w:rPr>
          <w:rFonts w:cs="Tahoma"/>
          <w:sz w:val="20"/>
        </w:rPr>
        <w:t xml:space="preserve"> en sesión de fecha </w:t>
      </w:r>
      <w:r w:rsidR="00C92275">
        <w:rPr>
          <w:rFonts w:cs="Tahoma"/>
          <w:sz w:val="20"/>
        </w:rPr>
        <w:t xml:space="preserve">11 </w:t>
      </w:r>
      <w:r w:rsidRPr="0001287F">
        <w:rPr>
          <w:rFonts w:cs="Tahoma"/>
          <w:sz w:val="20"/>
        </w:rPr>
        <w:t xml:space="preserve">de </w:t>
      </w:r>
      <w:r w:rsidR="009A7335" w:rsidRPr="0001287F">
        <w:rPr>
          <w:rFonts w:cs="Tahoma"/>
          <w:sz w:val="20"/>
        </w:rPr>
        <w:t>dic</w:t>
      </w:r>
      <w:r w:rsidR="00623F1E" w:rsidRPr="0001287F">
        <w:rPr>
          <w:rFonts w:cs="Tahoma"/>
          <w:sz w:val="20"/>
        </w:rPr>
        <w:t>iem</w:t>
      </w:r>
      <w:r w:rsidR="000F450C" w:rsidRPr="0001287F">
        <w:rPr>
          <w:rFonts w:cs="Tahoma"/>
          <w:sz w:val="20"/>
        </w:rPr>
        <w:t>bre</w:t>
      </w:r>
      <w:r w:rsidRPr="0001287F">
        <w:rPr>
          <w:rFonts w:cs="Tahoma"/>
          <w:sz w:val="20"/>
        </w:rPr>
        <w:t xml:space="preserve"> de 2007 de la Segunda Sala del Tribunal de Contrataciones y Adquisiciones del Estado el Expediente N° </w:t>
      </w:r>
      <w:r w:rsidR="00C3673F" w:rsidRPr="0001287F">
        <w:rPr>
          <w:rFonts w:cs="Tahoma"/>
          <w:sz w:val="20"/>
        </w:rPr>
        <w:t>3</w:t>
      </w:r>
      <w:r w:rsidR="00C92275">
        <w:rPr>
          <w:rFonts w:cs="Tahoma"/>
          <w:sz w:val="20"/>
        </w:rPr>
        <w:t>0</w:t>
      </w:r>
      <w:r w:rsidR="004B65C3" w:rsidRPr="0001287F">
        <w:rPr>
          <w:rFonts w:cs="Tahoma"/>
          <w:sz w:val="20"/>
        </w:rPr>
        <w:t>0</w:t>
      </w:r>
      <w:r w:rsidR="00C92275">
        <w:rPr>
          <w:rFonts w:cs="Tahoma"/>
          <w:sz w:val="20"/>
        </w:rPr>
        <w:t>9</w:t>
      </w:r>
      <w:r w:rsidR="00F54414" w:rsidRPr="0001287F">
        <w:rPr>
          <w:rFonts w:cs="Tahoma"/>
          <w:sz w:val="20"/>
        </w:rPr>
        <w:t>.</w:t>
      </w:r>
      <w:r w:rsidRPr="0001287F">
        <w:rPr>
          <w:rFonts w:cs="Tahoma"/>
          <w:sz w:val="20"/>
        </w:rPr>
        <w:t xml:space="preserve">2007.TC sobre </w:t>
      </w:r>
      <w:r w:rsidR="00B31A6F" w:rsidRPr="0001287F">
        <w:rPr>
          <w:rFonts w:cs="Tahoma"/>
          <w:sz w:val="20"/>
        </w:rPr>
        <w:t xml:space="preserve">el </w:t>
      </w:r>
      <w:r w:rsidRPr="0001287F">
        <w:rPr>
          <w:rFonts w:cs="Tahoma"/>
          <w:sz w:val="20"/>
        </w:rPr>
        <w:t xml:space="preserve">recurso de </w:t>
      </w:r>
      <w:r w:rsidR="0025322B" w:rsidRPr="0001287F">
        <w:rPr>
          <w:rFonts w:cs="Tahoma"/>
          <w:sz w:val="20"/>
        </w:rPr>
        <w:t>apelación</w:t>
      </w:r>
      <w:r w:rsidR="00D85A03" w:rsidRPr="0001287F">
        <w:rPr>
          <w:rFonts w:cs="Tahoma"/>
          <w:sz w:val="20"/>
        </w:rPr>
        <w:t xml:space="preserve"> interpuesto por </w:t>
      </w:r>
      <w:r w:rsidR="00C92275">
        <w:rPr>
          <w:rFonts w:cs="Tahoma"/>
          <w:sz w:val="20"/>
        </w:rPr>
        <w:t>Consorcio IRV S.A.C.</w:t>
      </w:r>
      <w:r w:rsidR="004B65C3" w:rsidRPr="0001287F">
        <w:rPr>
          <w:rFonts w:cs="Tahoma"/>
          <w:sz w:val="20"/>
        </w:rPr>
        <w:t xml:space="preserve"> </w:t>
      </w:r>
      <w:r w:rsidR="0025322B" w:rsidRPr="0001287F">
        <w:rPr>
          <w:rFonts w:cs="Tahoma"/>
          <w:sz w:val="20"/>
        </w:rPr>
        <w:t xml:space="preserve">contra </w:t>
      </w:r>
      <w:r w:rsidR="004B65C3" w:rsidRPr="0001287F">
        <w:rPr>
          <w:rFonts w:cs="Tahoma"/>
          <w:sz w:val="20"/>
        </w:rPr>
        <w:t>el otorgamiento de la buena pro del</w:t>
      </w:r>
      <w:r w:rsidR="00C92275">
        <w:rPr>
          <w:rFonts w:cs="Tahoma"/>
          <w:sz w:val="20"/>
        </w:rPr>
        <w:t xml:space="preserve"> </w:t>
      </w:r>
      <w:r w:rsidR="00C92275" w:rsidRPr="0001287F">
        <w:rPr>
          <w:rFonts w:cs="Tahoma"/>
          <w:sz w:val="20"/>
        </w:rPr>
        <w:t>Proceso por Competencia Mayor Nº 0018-2007-OTL/PETROPERÚ</w:t>
      </w:r>
      <w:r w:rsidR="00EE14AD" w:rsidRPr="0001287F">
        <w:rPr>
          <w:rFonts w:cs="Tahoma"/>
          <w:sz w:val="20"/>
        </w:rPr>
        <w:t xml:space="preserve">, convocada por </w:t>
      </w:r>
      <w:r w:rsidR="00C92275" w:rsidRPr="0001287F">
        <w:rPr>
          <w:rFonts w:cs="Tahoma"/>
          <w:sz w:val="20"/>
        </w:rPr>
        <w:t>Petróleos del Perú S.A.</w:t>
      </w:r>
      <w:r w:rsidR="00EE14AD" w:rsidRPr="0001287F">
        <w:rPr>
          <w:rFonts w:cs="Tahoma"/>
          <w:sz w:val="20"/>
        </w:rPr>
        <w:t xml:space="preserve">, </w:t>
      </w:r>
      <w:r w:rsidR="00DB1536" w:rsidRPr="0001287F">
        <w:rPr>
          <w:rFonts w:cs="Tahoma"/>
          <w:sz w:val="20"/>
        </w:rPr>
        <w:t xml:space="preserve">para </w:t>
      </w:r>
      <w:r w:rsidR="00C92275" w:rsidRPr="0001287F">
        <w:rPr>
          <w:rFonts w:cs="Tahoma"/>
          <w:sz w:val="20"/>
        </w:rPr>
        <w:t>contratar el servicio de mantenimiento de áreas verdes en operaciones Talara</w:t>
      </w:r>
      <w:r w:rsidRPr="0001287F">
        <w:rPr>
          <w:rFonts w:cs="Tahoma"/>
          <w:sz w:val="20"/>
        </w:rPr>
        <w:t xml:space="preserve">; y atendiendo a los siguientes:   </w:t>
      </w:r>
    </w:p>
    <w:p w:rsidR="0072647C" w:rsidRPr="0001287F" w:rsidRDefault="0072647C" w:rsidP="00066E38">
      <w:pPr>
        <w:rPr>
          <w:rFonts w:ascii="Tahoma" w:hAnsi="Tahoma" w:cs="Tahoma"/>
          <w:b/>
          <w:lang w:val="es-ES_tradnl"/>
        </w:rPr>
      </w:pPr>
    </w:p>
    <w:p w:rsidR="00965E33" w:rsidRPr="0001287F" w:rsidRDefault="00965E33" w:rsidP="00066E38">
      <w:pPr>
        <w:jc w:val="both"/>
        <w:rPr>
          <w:rFonts w:ascii="Tahoma" w:hAnsi="Tahoma" w:cs="Tahoma"/>
          <w:b/>
          <w:shadow/>
        </w:rPr>
      </w:pPr>
      <w:r w:rsidRPr="0001287F">
        <w:rPr>
          <w:rFonts w:ascii="Tahoma" w:hAnsi="Tahoma" w:cs="Tahoma"/>
          <w:b/>
          <w:shadow/>
        </w:rPr>
        <w:t>ANTECEDENTES:</w:t>
      </w:r>
    </w:p>
    <w:p w:rsidR="0072647C" w:rsidRPr="0001287F" w:rsidRDefault="0072647C" w:rsidP="00E7455B">
      <w:pPr>
        <w:ind w:right="279"/>
        <w:jc w:val="both"/>
        <w:rPr>
          <w:rFonts w:ascii="Tahoma" w:hAnsi="Tahoma" w:cs="Tahoma"/>
          <w:b/>
          <w:shadow/>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 xml:space="preserve">El 27 de julio de 2007, Petróleos del Perú S.A., en lo sucesivo La Entidad, convocó el Proceso por Competencia Mayor Nº 0018-2007-OTL/PETROPERÚ, con el objeto de contratar el servicio de mantenimiento de áreas verdes en operaciones Talara,  por  un  valor  referencial de S/. 1 273 160,24. </w:t>
      </w:r>
    </w:p>
    <w:p w:rsidR="0001287F" w:rsidRPr="0001287F" w:rsidRDefault="0001287F" w:rsidP="0001287F">
      <w:pPr>
        <w:ind w:left="540"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El 16 de agosto de 2007, se realizó el acto de presentación y evaluación de propuestas técnicas.</w:t>
      </w:r>
    </w:p>
    <w:p w:rsidR="0001287F" w:rsidRPr="0001287F" w:rsidRDefault="0001287F" w:rsidP="0001287F">
      <w:pPr>
        <w:ind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 xml:space="preserve">El 10 de setiembre de 2007, se realizó el acto de apertura de propuestas económicas. </w:t>
      </w:r>
    </w:p>
    <w:p w:rsidR="0001287F" w:rsidRPr="0001287F" w:rsidRDefault="0001287F" w:rsidP="0001287F">
      <w:pPr>
        <w:ind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El 14 de setiembre de 2007, se realizó el acto de otorgamiento de la buena pro.</w:t>
      </w:r>
    </w:p>
    <w:p w:rsidR="0001287F" w:rsidRPr="0001287F" w:rsidRDefault="0001287F" w:rsidP="0001287F">
      <w:pPr>
        <w:ind w:right="-81"/>
        <w:jc w:val="both"/>
        <w:rPr>
          <w:rFonts w:ascii="Tahoma" w:hAnsi="Tahoma" w:cs="Tahoma"/>
        </w:rPr>
      </w:pPr>
    </w:p>
    <w:p w:rsidR="0001287F" w:rsidRPr="0001287F" w:rsidRDefault="0001287F" w:rsidP="0001287F">
      <w:pPr>
        <w:ind w:left="540" w:right="-81"/>
        <w:jc w:val="both"/>
        <w:rPr>
          <w:rFonts w:ascii="Tahoma" w:hAnsi="Tahoma" w:cs="Tahoma"/>
        </w:rPr>
      </w:pPr>
      <w:r w:rsidRPr="0001287F">
        <w:rPr>
          <w:rFonts w:ascii="Tahoma" w:hAnsi="Tahoma" w:cs="Tahoma"/>
        </w:rPr>
        <w:t>El puntaje total asignado a las propuestas admitidas se representa en el siguiente cuadro:</w:t>
      </w:r>
    </w:p>
    <w:p w:rsidR="0001287F" w:rsidRPr="0001287F" w:rsidRDefault="0001287F" w:rsidP="0001287F">
      <w:pPr>
        <w:ind w:left="540" w:right="-81"/>
        <w:jc w:val="both"/>
        <w:rPr>
          <w:rFonts w:ascii="Tahoma" w:hAnsi="Tahoma" w:cs="Tahoma"/>
        </w:rPr>
      </w:pPr>
    </w:p>
    <w:tbl>
      <w:tblPr>
        <w:tblW w:w="7201" w:type="dxa"/>
        <w:tblInd w:w="648" w:type="dxa"/>
        <w:tblBorders>
          <w:insideH w:val="single" w:sz="18" w:space="0" w:color="FFFFFF"/>
          <w:insideV w:val="single" w:sz="18" w:space="0" w:color="FFFFFF"/>
        </w:tblBorders>
        <w:tblLook w:val="01E0"/>
      </w:tblPr>
      <w:tblGrid>
        <w:gridCol w:w="1980"/>
        <w:gridCol w:w="1105"/>
        <w:gridCol w:w="1260"/>
        <w:gridCol w:w="1260"/>
        <w:gridCol w:w="1596"/>
      </w:tblGrid>
      <w:tr w:rsidR="0001287F" w:rsidRPr="0001287F" w:rsidTr="005F3F79">
        <w:tc>
          <w:tcPr>
            <w:tcW w:w="1980" w:type="dxa"/>
            <w:shd w:val="pct20" w:color="000000" w:fill="FFFFFF"/>
          </w:tcPr>
          <w:p w:rsidR="0001287F" w:rsidRPr="0001287F" w:rsidRDefault="0001287F" w:rsidP="005F3F79">
            <w:pPr>
              <w:ind w:right="-81"/>
              <w:jc w:val="center"/>
              <w:rPr>
                <w:rFonts w:ascii="Tahoma" w:hAnsi="Tahoma" w:cs="Tahoma"/>
                <w:b/>
                <w:bCs/>
              </w:rPr>
            </w:pPr>
            <w:r w:rsidRPr="0001287F">
              <w:rPr>
                <w:rFonts w:ascii="Tahoma" w:hAnsi="Tahoma" w:cs="Tahoma"/>
                <w:b/>
                <w:bCs/>
              </w:rPr>
              <w:t>Postor</w:t>
            </w:r>
          </w:p>
        </w:tc>
        <w:tc>
          <w:tcPr>
            <w:tcW w:w="1105" w:type="dxa"/>
            <w:shd w:val="pct20" w:color="000000" w:fill="FFFFFF"/>
          </w:tcPr>
          <w:p w:rsidR="0001287F" w:rsidRPr="0001287F" w:rsidRDefault="0001287F" w:rsidP="005F3F79">
            <w:pPr>
              <w:ind w:right="-81"/>
              <w:jc w:val="center"/>
              <w:rPr>
                <w:rFonts w:ascii="Tahoma" w:hAnsi="Tahoma" w:cs="Tahoma"/>
                <w:b/>
                <w:bCs/>
              </w:rPr>
            </w:pPr>
            <w:r w:rsidRPr="0001287F">
              <w:rPr>
                <w:rFonts w:ascii="Tahoma" w:hAnsi="Tahoma" w:cs="Tahoma"/>
                <w:b/>
                <w:bCs/>
              </w:rPr>
              <w:t>Puntaje Técnico</w:t>
            </w:r>
          </w:p>
        </w:tc>
        <w:tc>
          <w:tcPr>
            <w:tcW w:w="1260" w:type="dxa"/>
            <w:shd w:val="pct20" w:color="000000" w:fill="FFFFFF"/>
          </w:tcPr>
          <w:p w:rsidR="0001287F" w:rsidRPr="0001287F" w:rsidRDefault="0001287F" w:rsidP="005F3F79">
            <w:pPr>
              <w:ind w:right="-81"/>
              <w:jc w:val="center"/>
              <w:rPr>
                <w:rFonts w:ascii="Tahoma" w:hAnsi="Tahoma" w:cs="Tahoma"/>
                <w:b/>
                <w:bCs/>
              </w:rPr>
            </w:pPr>
            <w:r w:rsidRPr="0001287F">
              <w:rPr>
                <w:rFonts w:ascii="Tahoma" w:hAnsi="Tahoma" w:cs="Tahoma"/>
                <w:b/>
                <w:bCs/>
              </w:rPr>
              <w:t>Puntaje Económico</w:t>
            </w:r>
          </w:p>
        </w:tc>
        <w:tc>
          <w:tcPr>
            <w:tcW w:w="1260" w:type="dxa"/>
            <w:shd w:val="pct20" w:color="000000" w:fill="FFFFFF"/>
          </w:tcPr>
          <w:p w:rsidR="0001287F" w:rsidRPr="0001287F" w:rsidRDefault="0001287F" w:rsidP="005F3F79">
            <w:pPr>
              <w:ind w:right="-81"/>
              <w:jc w:val="center"/>
              <w:rPr>
                <w:rFonts w:ascii="Tahoma" w:hAnsi="Tahoma" w:cs="Tahoma"/>
                <w:b/>
                <w:bCs/>
              </w:rPr>
            </w:pPr>
            <w:proofErr w:type="spellStart"/>
            <w:r w:rsidRPr="0001287F">
              <w:rPr>
                <w:rFonts w:ascii="Tahoma" w:hAnsi="Tahoma" w:cs="Tahoma"/>
                <w:b/>
                <w:bCs/>
              </w:rPr>
              <w:t>Bonif</w:t>
            </w:r>
            <w:proofErr w:type="spellEnd"/>
            <w:r w:rsidRPr="0001287F">
              <w:rPr>
                <w:rFonts w:ascii="Tahoma" w:hAnsi="Tahoma" w:cs="Tahoma"/>
                <w:b/>
                <w:bCs/>
              </w:rPr>
              <w:t>. 20%</w:t>
            </w:r>
          </w:p>
        </w:tc>
        <w:tc>
          <w:tcPr>
            <w:tcW w:w="1596" w:type="dxa"/>
            <w:shd w:val="pct20" w:color="000000" w:fill="FFFFFF"/>
          </w:tcPr>
          <w:p w:rsidR="0001287F" w:rsidRPr="0001287F" w:rsidRDefault="0001287F" w:rsidP="005F3F79">
            <w:pPr>
              <w:ind w:right="-81"/>
              <w:jc w:val="center"/>
              <w:rPr>
                <w:rFonts w:ascii="Tahoma" w:hAnsi="Tahoma" w:cs="Tahoma"/>
                <w:b/>
                <w:bCs/>
              </w:rPr>
            </w:pPr>
            <w:r w:rsidRPr="0001287F">
              <w:rPr>
                <w:rFonts w:ascii="Tahoma" w:hAnsi="Tahoma" w:cs="Tahoma"/>
                <w:b/>
                <w:bCs/>
              </w:rPr>
              <w:t>Puntaje Total</w:t>
            </w:r>
          </w:p>
        </w:tc>
      </w:tr>
      <w:tr w:rsidR="0001287F" w:rsidRPr="0001287F" w:rsidTr="005F3F79">
        <w:tc>
          <w:tcPr>
            <w:tcW w:w="1980" w:type="dxa"/>
            <w:shd w:val="pct5" w:color="000000" w:fill="FFFFFF"/>
          </w:tcPr>
          <w:p w:rsidR="0001287F" w:rsidRPr="0001287F" w:rsidRDefault="0001287F" w:rsidP="005F3F79">
            <w:pPr>
              <w:ind w:right="-81"/>
              <w:jc w:val="center"/>
              <w:rPr>
                <w:rFonts w:ascii="Tahoma" w:hAnsi="Tahoma" w:cs="Tahoma"/>
              </w:rPr>
            </w:pPr>
            <w:r w:rsidRPr="0001287F">
              <w:rPr>
                <w:rFonts w:ascii="Tahoma" w:hAnsi="Tahoma" w:cs="Tahoma"/>
              </w:rPr>
              <w:t>Orbes Agrícola SAC-Jardines del Mundo EIRL</w:t>
            </w:r>
          </w:p>
        </w:tc>
        <w:tc>
          <w:tcPr>
            <w:tcW w:w="1105" w:type="dxa"/>
            <w:shd w:val="pct5" w:color="000000" w:fill="FFFFFF"/>
          </w:tcPr>
          <w:p w:rsidR="0001287F" w:rsidRPr="0001287F" w:rsidRDefault="0001287F" w:rsidP="005F3F79">
            <w:pPr>
              <w:ind w:right="-81"/>
              <w:jc w:val="center"/>
              <w:rPr>
                <w:rFonts w:ascii="Tahoma" w:hAnsi="Tahoma" w:cs="Tahoma"/>
              </w:rPr>
            </w:pPr>
            <w:r w:rsidRPr="0001287F">
              <w:rPr>
                <w:rFonts w:ascii="Tahoma" w:hAnsi="Tahoma" w:cs="Tahoma"/>
              </w:rPr>
              <w:t>100.00</w:t>
            </w:r>
          </w:p>
        </w:tc>
        <w:tc>
          <w:tcPr>
            <w:tcW w:w="1260" w:type="dxa"/>
            <w:shd w:val="pct5" w:color="000000" w:fill="FFFFFF"/>
          </w:tcPr>
          <w:p w:rsidR="0001287F" w:rsidRPr="0001287F" w:rsidRDefault="0001287F" w:rsidP="005F3F79">
            <w:pPr>
              <w:ind w:right="-81"/>
              <w:jc w:val="center"/>
              <w:rPr>
                <w:rFonts w:ascii="Tahoma" w:hAnsi="Tahoma" w:cs="Tahoma"/>
              </w:rPr>
            </w:pPr>
            <w:r w:rsidRPr="0001287F">
              <w:rPr>
                <w:rFonts w:ascii="Tahoma" w:hAnsi="Tahoma" w:cs="Tahoma"/>
              </w:rPr>
              <w:t>100.00</w:t>
            </w:r>
          </w:p>
        </w:tc>
        <w:tc>
          <w:tcPr>
            <w:tcW w:w="1260" w:type="dxa"/>
            <w:shd w:val="pct5" w:color="000000" w:fill="FFFFFF"/>
          </w:tcPr>
          <w:p w:rsidR="0001287F" w:rsidRPr="0001287F" w:rsidRDefault="0001287F" w:rsidP="005F3F79">
            <w:pPr>
              <w:ind w:right="-81"/>
              <w:jc w:val="center"/>
              <w:rPr>
                <w:rFonts w:ascii="Tahoma" w:hAnsi="Tahoma" w:cs="Tahoma"/>
              </w:rPr>
            </w:pPr>
            <w:r w:rsidRPr="0001287F">
              <w:rPr>
                <w:rFonts w:ascii="Tahoma" w:hAnsi="Tahoma" w:cs="Tahoma"/>
              </w:rPr>
              <w:t>20.00</w:t>
            </w:r>
          </w:p>
        </w:tc>
        <w:tc>
          <w:tcPr>
            <w:tcW w:w="1596" w:type="dxa"/>
            <w:shd w:val="pct5" w:color="000000" w:fill="FFFFFF"/>
          </w:tcPr>
          <w:p w:rsidR="0001287F" w:rsidRPr="0001287F" w:rsidRDefault="0001287F" w:rsidP="005F3F79">
            <w:pPr>
              <w:ind w:right="-81"/>
              <w:jc w:val="center"/>
              <w:rPr>
                <w:rFonts w:ascii="Tahoma" w:hAnsi="Tahoma" w:cs="Tahoma"/>
              </w:rPr>
            </w:pPr>
            <w:r w:rsidRPr="0001287F">
              <w:rPr>
                <w:rFonts w:ascii="Tahoma" w:hAnsi="Tahoma" w:cs="Tahoma"/>
              </w:rPr>
              <w:t>120.000</w:t>
            </w:r>
          </w:p>
        </w:tc>
      </w:tr>
      <w:tr w:rsidR="0001287F" w:rsidRPr="0001287F" w:rsidTr="005F3F79">
        <w:tc>
          <w:tcPr>
            <w:tcW w:w="1980" w:type="dxa"/>
            <w:shd w:val="pct20" w:color="000000" w:fill="FFFFFF"/>
          </w:tcPr>
          <w:p w:rsidR="0001287F" w:rsidRPr="0001287F" w:rsidRDefault="0001287F" w:rsidP="005F3F79">
            <w:pPr>
              <w:ind w:right="-81"/>
              <w:jc w:val="center"/>
              <w:rPr>
                <w:rFonts w:ascii="Tahoma" w:hAnsi="Tahoma" w:cs="Tahoma"/>
                <w:lang w:val="en-GB"/>
              </w:rPr>
            </w:pPr>
            <w:proofErr w:type="spellStart"/>
            <w:r w:rsidRPr="0001287F">
              <w:rPr>
                <w:rFonts w:ascii="Tahoma" w:hAnsi="Tahoma" w:cs="Tahoma"/>
                <w:lang w:val="en-GB"/>
              </w:rPr>
              <w:t>Consorcio</w:t>
            </w:r>
            <w:proofErr w:type="spellEnd"/>
            <w:r w:rsidRPr="0001287F">
              <w:rPr>
                <w:rFonts w:ascii="Tahoma" w:hAnsi="Tahoma" w:cs="Tahoma"/>
                <w:lang w:val="en-GB"/>
              </w:rPr>
              <w:t xml:space="preserve"> IRV SAC</w:t>
            </w:r>
          </w:p>
        </w:tc>
        <w:tc>
          <w:tcPr>
            <w:tcW w:w="1105" w:type="dxa"/>
            <w:shd w:val="pct20" w:color="000000" w:fill="FFFFFF"/>
          </w:tcPr>
          <w:p w:rsidR="0001287F" w:rsidRPr="0001287F" w:rsidRDefault="0001287F" w:rsidP="005F3F79">
            <w:pPr>
              <w:ind w:right="-81"/>
              <w:jc w:val="center"/>
              <w:rPr>
                <w:rFonts w:ascii="Tahoma" w:hAnsi="Tahoma" w:cs="Tahoma"/>
              </w:rPr>
            </w:pPr>
            <w:r w:rsidRPr="0001287F">
              <w:rPr>
                <w:rFonts w:ascii="Tahoma" w:hAnsi="Tahoma" w:cs="Tahoma"/>
              </w:rPr>
              <w:t>100.00</w:t>
            </w:r>
          </w:p>
        </w:tc>
        <w:tc>
          <w:tcPr>
            <w:tcW w:w="1260" w:type="dxa"/>
            <w:shd w:val="pct20" w:color="000000" w:fill="FFFFFF"/>
          </w:tcPr>
          <w:p w:rsidR="0001287F" w:rsidRPr="0001287F" w:rsidRDefault="0001287F" w:rsidP="005F3F79">
            <w:pPr>
              <w:ind w:right="-81"/>
              <w:jc w:val="center"/>
              <w:rPr>
                <w:rFonts w:ascii="Tahoma" w:hAnsi="Tahoma" w:cs="Tahoma"/>
              </w:rPr>
            </w:pPr>
            <w:r w:rsidRPr="0001287F">
              <w:rPr>
                <w:rFonts w:ascii="Tahoma" w:hAnsi="Tahoma" w:cs="Tahoma"/>
              </w:rPr>
              <w:t>99.64</w:t>
            </w:r>
          </w:p>
        </w:tc>
        <w:tc>
          <w:tcPr>
            <w:tcW w:w="1260" w:type="dxa"/>
            <w:shd w:val="pct20" w:color="000000" w:fill="FFFFFF"/>
          </w:tcPr>
          <w:p w:rsidR="0001287F" w:rsidRPr="0001287F" w:rsidRDefault="0001287F" w:rsidP="005F3F79">
            <w:pPr>
              <w:ind w:right="-81"/>
              <w:jc w:val="center"/>
              <w:rPr>
                <w:rFonts w:ascii="Tahoma" w:hAnsi="Tahoma" w:cs="Tahoma"/>
              </w:rPr>
            </w:pPr>
            <w:r w:rsidRPr="0001287F">
              <w:rPr>
                <w:rFonts w:ascii="Tahoma" w:hAnsi="Tahoma" w:cs="Tahoma"/>
              </w:rPr>
              <w:t>19.96</w:t>
            </w:r>
          </w:p>
        </w:tc>
        <w:tc>
          <w:tcPr>
            <w:tcW w:w="1596" w:type="dxa"/>
            <w:shd w:val="pct20" w:color="000000" w:fill="FFFFFF"/>
          </w:tcPr>
          <w:p w:rsidR="0001287F" w:rsidRPr="0001287F" w:rsidRDefault="0001287F" w:rsidP="005F3F79">
            <w:pPr>
              <w:ind w:right="-81"/>
              <w:jc w:val="center"/>
              <w:rPr>
                <w:rFonts w:ascii="Tahoma" w:hAnsi="Tahoma" w:cs="Tahoma"/>
              </w:rPr>
            </w:pPr>
            <w:r w:rsidRPr="0001287F">
              <w:rPr>
                <w:rFonts w:ascii="Tahoma" w:hAnsi="Tahoma" w:cs="Tahoma"/>
              </w:rPr>
              <w:t>119.784</w:t>
            </w:r>
          </w:p>
        </w:tc>
      </w:tr>
      <w:tr w:rsidR="0001287F" w:rsidRPr="0001287F" w:rsidTr="005F3F79">
        <w:tc>
          <w:tcPr>
            <w:tcW w:w="1980" w:type="dxa"/>
            <w:shd w:val="pct5" w:color="000000" w:fill="FFFFFF"/>
          </w:tcPr>
          <w:p w:rsidR="0001287F" w:rsidRPr="0001287F" w:rsidRDefault="0001287F" w:rsidP="005F3F79">
            <w:pPr>
              <w:ind w:right="-81"/>
              <w:jc w:val="center"/>
              <w:rPr>
                <w:rFonts w:ascii="Tahoma" w:hAnsi="Tahoma" w:cs="Tahoma"/>
                <w:lang w:val="en-GB"/>
              </w:rPr>
            </w:pPr>
            <w:proofErr w:type="spellStart"/>
            <w:r w:rsidRPr="0001287F">
              <w:rPr>
                <w:rFonts w:ascii="Tahoma" w:hAnsi="Tahoma" w:cs="Tahoma"/>
                <w:lang w:val="en-GB"/>
              </w:rPr>
              <w:t>Arquitectura</w:t>
            </w:r>
            <w:proofErr w:type="spellEnd"/>
            <w:r w:rsidRPr="0001287F">
              <w:rPr>
                <w:rFonts w:ascii="Tahoma" w:hAnsi="Tahoma" w:cs="Tahoma"/>
                <w:lang w:val="en-GB"/>
              </w:rPr>
              <w:t xml:space="preserve"> y </w:t>
            </w:r>
            <w:proofErr w:type="spellStart"/>
            <w:r w:rsidRPr="0001287F">
              <w:rPr>
                <w:rFonts w:ascii="Tahoma" w:hAnsi="Tahoma" w:cs="Tahoma"/>
                <w:lang w:val="en-GB"/>
              </w:rPr>
              <w:t>Paisaje</w:t>
            </w:r>
            <w:proofErr w:type="spellEnd"/>
            <w:r w:rsidRPr="0001287F">
              <w:rPr>
                <w:rFonts w:ascii="Tahoma" w:hAnsi="Tahoma" w:cs="Tahoma"/>
                <w:lang w:val="en-GB"/>
              </w:rPr>
              <w:t xml:space="preserve"> SRL</w:t>
            </w:r>
          </w:p>
        </w:tc>
        <w:tc>
          <w:tcPr>
            <w:tcW w:w="1105" w:type="dxa"/>
            <w:shd w:val="pct5" w:color="000000" w:fill="FFFFFF"/>
          </w:tcPr>
          <w:p w:rsidR="0001287F" w:rsidRPr="0001287F" w:rsidRDefault="0001287F" w:rsidP="005F3F79">
            <w:pPr>
              <w:ind w:right="-81"/>
              <w:jc w:val="center"/>
              <w:rPr>
                <w:rFonts w:ascii="Tahoma" w:hAnsi="Tahoma" w:cs="Tahoma"/>
              </w:rPr>
            </w:pPr>
            <w:r w:rsidRPr="0001287F">
              <w:rPr>
                <w:rFonts w:ascii="Tahoma" w:hAnsi="Tahoma" w:cs="Tahoma"/>
              </w:rPr>
              <w:t>100.00</w:t>
            </w:r>
          </w:p>
        </w:tc>
        <w:tc>
          <w:tcPr>
            <w:tcW w:w="1260" w:type="dxa"/>
            <w:shd w:val="pct5" w:color="000000" w:fill="FFFFFF"/>
          </w:tcPr>
          <w:p w:rsidR="0001287F" w:rsidRPr="0001287F" w:rsidRDefault="0001287F" w:rsidP="005F3F79">
            <w:pPr>
              <w:ind w:right="-81"/>
              <w:jc w:val="center"/>
              <w:rPr>
                <w:rFonts w:ascii="Tahoma" w:hAnsi="Tahoma" w:cs="Tahoma"/>
              </w:rPr>
            </w:pPr>
            <w:r w:rsidRPr="0001287F">
              <w:rPr>
                <w:rFonts w:ascii="Tahoma" w:hAnsi="Tahoma" w:cs="Tahoma"/>
              </w:rPr>
              <w:t>93.89</w:t>
            </w:r>
          </w:p>
        </w:tc>
        <w:tc>
          <w:tcPr>
            <w:tcW w:w="1260" w:type="dxa"/>
            <w:shd w:val="pct5" w:color="000000" w:fill="FFFFFF"/>
          </w:tcPr>
          <w:p w:rsidR="0001287F" w:rsidRPr="0001287F" w:rsidRDefault="0001287F" w:rsidP="005F3F79">
            <w:pPr>
              <w:ind w:right="-81"/>
              <w:jc w:val="center"/>
              <w:rPr>
                <w:rFonts w:ascii="Tahoma" w:hAnsi="Tahoma" w:cs="Tahoma"/>
              </w:rPr>
            </w:pPr>
            <w:r w:rsidRPr="0001287F">
              <w:rPr>
                <w:rFonts w:ascii="Tahoma" w:hAnsi="Tahoma" w:cs="Tahoma"/>
              </w:rPr>
              <w:t>19.39</w:t>
            </w:r>
          </w:p>
        </w:tc>
        <w:tc>
          <w:tcPr>
            <w:tcW w:w="1596" w:type="dxa"/>
            <w:shd w:val="pct5" w:color="000000" w:fill="FFFFFF"/>
          </w:tcPr>
          <w:p w:rsidR="0001287F" w:rsidRPr="0001287F" w:rsidRDefault="0001287F" w:rsidP="005F3F79">
            <w:pPr>
              <w:ind w:right="-81"/>
              <w:jc w:val="center"/>
              <w:rPr>
                <w:rFonts w:ascii="Tahoma" w:hAnsi="Tahoma" w:cs="Tahoma"/>
              </w:rPr>
            </w:pPr>
            <w:r w:rsidRPr="0001287F">
              <w:rPr>
                <w:rFonts w:ascii="Tahoma" w:hAnsi="Tahoma" w:cs="Tahoma"/>
              </w:rPr>
              <w:t>116.334</w:t>
            </w:r>
          </w:p>
        </w:tc>
      </w:tr>
      <w:tr w:rsidR="0001287F" w:rsidRPr="0001287F" w:rsidTr="005F3F79">
        <w:tc>
          <w:tcPr>
            <w:tcW w:w="1980" w:type="dxa"/>
            <w:shd w:val="pct20" w:color="000000" w:fill="FFFFFF"/>
          </w:tcPr>
          <w:p w:rsidR="0001287F" w:rsidRPr="0001287F" w:rsidRDefault="0001287F" w:rsidP="00C92275">
            <w:pPr>
              <w:ind w:right="-81"/>
              <w:jc w:val="center"/>
              <w:rPr>
                <w:rFonts w:ascii="Tahoma" w:hAnsi="Tahoma" w:cs="Tahoma"/>
              </w:rPr>
            </w:pPr>
            <w:r w:rsidRPr="0001287F">
              <w:rPr>
                <w:rFonts w:ascii="Tahoma" w:hAnsi="Tahoma" w:cs="Tahoma"/>
              </w:rPr>
              <w:lastRenderedPageBreak/>
              <w:t xml:space="preserve">Servicios Calificados </w:t>
            </w:r>
            <w:proofErr w:type="spellStart"/>
            <w:r w:rsidRPr="0001287F">
              <w:rPr>
                <w:rFonts w:ascii="Tahoma" w:hAnsi="Tahoma" w:cs="Tahoma"/>
              </w:rPr>
              <w:t>Veefe</w:t>
            </w:r>
            <w:proofErr w:type="spellEnd"/>
            <w:r w:rsidRPr="0001287F">
              <w:rPr>
                <w:rFonts w:ascii="Tahoma" w:hAnsi="Tahoma" w:cs="Tahoma"/>
              </w:rPr>
              <w:t xml:space="preserve"> SA-</w:t>
            </w:r>
            <w:proofErr w:type="spellStart"/>
            <w:r w:rsidRPr="0001287F">
              <w:rPr>
                <w:rFonts w:ascii="Tahoma" w:hAnsi="Tahoma" w:cs="Tahoma"/>
              </w:rPr>
              <w:t>Servi</w:t>
            </w:r>
            <w:proofErr w:type="spellEnd"/>
            <w:r w:rsidRPr="0001287F">
              <w:rPr>
                <w:rFonts w:ascii="Tahoma" w:hAnsi="Tahoma" w:cs="Tahoma"/>
              </w:rPr>
              <w:t xml:space="preserve"> Eco </w:t>
            </w:r>
          </w:p>
        </w:tc>
        <w:tc>
          <w:tcPr>
            <w:tcW w:w="1105" w:type="dxa"/>
            <w:shd w:val="pct20" w:color="000000" w:fill="FFFFFF"/>
          </w:tcPr>
          <w:p w:rsidR="0001287F" w:rsidRPr="0001287F" w:rsidRDefault="0001287F" w:rsidP="005F3F79">
            <w:pPr>
              <w:ind w:right="-81"/>
              <w:jc w:val="center"/>
              <w:rPr>
                <w:rFonts w:ascii="Tahoma" w:hAnsi="Tahoma" w:cs="Tahoma"/>
              </w:rPr>
            </w:pPr>
            <w:r w:rsidRPr="0001287F">
              <w:rPr>
                <w:rFonts w:ascii="Tahoma" w:hAnsi="Tahoma" w:cs="Tahoma"/>
              </w:rPr>
              <w:t>100.00</w:t>
            </w:r>
          </w:p>
        </w:tc>
        <w:tc>
          <w:tcPr>
            <w:tcW w:w="1260" w:type="dxa"/>
            <w:shd w:val="pct20" w:color="000000" w:fill="FFFFFF"/>
          </w:tcPr>
          <w:p w:rsidR="0001287F" w:rsidRPr="0001287F" w:rsidRDefault="0001287F" w:rsidP="005F3F79">
            <w:pPr>
              <w:ind w:right="-81"/>
              <w:jc w:val="center"/>
              <w:rPr>
                <w:rFonts w:ascii="Tahoma" w:hAnsi="Tahoma" w:cs="Tahoma"/>
              </w:rPr>
            </w:pPr>
            <w:r w:rsidRPr="0001287F">
              <w:rPr>
                <w:rFonts w:ascii="Tahoma" w:hAnsi="Tahoma" w:cs="Tahoma"/>
              </w:rPr>
              <w:t>89.67</w:t>
            </w:r>
          </w:p>
        </w:tc>
        <w:tc>
          <w:tcPr>
            <w:tcW w:w="1260" w:type="dxa"/>
            <w:shd w:val="pct20" w:color="000000" w:fill="FFFFFF"/>
          </w:tcPr>
          <w:p w:rsidR="0001287F" w:rsidRPr="0001287F" w:rsidRDefault="0001287F" w:rsidP="005F3F79">
            <w:pPr>
              <w:ind w:right="-81"/>
              <w:jc w:val="center"/>
              <w:rPr>
                <w:rFonts w:ascii="Tahoma" w:hAnsi="Tahoma" w:cs="Tahoma"/>
              </w:rPr>
            </w:pPr>
            <w:r w:rsidRPr="0001287F">
              <w:rPr>
                <w:rFonts w:ascii="Tahoma" w:hAnsi="Tahoma" w:cs="Tahoma"/>
              </w:rPr>
              <w:t>18.97</w:t>
            </w:r>
          </w:p>
        </w:tc>
        <w:tc>
          <w:tcPr>
            <w:tcW w:w="1596" w:type="dxa"/>
            <w:shd w:val="pct20" w:color="000000" w:fill="FFFFFF"/>
          </w:tcPr>
          <w:p w:rsidR="0001287F" w:rsidRPr="0001287F" w:rsidRDefault="0001287F" w:rsidP="005F3F79">
            <w:pPr>
              <w:ind w:right="-81"/>
              <w:jc w:val="center"/>
              <w:rPr>
                <w:rFonts w:ascii="Tahoma" w:hAnsi="Tahoma" w:cs="Tahoma"/>
              </w:rPr>
            </w:pPr>
            <w:r w:rsidRPr="0001287F">
              <w:rPr>
                <w:rFonts w:ascii="Tahoma" w:hAnsi="Tahoma" w:cs="Tahoma"/>
              </w:rPr>
              <w:t>113.806</w:t>
            </w:r>
          </w:p>
        </w:tc>
      </w:tr>
    </w:tbl>
    <w:p w:rsidR="0001287F" w:rsidRPr="0001287F" w:rsidRDefault="0001287F" w:rsidP="0001287F">
      <w:pPr>
        <w:ind w:left="540"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Mediante escrito presentado el 19 de setiembre de 2007, subsanado el 21 del mismo mes y año, Consorcio IRV S.A.C., en lo sucesivo El Impugnante, interpuso recurso de apelación contra el otorgamiento de la buena pro, puesto que el ganador de la buena pro habría consignado en su propuesta económica una remuneración para el coordinador y el jardinero en refinería que no se ajustan a lo estipulado en las Bases, pues la remuneración neta equivale a la remuneración básica menos el 13%. En ese sentido, sostiene, la remuneración fijada por el ganador de la buena pro en su propuesta es inferior a la exigida por La Entidad. Asimismo, sugirió la verificación de la información proporcionada en la propuesta del ganador de la buena pro.</w:t>
      </w:r>
    </w:p>
    <w:p w:rsidR="0001287F" w:rsidRPr="0001287F" w:rsidRDefault="0001287F" w:rsidP="0001287F">
      <w:pPr>
        <w:ind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Mediante Resolución de Gerencia Operaciones Talara Nº GOTL-043-2007-PP de fecha 2 de octubre de 2007, publicado en el SEACE el 3 de dicho mes y año, La Entidad declaró infundado el recurso de apelación interpuesto en virtud de los siguientes argumentos:</w:t>
      </w:r>
    </w:p>
    <w:p w:rsidR="0001287F" w:rsidRPr="0001287F" w:rsidRDefault="0001287F" w:rsidP="0001287F">
      <w:pPr>
        <w:ind w:right="-81"/>
        <w:jc w:val="both"/>
        <w:rPr>
          <w:rFonts w:ascii="Tahoma" w:hAnsi="Tahoma" w:cs="Tahoma"/>
        </w:rPr>
      </w:pPr>
    </w:p>
    <w:p w:rsidR="0001287F" w:rsidRPr="0001287F" w:rsidRDefault="0001287F" w:rsidP="0001287F">
      <w:pPr>
        <w:numPr>
          <w:ilvl w:val="0"/>
          <w:numId w:val="45"/>
        </w:numPr>
        <w:ind w:right="-81" w:hanging="540"/>
        <w:jc w:val="both"/>
        <w:rPr>
          <w:rFonts w:ascii="Tahoma" w:hAnsi="Tahoma" w:cs="Tahoma"/>
        </w:rPr>
      </w:pPr>
      <w:r w:rsidRPr="0001287F">
        <w:rPr>
          <w:rFonts w:ascii="Tahoma" w:hAnsi="Tahoma" w:cs="Tahoma"/>
        </w:rPr>
        <w:t xml:space="preserve">Según el Texto Único Ordenado del Decreto Ley Nº 728, Ley de Productividad y Competitividad Laboral, constituye remuneración todo lo que el trabajador percibe por sus servicios, cualquiera sea la forma o denominación que se le </w:t>
      </w:r>
      <w:proofErr w:type="spellStart"/>
      <w:r w:rsidRPr="0001287F">
        <w:rPr>
          <w:rFonts w:ascii="Tahoma" w:hAnsi="Tahoma" w:cs="Tahoma"/>
        </w:rPr>
        <w:t>de</w:t>
      </w:r>
      <w:proofErr w:type="spellEnd"/>
      <w:r w:rsidRPr="0001287F">
        <w:rPr>
          <w:rFonts w:ascii="Tahoma" w:hAnsi="Tahoma" w:cs="Tahoma"/>
        </w:rPr>
        <w:t>, siempre que sea de libre disposición. En ese sentido, debe entenderse por remuneración mínima mensual el monto que como mínimo recibe un trabajador mensualmente, aún cuando dicho monto pueda variar en razón de incrementos u otros motivos.</w:t>
      </w:r>
    </w:p>
    <w:p w:rsidR="0001287F" w:rsidRPr="0001287F" w:rsidRDefault="0001287F" w:rsidP="0001287F">
      <w:pPr>
        <w:ind w:left="540" w:right="-81"/>
        <w:jc w:val="both"/>
        <w:rPr>
          <w:rFonts w:ascii="Tahoma" w:hAnsi="Tahoma" w:cs="Tahoma"/>
        </w:rPr>
      </w:pPr>
    </w:p>
    <w:p w:rsidR="0001287F" w:rsidRPr="0001287F" w:rsidRDefault="0001287F" w:rsidP="0001287F">
      <w:pPr>
        <w:numPr>
          <w:ilvl w:val="0"/>
          <w:numId w:val="45"/>
        </w:numPr>
        <w:ind w:right="-81" w:hanging="540"/>
        <w:jc w:val="both"/>
        <w:rPr>
          <w:rFonts w:ascii="Tahoma" w:hAnsi="Tahoma" w:cs="Tahoma"/>
        </w:rPr>
      </w:pPr>
      <w:r w:rsidRPr="0001287F">
        <w:rPr>
          <w:rFonts w:ascii="Tahoma" w:hAnsi="Tahoma" w:cs="Tahoma"/>
        </w:rPr>
        <w:t>De conformidad con las Bases, los trabajadores que tengan hijos menores a su cargo o hijos mayores que estén cursando estudios superiores, perciben adicionalmente a la contraprestación por sus servicios por concepto de asignación familiar el 10% del Ingreso Mínimo Legal vigente en la oportunidad de pago.</w:t>
      </w:r>
    </w:p>
    <w:p w:rsidR="0001287F" w:rsidRPr="0001287F" w:rsidRDefault="0001287F" w:rsidP="0001287F">
      <w:pPr>
        <w:ind w:right="-81"/>
        <w:jc w:val="both"/>
        <w:rPr>
          <w:rFonts w:ascii="Tahoma" w:hAnsi="Tahoma" w:cs="Tahoma"/>
        </w:rPr>
      </w:pPr>
    </w:p>
    <w:p w:rsidR="0001287F" w:rsidRPr="0001287F" w:rsidRDefault="0001287F" w:rsidP="0001287F">
      <w:pPr>
        <w:numPr>
          <w:ilvl w:val="0"/>
          <w:numId w:val="45"/>
        </w:numPr>
        <w:ind w:right="-81" w:hanging="540"/>
        <w:jc w:val="both"/>
        <w:rPr>
          <w:rFonts w:ascii="Tahoma" w:hAnsi="Tahoma" w:cs="Tahoma"/>
        </w:rPr>
      </w:pPr>
      <w:r w:rsidRPr="0001287F">
        <w:rPr>
          <w:rFonts w:ascii="Tahoma" w:hAnsi="Tahoma" w:cs="Tahoma"/>
        </w:rPr>
        <w:t>La tasa de aporte al Sistema Nacional de Pensiones equivale al 13% de la remuneración, cualquiera que sea la denominación que se le dé, incluyendo la asignación familiar. Atendiendo a ello, la base imponible sobre la que se ha de calcular la aportación del trabajador afiliado al Sistema Nacional de Pensiones, la constituye la totalidad de las remuneraciones devengadas en cada mes a favor de los asegurados, incluido el monto que por concepto de asignación familiar perciba.</w:t>
      </w:r>
    </w:p>
    <w:p w:rsidR="0001287F" w:rsidRPr="0001287F" w:rsidRDefault="0001287F" w:rsidP="0001287F">
      <w:pPr>
        <w:ind w:right="-81"/>
        <w:jc w:val="both"/>
        <w:rPr>
          <w:rFonts w:ascii="Tahoma" w:hAnsi="Tahoma" w:cs="Tahoma"/>
        </w:rPr>
      </w:pPr>
    </w:p>
    <w:p w:rsidR="0001287F" w:rsidRPr="0001287F" w:rsidRDefault="0001287F" w:rsidP="0001287F">
      <w:pPr>
        <w:numPr>
          <w:ilvl w:val="0"/>
          <w:numId w:val="45"/>
        </w:numPr>
        <w:ind w:right="-81" w:hanging="540"/>
        <w:jc w:val="both"/>
        <w:rPr>
          <w:rFonts w:ascii="Tahoma" w:hAnsi="Tahoma" w:cs="Tahoma"/>
        </w:rPr>
      </w:pPr>
      <w:r w:rsidRPr="0001287F">
        <w:rPr>
          <w:rFonts w:ascii="Tahoma" w:hAnsi="Tahoma" w:cs="Tahoma"/>
        </w:rPr>
        <w:t xml:space="preserve">La propuesta del ganador de la buena pro cumple con las Remuneraciones del Personal fijadas en las Bases, al ofrecer como contraprestación montos mayores a los indicados, puesto que ofertó para el coordinador el pago de S/. 1 700,00, por lo que al aplicar la tasa de aportación al Sistema Nacional de Pensiones equivalente al 13% sobre el monto ofertado y el monto que le corresponde por asignación familiar, se obtiene una remuneración básica mayor (S/. 1 522,50) al que como mínimo puede percibir  de acuerdo a lo previsto en las Bases. En el caso de los jardineros área industrial y Punta Arenas propuestos por el ganador de la buena pro, La Entidad refiere que al aplicar la tasa de aportación al pago de sus remuneraciones de S/. 815,00 y </w:t>
      </w:r>
      <w:r w:rsidRPr="0001287F">
        <w:rPr>
          <w:rFonts w:ascii="Tahoma" w:hAnsi="Tahoma" w:cs="Tahoma"/>
        </w:rPr>
        <w:lastRenderedPageBreak/>
        <w:t>S/. 690,00, aunado al monto que les corresponde por  asignación familiar se obtiene una remuneración básica de S/. 752,55 y S/. 643,80, respectivamente, montos superiores a los previstos en las Bases.</w:t>
      </w:r>
    </w:p>
    <w:p w:rsidR="0001287F" w:rsidRPr="0001287F" w:rsidRDefault="0001287F" w:rsidP="0001287F">
      <w:pPr>
        <w:ind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 xml:space="preserve">Mediante escrito presentado el 10 de octubre de 2007, subsanado el 12 del mismo mes y año, El Impugnante interpuso recurso de revisión contra la Resolución de Gerencia Operaciones Talara Nº GOTL-043-2007-PP, en la medida que, señala, el postor ganador de la buena pro se habría favorecido con un puntaje que no le corresponde. Como sustento  de ello, manifiesta que el ganador de la buena pro presentó en su propuesta técnica dos contratos suscritos con la empresa </w:t>
      </w:r>
      <w:proofErr w:type="spellStart"/>
      <w:r w:rsidRPr="0001287F">
        <w:rPr>
          <w:rFonts w:ascii="Tahoma" w:hAnsi="Tahoma" w:cs="Tahoma"/>
        </w:rPr>
        <w:t>Agrototal</w:t>
      </w:r>
      <w:proofErr w:type="spellEnd"/>
      <w:r w:rsidRPr="0001287F">
        <w:rPr>
          <w:rFonts w:ascii="Tahoma" w:hAnsi="Tahoma" w:cs="Tahoma"/>
        </w:rPr>
        <w:t xml:space="preserve"> S.A.C. por el monto de S/. 625 420,00, por concepto de mantenimiento de áreas verdes y plantas ornamentales en terrenos, fundos y haciendas ubicadas en el sector de Pisco, Chincha e Ica, por los periodos de 01 de mayo de 2002 al 30 de abril del 2003 y 01 de mayo de 2003 al 30 de abril de 2004, respectivamente,  los cuales serían falsos, toda vez que dicha empresa no es propietario de ningún terreno y posee un capital insuficiente para haber afrontado el pago del servicio referido en los contratos citados.</w:t>
      </w:r>
    </w:p>
    <w:p w:rsidR="0001287F" w:rsidRPr="0001287F" w:rsidRDefault="0001287F" w:rsidP="0001287F">
      <w:pPr>
        <w:ind w:right="-81"/>
        <w:jc w:val="both"/>
        <w:rPr>
          <w:rFonts w:ascii="Tahoma" w:hAnsi="Tahoma" w:cs="Tahoma"/>
        </w:rPr>
      </w:pPr>
    </w:p>
    <w:p w:rsidR="0001287F" w:rsidRPr="0001287F" w:rsidRDefault="0001287F" w:rsidP="0001287F">
      <w:pPr>
        <w:ind w:left="540" w:right="-81"/>
        <w:jc w:val="both"/>
        <w:rPr>
          <w:rFonts w:ascii="Tahoma" w:hAnsi="Tahoma" w:cs="Tahoma"/>
        </w:rPr>
      </w:pPr>
      <w:r w:rsidRPr="0001287F">
        <w:rPr>
          <w:rFonts w:ascii="Tahoma" w:hAnsi="Tahoma" w:cs="Tahoma"/>
        </w:rPr>
        <w:t>Por otro lado, cuestiona, la veracidad de las Ordenes de Servicios Nº 0026/05 y 0035/06, expedidas supuestamente por la empresa Irrigar S.A.C. a favor de la empresa Orbes Agrícola S.A.C. por la suma de S/. 151 849,95 respecto del servicio de mantenimiento de áreas verdes en la ciudad de Ica, en los periodos de 23 de mayo de 2005 a 22 de agosto de 2005 y 19 de junio de 2006 a 18 de setiembre de 2006, respectivamente, puesto que la persona que gira dichos documentos no es el representante de la empresa. Asimismo señala que el principal accionista de la empresa Irrigar S.A.C. es al mismo tiempo accionista de la empresa Orbes Agrícola S.A.C. En ese sentido, solicita se descalifique la propuesta del postor ganador de la buena pro y se le apertura el procedimiento administrativo sancionador correspondiente.</w:t>
      </w:r>
    </w:p>
    <w:p w:rsidR="0001287F" w:rsidRPr="0001287F" w:rsidRDefault="0001287F" w:rsidP="0001287F">
      <w:pPr>
        <w:ind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El 15 de octubre de 2007, el Tribunal admitió a trámite el recurso de revisión interpuesto por El Impugnante, emplazando a La Entidad para que remita los antecedentes administrativos correspondientes.</w:t>
      </w:r>
    </w:p>
    <w:p w:rsidR="0001287F" w:rsidRPr="0001287F" w:rsidRDefault="0001287F" w:rsidP="0001287F">
      <w:pPr>
        <w:ind w:right="-81"/>
        <w:jc w:val="both"/>
        <w:rPr>
          <w:rFonts w:ascii="Tahoma" w:hAnsi="Tahoma" w:cs="Tahoma"/>
        </w:rPr>
      </w:pPr>
    </w:p>
    <w:p w:rsid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El 24 de octubre de 2007, La Entidad remitió los antecedentes administrativos solicitados.</w:t>
      </w:r>
    </w:p>
    <w:p w:rsidR="00C92275" w:rsidRPr="0001287F" w:rsidRDefault="00C92275" w:rsidP="00C92275">
      <w:pPr>
        <w:ind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 xml:space="preserve">El 12 de noviembre de 2007, la VII-DIRTEPOL-L-DIVTER-1-JEFDINT-SA-M-Comisaría PNP de San Miguel, remitió copia del Dictamen Pericial de </w:t>
      </w:r>
      <w:proofErr w:type="spellStart"/>
      <w:r w:rsidRPr="0001287F">
        <w:rPr>
          <w:rFonts w:ascii="Tahoma" w:hAnsi="Tahoma" w:cs="Tahoma"/>
        </w:rPr>
        <w:t>Grafotécnia</w:t>
      </w:r>
      <w:proofErr w:type="spellEnd"/>
      <w:r w:rsidRPr="0001287F">
        <w:rPr>
          <w:rFonts w:ascii="Tahoma" w:hAnsi="Tahoma" w:cs="Tahoma"/>
        </w:rPr>
        <w:t xml:space="preserve"> Nº 1394-2007 expedido como parte de las investigaciones realizadas por dicha comisaría respecto de la denuncia formulada por el representante de El Impugnante por la presunta comisión de delito contra el patrimonio-fraude en la administración de personas jurídicas, delito contra la fe pública y asociación ilícita para delinquir. </w:t>
      </w:r>
    </w:p>
    <w:p w:rsidR="0001287F" w:rsidRPr="0001287F" w:rsidRDefault="0001287F" w:rsidP="0001287F">
      <w:pPr>
        <w:ind w:right="-81"/>
        <w:jc w:val="both"/>
        <w:rPr>
          <w:rFonts w:ascii="Tahoma" w:hAnsi="Tahoma" w:cs="Tahoma"/>
        </w:rPr>
      </w:pPr>
    </w:p>
    <w:p w:rsidR="0001287F" w:rsidRPr="0001287F" w:rsidRDefault="0001287F" w:rsidP="0001287F">
      <w:pPr>
        <w:ind w:left="540" w:right="-81"/>
        <w:jc w:val="both"/>
        <w:rPr>
          <w:rFonts w:ascii="Tahoma" w:hAnsi="Tahoma" w:cs="Tahoma"/>
        </w:rPr>
      </w:pPr>
      <w:r w:rsidRPr="0001287F">
        <w:rPr>
          <w:rFonts w:ascii="Tahoma" w:hAnsi="Tahoma" w:cs="Tahoma"/>
        </w:rPr>
        <w:t xml:space="preserve">El Dictamen alcanzado concluye que las suscripciones atribuidas a José Idelfonso </w:t>
      </w:r>
      <w:proofErr w:type="spellStart"/>
      <w:r w:rsidRPr="0001287F">
        <w:rPr>
          <w:rFonts w:ascii="Tahoma" w:hAnsi="Tahoma" w:cs="Tahoma"/>
        </w:rPr>
        <w:t>Vigil</w:t>
      </w:r>
      <w:proofErr w:type="spellEnd"/>
      <w:r w:rsidRPr="0001287F">
        <w:rPr>
          <w:rFonts w:ascii="Tahoma" w:hAnsi="Tahoma" w:cs="Tahoma"/>
        </w:rPr>
        <w:t xml:space="preserve"> Achutegui que obran en los contratos de servicio de mantenimiento de áreas verdes y plantas ornamentales de fecha 28 de abril de 2003 y el certificado de culminación de fecha 30 de mayo de 2004 que exhiben el logotipo de </w:t>
      </w:r>
      <w:proofErr w:type="spellStart"/>
      <w:r w:rsidRPr="0001287F">
        <w:rPr>
          <w:rFonts w:ascii="Tahoma" w:hAnsi="Tahoma" w:cs="Tahoma"/>
        </w:rPr>
        <w:t>Agrototal</w:t>
      </w:r>
      <w:proofErr w:type="spellEnd"/>
      <w:r w:rsidRPr="0001287F">
        <w:rPr>
          <w:rFonts w:ascii="Tahoma" w:hAnsi="Tahoma" w:cs="Tahoma"/>
        </w:rPr>
        <w:t xml:space="preserve"> del Perú constituyen firmas no auténticas. Asimismo, señala que las signaturas atribuidas al señor Roberto Marino Salazar que obran en la Orden de Servicio Nº 0026/05, en el </w:t>
      </w:r>
      <w:r w:rsidRPr="0001287F">
        <w:rPr>
          <w:rFonts w:ascii="Tahoma" w:hAnsi="Tahoma" w:cs="Tahoma"/>
        </w:rPr>
        <w:lastRenderedPageBreak/>
        <w:t xml:space="preserve">acta de liquidación del servicio de fecha 12 de setiembre de 2005, en la Orden de Servicio Nº 0035/06 y el acta de liquidación de servicio de fecha 25 de setiembre de 2006, documentos que exhiben el logotipo de Irrigar S.A.C. no son auténticas. Finalmente, informa que las signaturas controvertidas presentan características de haber sido ejecutadas por el mismo puño que trazo las signaturas de </w:t>
      </w:r>
      <w:proofErr w:type="spellStart"/>
      <w:r w:rsidRPr="0001287F">
        <w:rPr>
          <w:rFonts w:ascii="Tahoma" w:hAnsi="Tahoma" w:cs="Tahoma"/>
        </w:rPr>
        <w:t>Susan</w:t>
      </w:r>
      <w:proofErr w:type="spellEnd"/>
      <w:r w:rsidRPr="0001287F">
        <w:rPr>
          <w:rFonts w:ascii="Tahoma" w:hAnsi="Tahoma" w:cs="Tahoma"/>
        </w:rPr>
        <w:t xml:space="preserve"> Tamariz Febres, representante del Consorcio conformado por las empresas Orbes Agrícolas S.A.C. y Jardines del Mundo S.R.L.</w:t>
      </w:r>
    </w:p>
    <w:p w:rsidR="0001287F" w:rsidRPr="0001287F" w:rsidRDefault="0001287F" w:rsidP="0001287F">
      <w:pPr>
        <w:ind w:left="540"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El 14 de noviembre de 2007, la VII-DIRTEPOL-L-DIVTER-1-JEFDINT-SA-M-Comisaría PNP de San Miguel, comunicó que se ha llegado a establecer la presunta comisión del delito contra la fe pública en los documentos presentados por el Consorcio conformado por las empresas Orbes Agrícolas S.A.C. y Jardines del Mundo S.R.L. para acreditar su experiencia en el Proceso por Competencia Mayor Nº 0018-2007-OTL/PETROPERÚ.</w:t>
      </w:r>
    </w:p>
    <w:p w:rsidR="0001287F" w:rsidRPr="0001287F" w:rsidRDefault="0001287F" w:rsidP="0001287F">
      <w:pPr>
        <w:ind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Mediante escrito presentado el 14 de noviembre de 2007, el Consorcio conformado por las empresas Orbes Agrícolas S.A.C. y Jardines del Mundo S.R.L., en lo sucesivo El Consorcio, se apersonó en calidad de tercero administrado.</w:t>
      </w:r>
    </w:p>
    <w:p w:rsidR="0001287F" w:rsidRPr="0001287F" w:rsidRDefault="0001287F" w:rsidP="0001287F">
      <w:pPr>
        <w:ind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 xml:space="preserve">El 21 de noviembre de 2007, la VII-DIRTEPOL-L-DIVTER-1-JEFDINT-SA-M-Comisaría PNP de San Miguel, informó que según la base de datos de COFOPRI no se encontró empadronamiento alguno de fundos, haciendas o tierras de cultivo en las zonas de Pisco, Chincha e Ica, a nombre de las empresas </w:t>
      </w:r>
      <w:proofErr w:type="spellStart"/>
      <w:r w:rsidRPr="0001287F">
        <w:rPr>
          <w:rFonts w:ascii="Tahoma" w:hAnsi="Tahoma" w:cs="Tahoma"/>
        </w:rPr>
        <w:t>Agrototal</w:t>
      </w:r>
      <w:proofErr w:type="spellEnd"/>
      <w:r w:rsidRPr="0001287F">
        <w:rPr>
          <w:rFonts w:ascii="Tahoma" w:hAnsi="Tahoma" w:cs="Tahoma"/>
        </w:rPr>
        <w:t xml:space="preserve"> del Perú S.A.C. e Irrigar S.A.C. Asimismo, indicó que la señora </w:t>
      </w:r>
      <w:proofErr w:type="spellStart"/>
      <w:r w:rsidRPr="0001287F">
        <w:rPr>
          <w:rFonts w:ascii="Tahoma" w:hAnsi="Tahoma" w:cs="Tahoma"/>
        </w:rPr>
        <w:t>Susan</w:t>
      </w:r>
      <w:proofErr w:type="spellEnd"/>
      <w:r w:rsidRPr="0001287F">
        <w:rPr>
          <w:rFonts w:ascii="Tahoma" w:hAnsi="Tahoma" w:cs="Tahoma"/>
        </w:rPr>
        <w:t xml:space="preserve"> Tamariz Febres ha hecho uso indebido de un </w:t>
      </w:r>
      <w:proofErr w:type="spellStart"/>
      <w:r w:rsidRPr="0001287F">
        <w:rPr>
          <w:rFonts w:ascii="Tahoma" w:hAnsi="Tahoma" w:cs="Tahoma"/>
        </w:rPr>
        <w:t>titulo</w:t>
      </w:r>
      <w:proofErr w:type="spellEnd"/>
      <w:r w:rsidRPr="0001287F">
        <w:rPr>
          <w:rFonts w:ascii="Tahoma" w:hAnsi="Tahoma" w:cs="Tahoma"/>
        </w:rPr>
        <w:t xml:space="preserve"> profesional que no le corresponde en la suscripción de los documentos presentados como parte de la oferta de El Consorcio, toda vez que no ostenta el título profesional de ingeniera.</w:t>
      </w:r>
    </w:p>
    <w:p w:rsidR="0001287F" w:rsidRPr="0001287F" w:rsidRDefault="0001287F" w:rsidP="0001287F">
      <w:pPr>
        <w:ind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El 27 de noviembre de 2007 se declaró frustrada la realizó la Audiencia Pública convocada por inasistencia de las partes.</w:t>
      </w:r>
    </w:p>
    <w:p w:rsidR="0001287F" w:rsidRPr="0001287F" w:rsidRDefault="0001287F" w:rsidP="0001287F">
      <w:pPr>
        <w:pStyle w:val="Prrafodelista"/>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El 27 de noviembre de 2007, se solicitó información adicional a La Entidad, El Consorcio y el Colegio de Ingenieros del Perú.</w:t>
      </w:r>
    </w:p>
    <w:p w:rsidR="0001287F" w:rsidRPr="0001287F" w:rsidRDefault="0001287F" w:rsidP="0001287F">
      <w:pPr>
        <w:pStyle w:val="Prrafodelista"/>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 xml:space="preserve">El 28 de noviembre de 2007, El Consorcio solicitó se descalifique la propuesta de El Impugnante en atención a que las Bases establecieron expresamente la imposibilidad de participar de las empresas que tengan como objeto social la intermediación laboral, conforme a lo dispuesto en el artículo 2 del Decreto Supremo Nº 0003-2002-TR. Asimismo, señaló la documentación presentada en su propuesta a efectos de acreditar su experiencia esta premunida por el principio de presunción de veracidad, la cual no ha sido desvirtuada por El Impugnante, siendo lo relevante que las prestaciones materia de dichas relaciones contractuales se ejecutaron. Adicionalmente, remitió copia de comunicaciones cursadas por las empresas </w:t>
      </w:r>
      <w:proofErr w:type="spellStart"/>
      <w:r w:rsidRPr="0001287F">
        <w:rPr>
          <w:rFonts w:ascii="Tahoma" w:hAnsi="Tahoma" w:cs="Tahoma"/>
        </w:rPr>
        <w:t>Agrototal</w:t>
      </w:r>
      <w:proofErr w:type="spellEnd"/>
      <w:r w:rsidRPr="0001287F">
        <w:rPr>
          <w:rFonts w:ascii="Tahoma" w:hAnsi="Tahoma" w:cs="Tahoma"/>
        </w:rPr>
        <w:t xml:space="preserve"> del Perú S.A.C. e Irrigar S.A.C. a La Entidad, en las cuales confirman su vínculo comercial con la empresa Orbes Agrícola S.A.C. materia del contrato de fecha 28 de abril de 2003 y de las Ordenes de Servicio Nº 0026/05 y 0035/06.</w:t>
      </w:r>
    </w:p>
    <w:p w:rsidR="0001287F" w:rsidRPr="0001287F" w:rsidRDefault="0001287F" w:rsidP="0001287F">
      <w:pPr>
        <w:pStyle w:val="Prrafodelista"/>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 xml:space="preserve">El 3 de diciembre de 2007, la VII-DIRTEPOL-L-DIVTER-1-JEFDINT-SA-M-Comisaría PNP de San Miguel, alcanzó el Parte Nº 1000-VII-DIRTEPOL-DIVTER-1-JD-SM-CSM-SEINCRI, en el cual el instructor concluye que la pericia </w:t>
      </w:r>
      <w:proofErr w:type="spellStart"/>
      <w:r w:rsidRPr="0001287F">
        <w:rPr>
          <w:rFonts w:ascii="Tahoma" w:hAnsi="Tahoma" w:cs="Tahoma"/>
        </w:rPr>
        <w:t>grafotécnica</w:t>
      </w:r>
      <w:proofErr w:type="spellEnd"/>
      <w:r w:rsidRPr="0001287F">
        <w:rPr>
          <w:rFonts w:ascii="Tahoma" w:hAnsi="Tahoma" w:cs="Tahoma"/>
        </w:rPr>
        <w:t xml:space="preserve"> realizada no </w:t>
      </w:r>
      <w:r w:rsidRPr="0001287F">
        <w:rPr>
          <w:rFonts w:ascii="Tahoma" w:hAnsi="Tahoma" w:cs="Tahoma"/>
        </w:rPr>
        <w:lastRenderedPageBreak/>
        <w:t xml:space="preserve">puede ser tomada como algo determinante por cuanto ésta se practicó sobre documentos en fotocopia simple y no sobre documentos originales donde obre la firma cuestionada. Asimismo, señaló que los representantes de las empresas Orbes Agrícola S.A.C. y </w:t>
      </w:r>
      <w:proofErr w:type="spellStart"/>
      <w:r w:rsidRPr="0001287F">
        <w:rPr>
          <w:rFonts w:ascii="Tahoma" w:hAnsi="Tahoma" w:cs="Tahoma"/>
        </w:rPr>
        <w:t>Agrototal</w:t>
      </w:r>
      <w:proofErr w:type="spellEnd"/>
      <w:r w:rsidRPr="0001287F">
        <w:rPr>
          <w:rFonts w:ascii="Tahoma" w:hAnsi="Tahoma" w:cs="Tahoma"/>
        </w:rPr>
        <w:t xml:space="preserve"> del Perú S.A.C. reconocieron, al rendir sus manifestaciones con participación del representante del Ministerio Público, haber celebrado los contratos presentados por El Consorcio en su propuesta. Finalmente, en relación a que la señorita </w:t>
      </w:r>
      <w:proofErr w:type="spellStart"/>
      <w:r w:rsidRPr="0001287F">
        <w:rPr>
          <w:rFonts w:ascii="Tahoma" w:hAnsi="Tahoma" w:cs="Tahoma"/>
        </w:rPr>
        <w:t>Susan</w:t>
      </w:r>
      <w:proofErr w:type="spellEnd"/>
      <w:r w:rsidRPr="0001287F">
        <w:rPr>
          <w:rFonts w:ascii="Tahoma" w:hAnsi="Tahoma" w:cs="Tahoma"/>
        </w:rPr>
        <w:t xml:space="preserve"> Tamariz Febres se habría irrogado el título de ingeniera, considera que en el sello aparecen únicamente las siglas </w:t>
      </w:r>
      <w:proofErr w:type="spellStart"/>
      <w:r w:rsidRPr="0001287F">
        <w:rPr>
          <w:rFonts w:ascii="Tahoma" w:hAnsi="Tahoma" w:cs="Tahoma"/>
        </w:rPr>
        <w:t>ing.</w:t>
      </w:r>
      <w:proofErr w:type="spellEnd"/>
      <w:r w:rsidRPr="0001287F">
        <w:rPr>
          <w:rFonts w:ascii="Tahoma" w:hAnsi="Tahoma" w:cs="Tahoma"/>
        </w:rPr>
        <w:t>, lo que imposibilita determinar en forma fehaciente que se halla irrogado título profesional alguno, más aún cuando no se consigna especialización alguna dentro del campo de la ingeniería ni colegiatura alguna.</w:t>
      </w:r>
    </w:p>
    <w:p w:rsidR="0001287F" w:rsidRPr="0001287F" w:rsidRDefault="0001287F" w:rsidP="0001287F">
      <w:pPr>
        <w:pStyle w:val="Prrafodelista"/>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 xml:space="preserve">El 3 de diciembre de 2007, El Consorcio adjuntó copia simple de las Facturas Nº 001-0007395, 001-0007412, 001-0007417, 001-0007940, 001-0007942 y 001-0008084 expedidas a favor de Irrigar S.A.C., y las Facturas Nº 001-001602, 001-001612, 001-001614, 001-001632, 001-001634, 001-002180, 001-002598, 001-002610, 001-002614, 001-002616, 001-002634, 001-002801, 001-002821, 001-002896, 001-002913, 001-002951, 001-0003147, 001-0003224, 001-0003730, 001-0003743, 001-0004653, 001-0004712, 001-0004762 y 001-0004800 expedidas a favor de la empresa </w:t>
      </w:r>
      <w:proofErr w:type="spellStart"/>
      <w:r w:rsidRPr="0001287F">
        <w:rPr>
          <w:rFonts w:ascii="Tahoma" w:hAnsi="Tahoma" w:cs="Tahoma"/>
        </w:rPr>
        <w:t>Agrototal</w:t>
      </w:r>
      <w:proofErr w:type="spellEnd"/>
      <w:r w:rsidRPr="0001287F">
        <w:rPr>
          <w:rFonts w:ascii="Tahoma" w:hAnsi="Tahoma" w:cs="Tahoma"/>
        </w:rPr>
        <w:t xml:space="preserve"> del Perú S.A.C. </w:t>
      </w:r>
    </w:p>
    <w:p w:rsidR="0001287F" w:rsidRPr="0001287F" w:rsidRDefault="0001287F" w:rsidP="0001287F">
      <w:pPr>
        <w:pStyle w:val="Prrafodelista"/>
        <w:rPr>
          <w:rFonts w:ascii="Tahoma" w:hAnsi="Tahoma" w:cs="Tahoma"/>
        </w:rPr>
      </w:pPr>
    </w:p>
    <w:p w:rsidR="0001287F" w:rsidRPr="0001287F" w:rsidRDefault="0001287F" w:rsidP="0001287F">
      <w:pPr>
        <w:ind w:left="540" w:right="-81"/>
        <w:jc w:val="both"/>
        <w:rPr>
          <w:rFonts w:ascii="Tahoma" w:hAnsi="Tahoma" w:cs="Tahoma"/>
        </w:rPr>
      </w:pPr>
      <w:r w:rsidRPr="0001287F">
        <w:rPr>
          <w:rFonts w:ascii="Tahoma" w:hAnsi="Tahoma" w:cs="Tahoma"/>
        </w:rPr>
        <w:t xml:space="preserve">En lo que respecta a la consignación de la abreviatura </w:t>
      </w:r>
      <w:proofErr w:type="spellStart"/>
      <w:r w:rsidRPr="0001287F">
        <w:rPr>
          <w:rFonts w:ascii="Tahoma" w:hAnsi="Tahoma" w:cs="Tahoma"/>
        </w:rPr>
        <w:t>ing.</w:t>
      </w:r>
      <w:proofErr w:type="spellEnd"/>
      <w:r w:rsidRPr="0001287F">
        <w:rPr>
          <w:rFonts w:ascii="Tahoma" w:hAnsi="Tahoma" w:cs="Tahoma"/>
        </w:rPr>
        <w:t xml:space="preserve"> por parte de la señorita Tamariz, manifiesta que dicho hecho no supuso una ventaja para El Consorcio ni un perjuicio para los demás postores, toda vez que no ha sido determinante para que su propuesta sea admitida o para que se le haya asignado un puntaje que no le correspondía. Asimismo, señala que lo señalado por la señorita Tamariz no es otra cosa que una atribución coloquial dentro de las relaciones comerciales.</w:t>
      </w:r>
    </w:p>
    <w:p w:rsidR="0001287F" w:rsidRPr="0001287F" w:rsidRDefault="0001287F" w:rsidP="0001287F">
      <w:pPr>
        <w:ind w:left="540" w:right="-81"/>
        <w:jc w:val="both"/>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 xml:space="preserve">El 4 de diciembre de 2007, el Colegio de Ingenieros del Perú señaló que la señorita </w:t>
      </w:r>
      <w:proofErr w:type="spellStart"/>
      <w:r w:rsidRPr="0001287F">
        <w:rPr>
          <w:rFonts w:ascii="Tahoma" w:hAnsi="Tahoma" w:cs="Tahoma"/>
        </w:rPr>
        <w:t>Susan</w:t>
      </w:r>
      <w:proofErr w:type="spellEnd"/>
      <w:r w:rsidRPr="0001287F">
        <w:rPr>
          <w:rFonts w:ascii="Tahoma" w:hAnsi="Tahoma" w:cs="Tahoma"/>
        </w:rPr>
        <w:t xml:space="preserve"> Tamariz Febres no se encuentra registrada en la orden.</w:t>
      </w:r>
    </w:p>
    <w:p w:rsidR="0001287F" w:rsidRPr="0001287F" w:rsidRDefault="0001287F" w:rsidP="0001287F">
      <w:pPr>
        <w:ind w:left="540" w:right="-81"/>
        <w:jc w:val="both"/>
        <w:rPr>
          <w:rFonts w:ascii="Tahoma" w:hAnsi="Tahoma" w:cs="Tahoma"/>
        </w:rPr>
      </w:pPr>
    </w:p>
    <w:p w:rsidR="0001287F" w:rsidRPr="0001287F" w:rsidRDefault="0001287F" w:rsidP="0001287F">
      <w:pPr>
        <w:numPr>
          <w:ilvl w:val="0"/>
          <w:numId w:val="1"/>
        </w:numPr>
        <w:tabs>
          <w:tab w:val="clear" w:pos="454"/>
          <w:tab w:val="num" w:pos="540"/>
        </w:tabs>
        <w:ind w:left="540" w:hanging="540"/>
        <w:jc w:val="both"/>
        <w:rPr>
          <w:rFonts w:ascii="Tahoma" w:hAnsi="Tahoma" w:cs="Tahoma"/>
        </w:rPr>
      </w:pPr>
      <w:r w:rsidRPr="0001287F">
        <w:rPr>
          <w:rFonts w:ascii="Tahoma" w:hAnsi="Tahoma" w:cs="Tahoma"/>
        </w:rPr>
        <w:t xml:space="preserve">El 5 de diciembre de 2007, La Entidad remitió la información solicitada, adjuntando entre otros, los siguientes documentos: a) La Carta de 14.set.2007 de Irrigar S.A.C. a la Entidad donde confirma la ejecución del servicio de Mantenimiento de áreas verdes por Orbes Agrícola S.A.C. a su satisfacción y por los cuales emitió las órdenes de Servicio Nº 0026/05 y 0035/06; b) La Carta de </w:t>
      </w:r>
      <w:proofErr w:type="spellStart"/>
      <w:r w:rsidRPr="0001287F">
        <w:rPr>
          <w:rFonts w:ascii="Tahoma" w:hAnsi="Tahoma" w:cs="Tahoma"/>
        </w:rPr>
        <w:t>Agrototal</w:t>
      </w:r>
      <w:proofErr w:type="spellEnd"/>
      <w:r w:rsidRPr="0001287F">
        <w:rPr>
          <w:rFonts w:ascii="Tahoma" w:hAnsi="Tahoma" w:cs="Tahoma"/>
        </w:rPr>
        <w:t xml:space="preserve"> del Perú S.A.C. a la Entidad que informa que Orbes Agrícola S.A.C. si les brindó el servicio mencionado en el contrato, y que la rúbrica que aparece en él es de su representante que en esa fecha utilizaba para asuntos administrativos para lo cual presenta el contrato suscrito con la empresa cuestionada. </w:t>
      </w:r>
    </w:p>
    <w:p w:rsidR="0001287F" w:rsidRPr="0001287F" w:rsidRDefault="0001287F" w:rsidP="0001287F">
      <w:pPr>
        <w:ind w:right="-81"/>
        <w:jc w:val="both"/>
        <w:rPr>
          <w:rFonts w:ascii="Tahoma" w:hAnsi="Tahoma" w:cs="Tahoma"/>
          <w:highlight w:val="green"/>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El 6 de diciembre de 2007 se declaró el expediente expedito para resolver.</w:t>
      </w:r>
    </w:p>
    <w:p w:rsidR="0001287F" w:rsidRPr="0001287F" w:rsidRDefault="0001287F" w:rsidP="0001287F">
      <w:pPr>
        <w:pStyle w:val="Prrafodelista"/>
        <w:rPr>
          <w:rFonts w:ascii="Tahoma" w:hAnsi="Tahoma" w:cs="Tahoma"/>
        </w:rPr>
      </w:pPr>
    </w:p>
    <w:p w:rsidR="0001287F" w:rsidRPr="0001287F" w:rsidRDefault="0001287F" w:rsidP="0001287F">
      <w:pPr>
        <w:numPr>
          <w:ilvl w:val="0"/>
          <w:numId w:val="1"/>
        </w:numPr>
        <w:tabs>
          <w:tab w:val="clear" w:pos="454"/>
          <w:tab w:val="num" w:pos="540"/>
        </w:tabs>
        <w:ind w:left="540" w:right="-81" w:hanging="540"/>
        <w:jc w:val="both"/>
        <w:rPr>
          <w:rFonts w:ascii="Tahoma" w:hAnsi="Tahoma" w:cs="Tahoma"/>
        </w:rPr>
      </w:pPr>
      <w:r w:rsidRPr="0001287F">
        <w:rPr>
          <w:rFonts w:ascii="Tahoma" w:hAnsi="Tahoma" w:cs="Tahoma"/>
        </w:rPr>
        <w:t>El 6 de diciembre de 2007, El Impugnante reiteró los argumentos expuestos en su recurso respecto a la vulneración del principio de veracidad por parte de El Consorcio a efectos de acreditar su experiencia empresarial.</w:t>
      </w:r>
    </w:p>
    <w:p w:rsidR="009A7335" w:rsidRPr="0001287F" w:rsidRDefault="009A7335" w:rsidP="009A7335">
      <w:pPr>
        <w:ind w:left="567"/>
        <w:jc w:val="both"/>
        <w:rPr>
          <w:rFonts w:ascii="Tahoma" w:hAnsi="Tahoma" w:cs="Tahoma"/>
        </w:rPr>
      </w:pPr>
    </w:p>
    <w:p w:rsidR="00965E33" w:rsidRPr="0001287F" w:rsidRDefault="00965E33" w:rsidP="00E7455B">
      <w:pPr>
        <w:ind w:right="279"/>
        <w:jc w:val="both"/>
        <w:rPr>
          <w:rFonts w:ascii="Tahoma" w:hAnsi="Tahoma" w:cs="Tahoma"/>
          <w:b/>
          <w:shadow/>
        </w:rPr>
      </w:pPr>
      <w:r w:rsidRPr="0001287F">
        <w:rPr>
          <w:rFonts w:ascii="Tahoma" w:hAnsi="Tahoma" w:cs="Tahoma"/>
          <w:b/>
          <w:shadow/>
        </w:rPr>
        <w:t>FUNDAMENTACIÓN:</w:t>
      </w:r>
    </w:p>
    <w:p w:rsidR="0072647C" w:rsidRPr="0001287F" w:rsidRDefault="0072647C" w:rsidP="00E7455B">
      <w:pPr>
        <w:ind w:right="279"/>
        <w:jc w:val="both"/>
        <w:rPr>
          <w:rFonts w:ascii="Tahoma" w:hAnsi="Tahoma" w:cs="Tahoma"/>
          <w:b/>
          <w:shadow/>
        </w:rPr>
      </w:pPr>
    </w:p>
    <w:p w:rsidR="0001287F" w:rsidRPr="0001287F" w:rsidRDefault="0001287F" w:rsidP="0001287F">
      <w:pPr>
        <w:numPr>
          <w:ilvl w:val="0"/>
          <w:numId w:val="3"/>
        </w:numPr>
        <w:tabs>
          <w:tab w:val="num" w:pos="567"/>
        </w:tabs>
        <w:jc w:val="both"/>
        <w:rPr>
          <w:rFonts w:ascii="Tahoma" w:hAnsi="Tahoma" w:cs="Tahoma"/>
        </w:rPr>
      </w:pPr>
      <w:r w:rsidRPr="0001287F">
        <w:rPr>
          <w:rFonts w:ascii="Tahoma" w:hAnsi="Tahoma" w:cs="Tahoma"/>
        </w:rPr>
        <w:lastRenderedPageBreak/>
        <w:t>Es materia de este procedimiento administrativo el recurso de revisión interpuesto por El Impugnante contra la Resolución de Gerencia Operaciones Talara Nº GOTL-043-2007-PP de fecha 2 de octubre de 2007, publicada en el SEACE el 3 de dicho mes y año, que declaró infundado el recurso de apelación que interpuso contra el otorgamiento de la buena pro del Proceso por Competencia Mayor Nº 0018-2007-OTL/PETROPERÚ, con el objeto de contratar el servicio de mantenimiento de áreas verdes en operaciones Talara.</w:t>
      </w:r>
    </w:p>
    <w:p w:rsidR="0001287F" w:rsidRPr="0001287F" w:rsidRDefault="0001287F" w:rsidP="0001287F">
      <w:pPr>
        <w:ind w:left="454"/>
        <w:jc w:val="both"/>
        <w:rPr>
          <w:rFonts w:ascii="Tahoma" w:hAnsi="Tahoma" w:cs="Tahoma"/>
        </w:rPr>
      </w:pPr>
    </w:p>
    <w:p w:rsidR="0001287F" w:rsidRPr="0001287F" w:rsidRDefault="0001287F" w:rsidP="0001287F">
      <w:pPr>
        <w:numPr>
          <w:ilvl w:val="0"/>
          <w:numId w:val="3"/>
        </w:numPr>
        <w:tabs>
          <w:tab w:val="num" w:pos="567"/>
        </w:tabs>
        <w:jc w:val="both"/>
        <w:rPr>
          <w:rFonts w:ascii="Tahoma" w:hAnsi="Tahoma" w:cs="Tahoma"/>
        </w:rPr>
      </w:pPr>
      <w:r w:rsidRPr="0001287F">
        <w:rPr>
          <w:rFonts w:ascii="Tahoma" w:hAnsi="Tahoma" w:cs="Tahoma"/>
        </w:rPr>
        <w:t xml:space="preserve">Como fluye de los antecedentes expuestos, el asunto controvertido que debe ser objeto de pronunciamiento por haber sido propuesto por El Impugnante consiste en determinar si la decisión del Comité Especial de otorgar la buena pro a la propuesta formulada por El Consorcio resulta válida conforme a la normativa vigente en materia de contrataciones y adquisiciones del Estado. Cabe señalar que en el presente caso, la controversia ha surgido porque El impugnante ha alegado que los documentos que acreditarían la experiencia de la adjudicataria carecen de validez legal por haber vulnerado el principio de presunción de veracidad. </w:t>
      </w:r>
    </w:p>
    <w:p w:rsidR="0001287F" w:rsidRPr="0001287F" w:rsidRDefault="0001287F" w:rsidP="0001287F">
      <w:pPr>
        <w:ind w:left="454"/>
        <w:jc w:val="both"/>
        <w:rPr>
          <w:rFonts w:ascii="Tahoma" w:hAnsi="Tahoma" w:cs="Tahoma"/>
        </w:rPr>
      </w:pPr>
    </w:p>
    <w:p w:rsidR="0001287F" w:rsidRPr="0001287F" w:rsidRDefault="0001287F" w:rsidP="0001287F">
      <w:pPr>
        <w:tabs>
          <w:tab w:val="num" w:pos="567"/>
        </w:tabs>
        <w:ind w:left="454"/>
        <w:jc w:val="both"/>
        <w:rPr>
          <w:rFonts w:ascii="Tahoma" w:hAnsi="Tahoma" w:cs="Tahoma"/>
        </w:rPr>
      </w:pPr>
      <w:r w:rsidRPr="0001287F">
        <w:rPr>
          <w:rFonts w:ascii="Tahoma" w:hAnsi="Tahoma" w:cs="Tahoma"/>
        </w:rPr>
        <w:t xml:space="preserve">En ese sentido, resulta necesario que este Colegiado analice la veracidad de los documentos presentados y afirmaciones efectuadas por la adjudicataria en su propuesta técnica. </w:t>
      </w:r>
    </w:p>
    <w:p w:rsidR="0001287F" w:rsidRPr="0001287F" w:rsidRDefault="0001287F" w:rsidP="0001287F">
      <w:pPr>
        <w:pStyle w:val="Prrafodelista"/>
        <w:jc w:val="both"/>
        <w:rPr>
          <w:rFonts w:ascii="Tahoma" w:hAnsi="Tahoma" w:cs="Tahoma"/>
        </w:rPr>
      </w:pPr>
    </w:p>
    <w:p w:rsidR="0001287F" w:rsidRPr="0001287F" w:rsidRDefault="0001287F" w:rsidP="0001287F">
      <w:pPr>
        <w:numPr>
          <w:ilvl w:val="0"/>
          <w:numId w:val="3"/>
        </w:numPr>
        <w:jc w:val="both"/>
        <w:rPr>
          <w:rFonts w:ascii="Tahoma" w:hAnsi="Tahoma" w:cs="Tahoma"/>
        </w:rPr>
      </w:pPr>
      <w:r w:rsidRPr="0001287F">
        <w:rPr>
          <w:rFonts w:ascii="Tahoma" w:hAnsi="Tahoma" w:cs="Tahoma"/>
        </w:rPr>
        <w:t xml:space="preserve">En primer lugar tenemos que en la propuesta técnica presentada por El Consorcio (folios 155 y 156 de los antecedentes remitidos por la Entidad), la representante de la empresa Jardines del Mundo S.R.L. y a su vez representante designada de la promesa formal de consorcio, Srta. </w:t>
      </w:r>
      <w:proofErr w:type="spellStart"/>
      <w:r w:rsidRPr="0001287F">
        <w:rPr>
          <w:rFonts w:ascii="Tahoma" w:hAnsi="Tahoma" w:cs="Tahoma"/>
        </w:rPr>
        <w:t>Susan</w:t>
      </w:r>
      <w:proofErr w:type="spellEnd"/>
      <w:r w:rsidRPr="0001287F">
        <w:rPr>
          <w:rFonts w:ascii="Tahoma" w:hAnsi="Tahoma" w:cs="Tahoma"/>
        </w:rPr>
        <w:t xml:space="preserve"> Tamariz Febres, suscribe la propuesta con el sello de </w:t>
      </w:r>
      <w:r w:rsidRPr="0001287F">
        <w:rPr>
          <w:rFonts w:ascii="Tahoma" w:hAnsi="Tahoma" w:cs="Tahoma"/>
          <w:i/>
        </w:rPr>
        <w:t>“</w:t>
      </w:r>
      <w:r w:rsidRPr="0001287F">
        <w:rPr>
          <w:rFonts w:ascii="Tahoma" w:hAnsi="Tahoma" w:cs="Tahoma"/>
          <w:b/>
          <w:i/>
          <w:u w:val="single"/>
        </w:rPr>
        <w:t>Ing.</w:t>
      </w:r>
      <w:r w:rsidRPr="0001287F">
        <w:rPr>
          <w:rFonts w:ascii="Tahoma" w:hAnsi="Tahoma" w:cs="Tahoma"/>
          <w:i/>
          <w:u w:val="single"/>
        </w:rPr>
        <w:t xml:space="preserve"> </w:t>
      </w:r>
      <w:proofErr w:type="spellStart"/>
      <w:r w:rsidRPr="0001287F">
        <w:rPr>
          <w:rFonts w:ascii="Tahoma" w:hAnsi="Tahoma" w:cs="Tahoma"/>
          <w:i/>
          <w:u w:val="single"/>
        </w:rPr>
        <w:t>Susan</w:t>
      </w:r>
      <w:proofErr w:type="spellEnd"/>
      <w:r w:rsidRPr="0001287F">
        <w:rPr>
          <w:rFonts w:ascii="Tahoma" w:hAnsi="Tahoma" w:cs="Tahoma"/>
          <w:i/>
          <w:u w:val="single"/>
        </w:rPr>
        <w:t xml:space="preserve"> Tamariz Febres</w:t>
      </w:r>
      <w:r w:rsidRPr="0001287F">
        <w:rPr>
          <w:rFonts w:ascii="Tahoma" w:hAnsi="Tahoma" w:cs="Tahoma"/>
          <w:i/>
        </w:rPr>
        <w:t>”</w:t>
      </w:r>
      <w:r w:rsidRPr="0001287F">
        <w:rPr>
          <w:rFonts w:ascii="Tahoma" w:hAnsi="Tahoma" w:cs="Tahoma"/>
        </w:rPr>
        <w:t xml:space="preserve">. </w:t>
      </w:r>
    </w:p>
    <w:p w:rsidR="0001287F" w:rsidRPr="0001287F" w:rsidRDefault="0001287F" w:rsidP="0001287F">
      <w:pPr>
        <w:ind w:left="454"/>
        <w:jc w:val="both"/>
        <w:rPr>
          <w:rFonts w:ascii="Tahoma" w:hAnsi="Tahoma" w:cs="Tahoma"/>
        </w:rPr>
      </w:pPr>
    </w:p>
    <w:p w:rsidR="0001287F" w:rsidRPr="0001287F" w:rsidRDefault="0001287F" w:rsidP="0001287F">
      <w:pPr>
        <w:ind w:left="454"/>
        <w:jc w:val="both"/>
        <w:rPr>
          <w:rFonts w:ascii="Tahoma" w:hAnsi="Tahoma" w:cs="Tahoma"/>
        </w:rPr>
      </w:pPr>
      <w:r w:rsidRPr="0001287F">
        <w:rPr>
          <w:rFonts w:ascii="Tahoma" w:hAnsi="Tahoma" w:cs="Tahoma"/>
        </w:rPr>
        <w:t>Al respecto, de los documentos remitidos por el postor impugnante y el Colegio de Ingenieros del Perú, ha quedado demostrado que la mencionada señorita no se encuentra registrada en el Colegio de Ingenieros del Perú ni ostenta el título de ingeniera, más aún no ha culminado estudios de Ingeniería Ambiental en la Universidad Nacional del Callao, al sólo haber aprobado 158 créditos de los 211 exigidos para considerarla como egresada de la facultad de Ingeniería Ambiental de esa casa de estudios, conforme se acredita con el Oficio Nº 681-2007-D-FIARN de 23.Oct.07, Informe Nº 177-07-URA/OAGRA de 25.Oct.07 y la Carta Nº 779-2006/SG-CN de 23.Oct.07.</w:t>
      </w:r>
    </w:p>
    <w:p w:rsidR="0001287F" w:rsidRPr="0001287F" w:rsidRDefault="0001287F" w:rsidP="0001287F">
      <w:pPr>
        <w:ind w:left="454"/>
        <w:jc w:val="both"/>
        <w:rPr>
          <w:rFonts w:ascii="Tahoma" w:hAnsi="Tahoma" w:cs="Tahoma"/>
        </w:rPr>
      </w:pPr>
    </w:p>
    <w:p w:rsidR="0001287F" w:rsidRPr="0001287F" w:rsidRDefault="0001287F" w:rsidP="0001287F">
      <w:pPr>
        <w:ind w:left="454"/>
        <w:jc w:val="both"/>
        <w:rPr>
          <w:rFonts w:ascii="Tahoma" w:hAnsi="Tahoma" w:cs="Tahoma"/>
        </w:rPr>
      </w:pPr>
      <w:r w:rsidRPr="0001287F">
        <w:rPr>
          <w:rFonts w:ascii="Tahoma" w:hAnsi="Tahoma" w:cs="Tahoma"/>
        </w:rPr>
        <w:t>Sin perjuicio de lo expuesto, conforme se detalló en el numeral 17 de los antecedentes, a consecuencia de las investigaciones efectuadas por la Policía Nacional del Perú, el instructor ha determinado de que no se ha configurado comisión de fraude en la administración de las personas jurídica, falsedad ideológica ni asociación ilícita para delinquir por los representantes legales de las empresas ganadoras de la buena pro (promesa formal de consorcio) ni por aquellos con quienes tuvo relaciones comerciales y habría contratado su experiencia en el proceso de selección en análisis.</w:t>
      </w:r>
    </w:p>
    <w:p w:rsidR="0001287F" w:rsidRPr="0001287F" w:rsidRDefault="0001287F" w:rsidP="0001287F">
      <w:pPr>
        <w:ind w:left="454"/>
        <w:jc w:val="both"/>
        <w:rPr>
          <w:rFonts w:ascii="Tahoma" w:hAnsi="Tahoma" w:cs="Tahoma"/>
        </w:rPr>
      </w:pPr>
    </w:p>
    <w:p w:rsidR="0001287F" w:rsidRPr="0001287F" w:rsidRDefault="0001287F" w:rsidP="0001287F">
      <w:pPr>
        <w:ind w:left="454"/>
        <w:jc w:val="both"/>
        <w:rPr>
          <w:rFonts w:ascii="Tahoma" w:hAnsi="Tahoma" w:cs="Tahoma"/>
        </w:rPr>
      </w:pPr>
      <w:r w:rsidRPr="0001287F">
        <w:rPr>
          <w:rFonts w:ascii="Tahoma" w:hAnsi="Tahoma" w:cs="Tahoma"/>
        </w:rPr>
        <w:t xml:space="preserve">En ese sentido, el PARTE Nº 1000-VII-DIRTEPOL-DIVTER-1-JD-SM-CSM-SEINCRI refiere en relación al título de Ingeniera que supuestamente se habría irrogado la Srta. </w:t>
      </w:r>
      <w:proofErr w:type="spellStart"/>
      <w:r w:rsidRPr="0001287F">
        <w:rPr>
          <w:rFonts w:ascii="Tahoma" w:hAnsi="Tahoma" w:cs="Tahoma"/>
        </w:rPr>
        <w:t>Susan</w:t>
      </w:r>
      <w:proofErr w:type="spellEnd"/>
      <w:r w:rsidRPr="0001287F">
        <w:rPr>
          <w:rFonts w:ascii="Tahoma" w:hAnsi="Tahoma" w:cs="Tahoma"/>
        </w:rPr>
        <w:t xml:space="preserve"> Tamariz Febres que </w:t>
      </w:r>
      <w:r w:rsidRPr="0001287F">
        <w:rPr>
          <w:rFonts w:ascii="Tahoma" w:hAnsi="Tahoma" w:cs="Tahoma"/>
          <w:i/>
        </w:rPr>
        <w:t xml:space="preserve">“(…) no existe en ningún extremo de dicha documentación la palabra INGENIERO ni mucho  menos en el sello utilizado se ha </w:t>
      </w:r>
      <w:r w:rsidRPr="0001287F">
        <w:rPr>
          <w:rFonts w:ascii="Tahoma" w:hAnsi="Tahoma" w:cs="Tahoma"/>
          <w:i/>
        </w:rPr>
        <w:lastRenderedPageBreak/>
        <w:t xml:space="preserve">consignado colegiatura alguna, </w:t>
      </w:r>
      <w:r w:rsidRPr="0001287F">
        <w:rPr>
          <w:rFonts w:ascii="Tahoma" w:hAnsi="Tahoma" w:cs="Tahoma"/>
        </w:rPr>
        <w:t>apreciándose</w:t>
      </w:r>
      <w:r w:rsidRPr="0001287F">
        <w:rPr>
          <w:rFonts w:ascii="Tahoma" w:hAnsi="Tahoma" w:cs="Tahoma"/>
          <w:i/>
        </w:rPr>
        <w:t xml:space="preserve"> que en el sello aparece antes de su nombre las siglas Ing., hecho que imposibilita poder determinar en forma fehaciente que se haya irrogado título profesional alguno (…)”</w:t>
      </w:r>
      <w:r w:rsidRPr="0001287F">
        <w:rPr>
          <w:rFonts w:ascii="Tahoma" w:hAnsi="Tahoma" w:cs="Tahoma"/>
        </w:rPr>
        <w:t xml:space="preserve">. </w:t>
      </w:r>
    </w:p>
    <w:p w:rsidR="0001287F" w:rsidRPr="0001287F" w:rsidRDefault="0001287F" w:rsidP="0001287F">
      <w:pPr>
        <w:ind w:left="454"/>
        <w:jc w:val="both"/>
        <w:rPr>
          <w:rFonts w:ascii="Tahoma" w:hAnsi="Tahoma" w:cs="Tahoma"/>
        </w:rPr>
      </w:pPr>
    </w:p>
    <w:p w:rsidR="0001287F" w:rsidRPr="0001287F" w:rsidRDefault="0001287F" w:rsidP="0001287F">
      <w:pPr>
        <w:numPr>
          <w:ilvl w:val="0"/>
          <w:numId w:val="3"/>
        </w:numPr>
        <w:jc w:val="both"/>
        <w:rPr>
          <w:rFonts w:ascii="Tahoma" w:hAnsi="Tahoma" w:cs="Tahoma"/>
        </w:rPr>
      </w:pPr>
      <w:r w:rsidRPr="0001287F">
        <w:rPr>
          <w:rFonts w:ascii="Tahoma" w:hAnsi="Tahoma" w:cs="Tahoma"/>
        </w:rPr>
        <w:t>Sobre el particular, cabe señalar que las adquisiciones y contrataciones del Estado tienen como finalidad que las Entidades se abastezcan de los recursos necesarios que les permitan cumplir con las funciones a su cargo y para ello, hace uso de los mecanismos legales pertinentes, entre ellos, llevar a cabo un proceso de selección a efectos de seleccionar a una persona natural o jurídica cuya oferta sea la mejor para satisfacer sus necesidades. Teniendo en cuenta que un proceso de selección implica una competencia entre los postores para hacerse acreedores a la buena pro, ésta debe realizarse dentro de los principios de moralidad y libre competencia, puesto que la vulneración de ellos podría dar una ventaja al postor que lo realiza, sólo en esa medida cobran sentido las infracciones tipificadas como presentación de documentos falsos y/o información inexacta y de prácticas restrictivas de la libre competencia.</w:t>
      </w:r>
    </w:p>
    <w:p w:rsidR="0001287F" w:rsidRPr="0001287F" w:rsidRDefault="0001287F" w:rsidP="0001287F">
      <w:pPr>
        <w:ind w:left="454"/>
        <w:jc w:val="both"/>
        <w:rPr>
          <w:rFonts w:ascii="Tahoma" w:hAnsi="Tahoma" w:cs="Tahoma"/>
        </w:rPr>
      </w:pPr>
    </w:p>
    <w:p w:rsidR="0001287F" w:rsidRPr="0001287F" w:rsidRDefault="0001287F" w:rsidP="0001287F">
      <w:pPr>
        <w:ind w:left="454"/>
        <w:jc w:val="both"/>
        <w:rPr>
          <w:rFonts w:ascii="Tahoma" w:hAnsi="Tahoma" w:cs="Tahoma"/>
        </w:rPr>
      </w:pPr>
      <w:r w:rsidRPr="0001287F">
        <w:rPr>
          <w:rFonts w:ascii="Tahoma" w:hAnsi="Tahoma" w:cs="Tahoma"/>
        </w:rPr>
        <w:t xml:space="preserve">En el presente caso, de la revisión de las bases administrativas del referido proceso de selección no se ha encontrado disposición alguna en el sentido que el grado profesional de los representantes legales de los postores haya constituido un requisito de admisibilidad de sus propuestas o que haya sido considerado como factor de evaluación, de modo tal que su inclusión fue completamente intrascendente para el trámite de dicho procedimiento administrativo. Además, debe precisarse que en el ordenamiento legal vigente no existe norma alguna que prohíba a los ciudadanos utilizar el apelativo, seudónimo, nombre de pila, etc., que crea conveniente; existe en cambio, normas legales que reservan determinadas actividades sólo a personas que ostentan un grado académico profesional y, además, se encuentren habilitados para el ejercicio de tal actividad de acuerdo a las normas aplicables a los colegios profesionales correspondientes. En el caso que nos ocupa, no se ha acreditado que el representante de El Consorcio haya ejercido la profesión de ingeniería. </w:t>
      </w:r>
    </w:p>
    <w:p w:rsidR="0001287F" w:rsidRPr="0001287F" w:rsidRDefault="0001287F" w:rsidP="0001287F">
      <w:pPr>
        <w:ind w:left="454"/>
        <w:jc w:val="both"/>
        <w:rPr>
          <w:rFonts w:ascii="Tahoma" w:hAnsi="Tahoma" w:cs="Tahoma"/>
        </w:rPr>
      </w:pPr>
    </w:p>
    <w:p w:rsidR="0001287F" w:rsidRPr="0001287F" w:rsidRDefault="0001287F" w:rsidP="0001287F">
      <w:pPr>
        <w:ind w:left="454"/>
        <w:jc w:val="both"/>
        <w:rPr>
          <w:rFonts w:ascii="Tahoma" w:hAnsi="Tahoma" w:cs="Tahoma"/>
        </w:rPr>
      </w:pPr>
      <w:r w:rsidRPr="0001287F">
        <w:rPr>
          <w:rFonts w:ascii="Tahoma" w:hAnsi="Tahoma" w:cs="Tahoma"/>
        </w:rPr>
        <w:t xml:space="preserve">Por lo tanto, respecto a la consignación de las siglas Ing. en algunos documentos de la propuesta formulada por El Consorcio este Colegiado considera que no hubo perjuicio real y directo, ni tampoco se obtuvo un beneficio por ello en el sentido que no fue determinante para otorgarle la buena pro porque no configuró un factor de evaluación, un requisito técnico mínimo, ni tampoco es parte del personal propuesto; y tampoco se observa un ánimo de aprovechamiento por parte de su representada porque si bien se consigna la abreviatura Ing., se hace como representante de Jardines del Mundo S.R.L. y no como representante de El Consorcio. </w:t>
      </w:r>
    </w:p>
    <w:p w:rsidR="0001287F" w:rsidRPr="0001287F" w:rsidRDefault="0001287F" w:rsidP="0001287F">
      <w:pPr>
        <w:pStyle w:val="Prrafodelista"/>
        <w:jc w:val="both"/>
        <w:rPr>
          <w:rFonts w:ascii="Tahoma" w:hAnsi="Tahoma" w:cs="Tahoma"/>
        </w:rPr>
      </w:pPr>
    </w:p>
    <w:p w:rsidR="0001287F" w:rsidRPr="0001287F" w:rsidRDefault="0001287F" w:rsidP="0001287F">
      <w:pPr>
        <w:numPr>
          <w:ilvl w:val="0"/>
          <w:numId w:val="3"/>
        </w:numPr>
        <w:jc w:val="both"/>
        <w:rPr>
          <w:rFonts w:ascii="Tahoma" w:hAnsi="Tahoma" w:cs="Tahoma"/>
        </w:rPr>
      </w:pPr>
      <w:r w:rsidRPr="0001287F">
        <w:rPr>
          <w:rFonts w:ascii="Tahoma" w:hAnsi="Tahoma" w:cs="Tahoma"/>
        </w:rPr>
        <w:t>Por las consideraciones expuestas en la fundamentación, este Colegiado concluye que lo alegado por El Impugnante respecto a la atribución de un título profesional por la representante legal de El Consorcio no constituye prueba suficiente que amerite la descalificación de dicho postor ni para que se ordene abrir un expediente sancionador en contra de las empresas integrantes de El Consorcio</w:t>
      </w:r>
      <w:r w:rsidRPr="0001287F">
        <w:rPr>
          <w:rStyle w:val="Refdenotaalpie"/>
          <w:rFonts w:ascii="Tahoma" w:hAnsi="Tahoma" w:cs="Tahoma"/>
        </w:rPr>
        <w:footnoteReference w:id="2"/>
      </w:r>
      <w:r w:rsidRPr="0001287F">
        <w:rPr>
          <w:rFonts w:ascii="Tahoma" w:hAnsi="Tahoma" w:cs="Tahoma"/>
        </w:rPr>
        <w:t>, toda vez que no ha vulnerado el principio de moralidad</w:t>
      </w:r>
      <w:r w:rsidRPr="0001287F">
        <w:rPr>
          <w:rStyle w:val="Refdenotaalpie"/>
          <w:rFonts w:ascii="Tahoma" w:hAnsi="Tahoma" w:cs="Tahoma"/>
        </w:rPr>
        <w:footnoteReference w:id="3"/>
      </w:r>
      <w:r w:rsidRPr="0001287F">
        <w:rPr>
          <w:rFonts w:ascii="Tahoma" w:hAnsi="Tahoma" w:cs="Tahoma"/>
          <w:lang w:val="es-PE"/>
        </w:rPr>
        <w:t xml:space="preserve"> ni se ha quebrado </w:t>
      </w:r>
      <w:r w:rsidRPr="0001287F">
        <w:rPr>
          <w:rFonts w:ascii="Tahoma" w:hAnsi="Tahoma" w:cs="Tahoma"/>
        </w:rPr>
        <w:t xml:space="preserve">el principio de presunción </w:t>
      </w:r>
      <w:r w:rsidRPr="0001287F">
        <w:rPr>
          <w:rFonts w:ascii="Tahoma" w:hAnsi="Tahoma" w:cs="Tahoma"/>
        </w:rPr>
        <w:lastRenderedPageBreak/>
        <w:t>de veracidad</w:t>
      </w:r>
      <w:r w:rsidRPr="0001287F">
        <w:rPr>
          <w:rStyle w:val="Refdenotaalpie"/>
          <w:rFonts w:ascii="Tahoma" w:hAnsi="Tahoma" w:cs="Tahoma"/>
        </w:rPr>
        <w:footnoteReference w:id="4"/>
      </w:r>
      <w:r w:rsidRPr="0001287F">
        <w:rPr>
          <w:rFonts w:ascii="Tahoma" w:hAnsi="Tahoma" w:cs="Tahoma"/>
        </w:rPr>
        <w:t>. De ello que no corresponde descalificar la propuesta formulada por El Consorcio por este motivo.</w:t>
      </w:r>
    </w:p>
    <w:p w:rsidR="0001287F" w:rsidRPr="0001287F" w:rsidRDefault="0001287F" w:rsidP="0001287F">
      <w:pPr>
        <w:ind w:left="454"/>
        <w:jc w:val="both"/>
        <w:rPr>
          <w:rFonts w:ascii="Tahoma" w:hAnsi="Tahoma" w:cs="Tahoma"/>
        </w:rPr>
      </w:pPr>
    </w:p>
    <w:p w:rsidR="0001287F" w:rsidRPr="0001287F" w:rsidRDefault="0001287F" w:rsidP="0001287F">
      <w:pPr>
        <w:numPr>
          <w:ilvl w:val="0"/>
          <w:numId w:val="3"/>
        </w:numPr>
        <w:tabs>
          <w:tab w:val="clear" w:pos="454"/>
          <w:tab w:val="num" w:pos="426"/>
        </w:tabs>
        <w:jc w:val="both"/>
        <w:rPr>
          <w:rFonts w:ascii="Tahoma" w:hAnsi="Tahoma" w:cs="Tahoma"/>
        </w:rPr>
      </w:pPr>
      <w:r w:rsidRPr="0001287F">
        <w:rPr>
          <w:rFonts w:ascii="Tahoma" w:hAnsi="Tahoma" w:cs="Tahoma"/>
        </w:rPr>
        <w:t xml:space="preserve">Respecto al argumento vertido por El Impugnante sobre la presunta falsedad de los contratos y ordenes de servicios presentados por El Consorcio para acreditar su experiencia, en primer lugar se debe considerar que la adjudicataria presentó cuatro (04) documentos a fin de acreditar dicho factor de evaluación: Contrato de servicios de mantenimiento de fecha 26 de abril de 2002 por la suma de S/. 625,420.00 (con </w:t>
      </w:r>
      <w:proofErr w:type="spellStart"/>
      <w:r w:rsidRPr="0001287F">
        <w:rPr>
          <w:rFonts w:ascii="Tahoma" w:hAnsi="Tahoma" w:cs="Tahoma"/>
        </w:rPr>
        <w:t>Agrototal</w:t>
      </w:r>
      <w:proofErr w:type="spellEnd"/>
      <w:r w:rsidRPr="0001287F">
        <w:rPr>
          <w:rFonts w:ascii="Tahoma" w:hAnsi="Tahoma" w:cs="Tahoma"/>
        </w:rPr>
        <w:t xml:space="preserve"> S.A.C.), Contrato de servicios de mantenimiento de fecha 26 de abril de 2003 por la suma de S/. 625,420.00 (con </w:t>
      </w:r>
      <w:proofErr w:type="spellStart"/>
      <w:r w:rsidRPr="0001287F">
        <w:rPr>
          <w:rFonts w:ascii="Tahoma" w:hAnsi="Tahoma" w:cs="Tahoma"/>
        </w:rPr>
        <w:t>Agrototal</w:t>
      </w:r>
      <w:proofErr w:type="spellEnd"/>
      <w:r w:rsidRPr="0001287F">
        <w:rPr>
          <w:rFonts w:ascii="Tahoma" w:hAnsi="Tahoma" w:cs="Tahoma"/>
        </w:rPr>
        <w:t xml:space="preserve"> S.A.C.), Orden de Servicio Nº 0026/05 por un monto de S/. 151,849.95 (con Irrigar S.A.C.) y Orden de Servicio Nº 0035-06 por un monto de S/. 151,849.95. Sobre estos documentos, La Entidad efectuó una fiscalización posterior</w:t>
      </w:r>
      <w:r w:rsidRPr="0001287F">
        <w:rPr>
          <w:rStyle w:val="Refdenotaalpie"/>
          <w:rFonts w:ascii="Tahoma" w:hAnsi="Tahoma" w:cs="Tahoma"/>
        </w:rPr>
        <w:footnoteReference w:id="5"/>
      </w:r>
      <w:r w:rsidRPr="0001287F">
        <w:rPr>
          <w:rFonts w:ascii="Tahoma" w:hAnsi="Tahoma" w:cs="Tahoma"/>
        </w:rPr>
        <w:t xml:space="preserve"> que remitió a este Tribunal además de los documentos entregados por la Policía Nacional del Perú respecto de los avances y resultado de sus investigaciones. </w:t>
      </w:r>
    </w:p>
    <w:p w:rsidR="0001287F" w:rsidRPr="0001287F" w:rsidRDefault="0001287F" w:rsidP="0001287F">
      <w:pPr>
        <w:pStyle w:val="Prrafodelista"/>
        <w:rPr>
          <w:rFonts w:ascii="Tahoma" w:hAnsi="Tahoma" w:cs="Tahoma"/>
        </w:rPr>
      </w:pPr>
    </w:p>
    <w:p w:rsidR="0001287F" w:rsidRPr="0001287F" w:rsidRDefault="0001287F" w:rsidP="0001287F">
      <w:pPr>
        <w:numPr>
          <w:ilvl w:val="0"/>
          <w:numId w:val="3"/>
        </w:numPr>
        <w:tabs>
          <w:tab w:val="clear" w:pos="454"/>
          <w:tab w:val="num" w:pos="426"/>
        </w:tabs>
        <w:jc w:val="both"/>
        <w:rPr>
          <w:rFonts w:ascii="Tahoma" w:hAnsi="Tahoma" w:cs="Tahoma"/>
        </w:rPr>
      </w:pPr>
      <w:r w:rsidRPr="0001287F">
        <w:rPr>
          <w:rFonts w:ascii="Tahoma" w:hAnsi="Tahoma" w:cs="Tahoma"/>
        </w:rPr>
        <w:t xml:space="preserve">Ahora bien, respecto a los documentos remitidos por la Policía Nacional del Perú debemos precisar que no obstante se hace de nuestro conocimiento la copia del Dictamen Pericial de </w:t>
      </w:r>
      <w:proofErr w:type="spellStart"/>
      <w:r w:rsidRPr="0001287F">
        <w:rPr>
          <w:rFonts w:ascii="Tahoma" w:hAnsi="Tahoma" w:cs="Tahoma"/>
        </w:rPr>
        <w:t>Grafotecnia</w:t>
      </w:r>
      <w:proofErr w:type="spellEnd"/>
      <w:r w:rsidRPr="0001287F">
        <w:rPr>
          <w:rFonts w:ascii="Tahoma" w:hAnsi="Tahoma" w:cs="Tahoma"/>
        </w:rPr>
        <w:t xml:space="preserve"> Nº 1394-2007 practicada por la denuncia penal por falsedad de documentos (firmas falsas) en contra de Orbes Agrícola S.A.C. y de su representante legal, que concluyó que ha llegado a establecer la comisión del delito contra la fe pública en agravio del Estado al haber incluido El Consorcio en su propuesta los contratos y órdenes de servicios por prestaciones supuestamente ejecutadas por el consorciado Orbes Agrícolas S.A.C. y que mediante Oficio Nº 3513 </w:t>
      </w:r>
      <w:r w:rsidRPr="0001287F">
        <w:rPr>
          <w:rFonts w:ascii="Tahoma" w:hAnsi="Tahoma" w:cs="Tahoma"/>
        </w:rPr>
        <w:lastRenderedPageBreak/>
        <w:t xml:space="preserve">VII DIRTEPOL-DIVTER-1-JD-SM-CSM-SEINCRI nos ha informado la inexistencia de predios agrícolas y urbanos registrados a favor de la empresa </w:t>
      </w:r>
      <w:proofErr w:type="spellStart"/>
      <w:r w:rsidRPr="0001287F">
        <w:rPr>
          <w:rFonts w:ascii="Tahoma" w:hAnsi="Tahoma" w:cs="Tahoma"/>
        </w:rPr>
        <w:t>Agrototal</w:t>
      </w:r>
      <w:proofErr w:type="spellEnd"/>
      <w:r w:rsidRPr="0001287F">
        <w:rPr>
          <w:rFonts w:ascii="Tahoma" w:hAnsi="Tahoma" w:cs="Tahoma"/>
        </w:rPr>
        <w:t xml:space="preserve"> del Perú S.A.C. e Irrigar S.A.C.; el PARTE Nº 1000-VII-DIRTEPOL-DIVTER-1-JD-SM-CSM-SEINCRI nos ha informado las conclusiones a la fecha, en las que el instructor señala que no se ha llegado a determinar indicios por la comisión de los delitos de falsedad ideológica, fraude en la administración de personas jurídicas denunciados. </w:t>
      </w:r>
    </w:p>
    <w:p w:rsidR="0001287F" w:rsidRPr="0001287F" w:rsidRDefault="0001287F" w:rsidP="0001287F">
      <w:pPr>
        <w:pStyle w:val="Prrafodelista"/>
        <w:rPr>
          <w:rFonts w:ascii="Tahoma" w:hAnsi="Tahoma" w:cs="Tahoma"/>
        </w:rPr>
      </w:pPr>
    </w:p>
    <w:p w:rsidR="0001287F" w:rsidRPr="0001287F" w:rsidRDefault="0001287F" w:rsidP="0001287F">
      <w:pPr>
        <w:ind w:left="454"/>
        <w:jc w:val="both"/>
        <w:rPr>
          <w:rFonts w:ascii="Tahoma" w:hAnsi="Tahoma" w:cs="Tahoma"/>
        </w:rPr>
      </w:pPr>
      <w:r w:rsidRPr="0001287F">
        <w:rPr>
          <w:rFonts w:ascii="Tahoma" w:hAnsi="Tahoma" w:cs="Tahoma"/>
        </w:rPr>
        <w:t xml:space="preserve">En ese sentido, este Colegiado considera que no obstante se ha llevado a cabo una pericia </w:t>
      </w:r>
      <w:proofErr w:type="spellStart"/>
      <w:r w:rsidRPr="0001287F">
        <w:rPr>
          <w:rFonts w:ascii="Tahoma" w:hAnsi="Tahoma" w:cs="Tahoma"/>
        </w:rPr>
        <w:t>grafotécnica</w:t>
      </w:r>
      <w:proofErr w:type="spellEnd"/>
      <w:r w:rsidRPr="0001287F">
        <w:rPr>
          <w:rFonts w:ascii="Tahoma" w:hAnsi="Tahoma" w:cs="Tahoma"/>
        </w:rPr>
        <w:t xml:space="preserve"> que concluye que las firmas que aparecen tanto en los contratos como en las órdenes de servicio, ése documento no puede ser tomado en consideración porque la pericia no se practicó en documentos originales donde obre la rúbrica cuestionada, sino en fotocopias simples. Sobre los contratos celebrado entre Orbes Agrícola S.A.C. y </w:t>
      </w:r>
      <w:proofErr w:type="spellStart"/>
      <w:r w:rsidRPr="0001287F">
        <w:rPr>
          <w:rFonts w:ascii="Tahoma" w:hAnsi="Tahoma" w:cs="Tahoma"/>
        </w:rPr>
        <w:t>Agrototal</w:t>
      </w:r>
      <w:proofErr w:type="spellEnd"/>
      <w:r w:rsidRPr="0001287F">
        <w:rPr>
          <w:rFonts w:ascii="Tahoma" w:hAnsi="Tahoma" w:cs="Tahoma"/>
        </w:rPr>
        <w:t xml:space="preserve"> del Perú S.A.C. y entre Orbes Agrícola S.A.C. e Irrigar S.A.C., los representantes legales de las tres empresas  reconocieron en sus respectivas manifestaciones ante la P.N.P. y mediante Cartas que enviaron a La Entidad, haber celebrado los contratos presentado en la propuesta técnica del proceso de selección objeto de análisis, además que la empresa Orbes Agrícola S.A.C. ha remitido a este Tribunal fotocopia de facturas emitidas por él a nombre de ambas empresas </w:t>
      </w:r>
      <w:proofErr w:type="spellStart"/>
      <w:r w:rsidRPr="0001287F">
        <w:rPr>
          <w:rFonts w:ascii="Tahoma" w:hAnsi="Tahoma" w:cs="Tahoma"/>
        </w:rPr>
        <w:t>Agrototal</w:t>
      </w:r>
      <w:proofErr w:type="spellEnd"/>
      <w:r w:rsidRPr="0001287F">
        <w:rPr>
          <w:rFonts w:ascii="Tahoma" w:hAnsi="Tahoma" w:cs="Tahoma"/>
        </w:rPr>
        <w:t xml:space="preserve"> del Perú S.A.C e Irrigar S.A.C., con lo que se tiene por acreditada la ejecución de los mencionados contratos y no se desvirtúa la presunción de veracidad sobre la inejecución de las mencionadas relaciones comerciales. </w:t>
      </w:r>
    </w:p>
    <w:p w:rsidR="0001287F" w:rsidRPr="0001287F" w:rsidRDefault="0001287F" w:rsidP="0001287F">
      <w:pPr>
        <w:pStyle w:val="Prrafodelista"/>
        <w:rPr>
          <w:rFonts w:ascii="Tahoma" w:hAnsi="Tahoma" w:cs="Tahoma"/>
          <w:highlight w:val="yellow"/>
        </w:rPr>
      </w:pPr>
    </w:p>
    <w:p w:rsidR="0001287F" w:rsidRPr="0001287F" w:rsidRDefault="0001287F" w:rsidP="0001287F">
      <w:pPr>
        <w:ind w:left="454"/>
        <w:jc w:val="both"/>
        <w:rPr>
          <w:rFonts w:ascii="Tahoma" w:hAnsi="Tahoma" w:cs="Tahoma"/>
        </w:rPr>
      </w:pPr>
      <w:r w:rsidRPr="0001287F">
        <w:rPr>
          <w:rFonts w:ascii="Tahoma" w:hAnsi="Tahoma" w:cs="Tahoma"/>
        </w:rPr>
        <w:t xml:space="preserve">Dentro de este contexto, atendiendo a que la autoridad pública (Policía Nacional del Perú) habría actuado en ejercicio de sus funciones, es de aplicación el artículo 43º de </w:t>
      </w:r>
      <w:smartTag w:uri="urn:schemas-microsoft-com:office:smarttags" w:element="PersonName">
        <w:smartTagPr>
          <w:attr w:name="ProductID" w:val="la Ley N"/>
        </w:smartTagPr>
        <w:r w:rsidRPr="0001287F">
          <w:rPr>
            <w:rFonts w:ascii="Tahoma" w:hAnsi="Tahoma" w:cs="Tahoma"/>
          </w:rPr>
          <w:t>la Ley N</w:t>
        </w:r>
      </w:smartTag>
      <w:r w:rsidRPr="0001287F">
        <w:rPr>
          <w:rFonts w:ascii="Tahoma" w:hAnsi="Tahoma" w:cs="Tahoma"/>
        </w:rPr>
        <w:t>º 27444, Ley de Procedimiento Administrativo, respecto al valor de los documentos públicos que la mencionada autoridad emite y de los documentos que remite a este Tribunal producto de su investigación, en el sentido que son considerados documentos públicos aquellos emitidos válidamente por los órganos de las entidades o de la administración, entendiéndose como sus elementos determinantes que a) Haya sido otorgado, autorizado o suscrito por una autoridad pública; b) que cumpla las formalidades legales previstas; y, c) que la autoridad lo haya otorgado en ejercicio de sus funciones. En consecuencia, se configuran todos los elementos para que se considere al documento público como emitido válidamente para efectos de este procedimiento, así  como su contenido.</w:t>
      </w:r>
    </w:p>
    <w:p w:rsidR="0001287F" w:rsidRPr="0001287F" w:rsidRDefault="0001287F" w:rsidP="0001287F">
      <w:pPr>
        <w:pStyle w:val="Prrafodelista"/>
        <w:ind w:left="0"/>
        <w:rPr>
          <w:rFonts w:ascii="Tahoma" w:hAnsi="Tahoma" w:cs="Tahoma"/>
        </w:rPr>
      </w:pPr>
    </w:p>
    <w:p w:rsidR="0001287F" w:rsidRPr="0001287F" w:rsidRDefault="0001287F" w:rsidP="0001287F">
      <w:pPr>
        <w:numPr>
          <w:ilvl w:val="0"/>
          <w:numId w:val="3"/>
        </w:numPr>
        <w:tabs>
          <w:tab w:val="clear" w:pos="454"/>
          <w:tab w:val="num" w:pos="426"/>
        </w:tabs>
        <w:jc w:val="both"/>
        <w:rPr>
          <w:rFonts w:ascii="Tahoma" w:hAnsi="Tahoma" w:cs="Tahoma"/>
        </w:rPr>
      </w:pPr>
      <w:r w:rsidRPr="0001287F">
        <w:rPr>
          <w:rFonts w:ascii="Tahoma" w:hAnsi="Tahoma" w:cs="Tahoma"/>
        </w:rPr>
        <w:t xml:space="preserve">En consecuencia, teniendo en cuenta lo expuesto en los fundamentos 6 y 7, este Colegiado considera que no corresponde se ampare lo solicitado por El impugnante en el extremo referido a respecto a los documentos presentados por la adjudicataria para acreditar su experiencia empresarial (contratos y órdenes de servicio), toda vez que no se ha vulnerando el principio de moralidad ni </w:t>
      </w:r>
      <w:r w:rsidRPr="0001287F">
        <w:rPr>
          <w:rFonts w:ascii="Tahoma" w:hAnsi="Tahoma" w:cs="Tahoma"/>
          <w:lang w:val="es-PE"/>
        </w:rPr>
        <w:t xml:space="preserve">se ha quebrado </w:t>
      </w:r>
      <w:r w:rsidRPr="0001287F">
        <w:rPr>
          <w:rFonts w:ascii="Tahoma" w:hAnsi="Tahoma" w:cs="Tahoma"/>
        </w:rPr>
        <w:t>el principio de presunción de veracidad. De ello que no corresponde descalificar la propuesta formulada por El Consorcio tampoco por este motivo.</w:t>
      </w:r>
    </w:p>
    <w:p w:rsidR="0001287F" w:rsidRPr="0001287F" w:rsidRDefault="0001287F" w:rsidP="0001287F">
      <w:pPr>
        <w:pStyle w:val="Prrafodelista"/>
        <w:ind w:left="0"/>
        <w:rPr>
          <w:rFonts w:ascii="Tahoma" w:hAnsi="Tahoma" w:cs="Tahoma"/>
        </w:rPr>
      </w:pPr>
    </w:p>
    <w:p w:rsidR="0001287F" w:rsidRPr="0001287F" w:rsidRDefault="0001287F" w:rsidP="0001287F">
      <w:pPr>
        <w:numPr>
          <w:ilvl w:val="0"/>
          <w:numId w:val="3"/>
        </w:numPr>
        <w:jc w:val="both"/>
        <w:rPr>
          <w:rFonts w:ascii="Tahoma" w:hAnsi="Tahoma" w:cs="Tahoma"/>
        </w:rPr>
      </w:pPr>
      <w:r w:rsidRPr="0001287F">
        <w:rPr>
          <w:rFonts w:ascii="Tahoma" w:hAnsi="Tahoma" w:cs="Tahoma"/>
        </w:rPr>
        <w:t xml:space="preserve">Sin perjuicio de lo expuesto, durante la tramitación del procedimiento El Consorcio ha cuestionado la participación de El Impugnante en el presente proceso puesto que tiene como objeto social la intermediación laboral. En ese sentido, en ejercicio de los </w:t>
      </w:r>
      <w:r w:rsidRPr="0001287F">
        <w:rPr>
          <w:rFonts w:ascii="Tahoma" w:hAnsi="Tahoma" w:cs="Tahoma"/>
          <w:i/>
        </w:rPr>
        <w:t>principios de verdad material</w:t>
      </w:r>
      <w:r w:rsidRPr="0001287F">
        <w:rPr>
          <w:rStyle w:val="Refdenotaalpie"/>
          <w:rFonts w:ascii="Tahoma" w:hAnsi="Tahoma" w:cs="Tahoma"/>
        </w:rPr>
        <w:footnoteReference w:id="6"/>
      </w:r>
      <w:r w:rsidRPr="0001287F">
        <w:rPr>
          <w:rFonts w:ascii="Tahoma" w:hAnsi="Tahoma" w:cs="Tahoma"/>
        </w:rPr>
        <w:t xml:space="preserve"> y </w:t>
      </w:r>
      <w:r w:rsidRPr="0001287F">
        <w:rPr>
          <w:rFonts w:ascii="Tahoma" w:hAnsi="Tahoma" w:cs="Tahoma"/>
          <w:i/>
        </w:rPr>
        <w:t>de trato justo e igualitario</w:t>
      </w:r>
      <w:r w:rsidRPr="0001287F">
        <w:rPr>
          <w:rStyle w:val="Refdenotaalpie"/>
          <w:rFonts w:ascii="Tahoma" w:hAnsi="Tahoma" w:cs="Tahoma"/>
        </w:rPr>
        <w:footnoteReference w:id="7"/>
      </w:r>
      <w:r w:rsidRPr="0001287F">
        <w:rPr>
          <w:rFonts w:ascii="Tahoma" w:hAnsi="Tahoma" w:cs="Tahoma"/>
        </w:rPr>
        <w:t xml:space="preserve">, que informan al </w:t>
      </w:r>
      <w:r w:rsidRPr="0001287F">
        <w:rPr>
          <w:rFonts w:ascii="Tahoma" w:hAnsi="Tahoma" w:cs="Tahoma"/>
        </w:rPr>
        <w:lastRenderedPageBreak/>
        <w:t xml:space="preserve">procedimiento administrativo en general y a la normativa sobre contratación pública en particular, consagrados en </w:t>
      </w:r>
      <w:smartTag w:uri="urn:schemas-microsoft-com:office:smarttags" w:element="PersonName">
        <w:smartTagPr>
          <w:attr w:name="ProductID" w:val="la Ley"/>
        </w:smartTagPr>
        <w:r w:rsidRPr="0001287F">
          <w:rPr>
            <w:rFonts w:ascii="Tahoma" w:hAnsi="Tahoma" w:cs="Tahoma"/>
          </w:rPr>
          <w:t xml:space="preserve">la </w:t>
        </w:r>
        <w:r w:rsidRPr="0001287F">
          <w:rPr>
            <w:rFonts w:ascii="Tahoma" w:hAnsi="Tahoma" w:cs="Tahoma"/>
            <w:lang w:val="es-PE"/>
          </w:rPr>
          <w:t>Ley</w:t>
        </w:r>
      </w:smartTag>
      <w:r w:rsidRPr="0001287F">
        <w:rPr>
          <w:rFonts w:ascii="Tahoma" w:hAnsi="Tahoma" w:cs="Tahoma"/>
          <w:lang w:val="es-PE"/>
        </w:rPr>
        <w:t xml:space="preserve"> Nº 27444, Ley del Procedimiento Administrativo General y en </w:t>
      </w:r>
      <w:smartTag w:uri="urn:schemas-microsoft-com:office:smarttags" w:element="PersonName">
        <w:smartTagPr>
          <w:attr w:name="ProductID" w:val="la Ley"/>
        </w:smartTagPr>
        <w:r w:rsidRPr="0001287F">
          <w:rPr>
            <w:rFonts w:ascii="Tahoma" w:hAnsi="Tahoma" w:cs="Tahoma"/>
            <w:lang w:val="es-PE"/>
          </w:rPr>
          <w:t>la Ley</w:t>
        </w:r>
      </w:smartTag>
      <w:r w:rsidRPr="0001287F">
        <w:rPr>
          <w:rFonts w:ascii="Tahoma" w:hAnsi="Tahoma" w:cs="Tahoma"/>
          <w:lang w:val="es-PE"/>
        </w:rPr>
        <w:t xml:space="preserve"> de Contrataciones y Adquisiciones del Estado, respectivamente, este Colegiado ha efectuado la revisión de la propuesta de El Impugnante y de los documentos que presentó con ocasión del procedimiento de revisión. </w:t>
      </w:r>
    </w:p>
    <w:p w:rsidR="0001287F" w:rsidRPr="0001287F" w:rsidRDefault="0001287F" w:rsidP="0001287F">
      <w:pPr>
        <w:pStyle w:val="Prrafodelista"/>
        <w:rPr>
          <w:rFonts w:ascii="Tahoma" w:hAnsi="Tahoma" w:cs="Tahoma"/>
          <w:highlight w:val="yellow"/>
          <w:lang w:val="es-PE"/>
        </w:rPr>
      </w:pPr>
    </w:p>
    <w:p w:rsidR="0001287F" w:rsidRPr="0001287F" w:rsidRDefault="0001287F" w:rsidP="0001287F">
      <w:pPr>
        <w:ind w:left="454"/>
        <w:jc w:val="both"/>
        <w:rPr>
          <w:rFonts w:ascii="Tahoma" w:hAnsi="Tahoma" w:cs="Tahoma"/>
        </w:rPr>
      </w:pPr>
      <w:r w:rsidRPr="0001287F">
        <w:rPr>
          <w:rFonts w:ascii="Tahoma" w:hAnsi="Tahoma" w:cs="Tahoma"/>
        </w:rPr>
        <w:t xml:space="preserve">En ese sentido, obra en el expediente una copia certificada de la Partida Nº </w:t>
      </w:r>
      <w:r w:rsidRPr="0001287F">
        <w:rPr>
          <w:rFonts w:ascii="Tahoma" w:hAnsi="Tahoma" w:cs="Tahoma"/>
          <w:lang w:val="es-PE"/>
        </w:rPr>
        <w:t>11218370</w:t>
      </w:r>
      <w:r w:rsidRPr="0001287F">
        <w:rPr>
          <w:rFonts w:ascii="Tahoma" w:hAnsi="Tahoma" w:cs="Tahoma"/>
        </w:rPr>
        <w:t>, correspondiente a la inscripción de la empresa CONSORCIO IRV S.A.C. en el Registro de Personas Jurídicas de la Oficina Registral de Lima y Callao</w:t>
      </w:r>
      <w:r w:rsidRPr="0001287F">
        <w:rPr>
          <w:rStyle w:val="Refdenotaalpie"/>
          <w:rFonts w:ascii="Tahoma" w:hAnsi="Tahoma" w:cs="Tahoma"/>
        </w:rPr>
        <w:footnoteReference w:id="8"/>
      </w:r>
      <w:r w:rsidRPr="0001287F">
        <w:rPr>
          <w:rFonts w:ascii="Tahoma" w:hAnsi="Tahoma" w:cs="Tahoma"/>
        </w:rPr>
        <w:t>. En la página 10</w:t>
      </w:r>
      <w:r w:rsidRPr="0001287F">
        <w:rPr>
          <w:rStyle w:val="Refdenotaalpie"/>
          <w:rFonts w:ascii="Tahoma" w:hAnsi="Tahoma" w:cs="Tahoma"/>
        </w:rPr>
        <w:footnoteReference w:id="9"/>
      </w:r>
      <w:r w:rsidRPr="0001287F">
        <w:rPr>
          <w:rFonts w:ascii="Tahoma" w:hAnsi="Tahoma" w:cs="Tahoma"/>
        </w:rPr>
        <w:t xml:space="preserve"> de dicha copia certificada </w:t>
      </w:r>
      <w:r w:rsidRPr="0001287F">
        <w:rPr>
          <w:rFonts w:ascii="Tahoma" w:hAnsi="Tahoma" w:cs="Tahoma"/>
          <w:lang w:val="es-PE"/>
        </w:rPr>
        <w:t xml:space="preserve">impresa el 12 de noviembre de 2007, se indica la modificación del objeto social y del artículo 1 del Estatuto cuyo tenor es el siguiente: </w:t>
      </w:r>
      <w:r w:rsidRPr="0001287F">
        <w:rPr>
          <w:rFonts w:ascii="Tahoma" w:hAnsi="Tahoma" w:cs="Tahoma"/>
          <w:i/>
          <w:lang w:val="es-PE"/>
        </w:rPr>
        <w:t>“</w:t>
      </w:r>
      <w:r w:rsidRPr="0001287F">
        <w:rPr>
          <w:rFonts w:ascii="Tahoma" w:hAnsi="Tahoma" w:cs="Tahoma"/>
          <w:b/>
          <w:i/>
          <w:u w:val="single"/>
          <w:lang w:val="es-PE"/>
        </w:rPr>
        <w:t xml:space="preserve">ART. </w:t>
      </w:r>
      <w:r w:rsidRPr="0001287F">
        <w:rPr>
          <w:rFonts w:ascii="Tahoma" w:hAnsi="Tahoma" w:cs="Tahoma"/>
          <w:b/>
          <w:i/>
          <w:lang w:val="es-PE"/>
        </w:rPr>
        <w:t>1º.-</w:t>
      </w:r>
      <w:r w:rsidRPr="0001287F">
        <w:rPr>
          <w:rFonts w:ascii="Tahoma" w:hAnsi="Tahoma" w:cs="Tahoma"/>
          <w:i/>
          <w:lang w:val="es-PE"/>
        </w:rPr>
        <w:t xml:space="preserve"> La Sociedad se denomina CONSORCIO IRV SOCIEDAD ANONIMA CERRADA, pudiendo llamarse también CONSORCIO IRV S.A.C., </w:t>
      </w:r>
      <w:r w:rsidRPr="0001287F">
        <w:rPr>
          <w:rFonts w:ascii="Tahoma" w:hAnsi="Tahoma" w:cs="Tahoma"/>
          <w:b/>
          <w:i/>
          <w:lang w:val="es-PE"/>
        </w:rPr>
        <w:t>y tiene por objeto dedicarse</w:t>
      </w:r>
      <w:r w:rsidRPr="0001287F">
        <w:rPr>
          <w:rFonts w:ascii="Tahoma" w:hAnsi="Tahoma" w:cs="Tahoma"/>
          <w:i/>
          <w:lang w:val="es-PE"/>
        </w:rPr>
        <w:t xml:space="preserve">, </w:t>
      </w:r>
      <w:r w:rsidRPr="0001287F">
        <w:rPr>
          <w:rFonts w:ascii="Tahoma" w:hAnsi="Tahoma" w:cs="Tahoma"/>
          <w:i/>
          <w:u w:val="single"/>
          <w:lang w:val="es-PE"/>
        </w:rPr>
        <w:t>conforme lo establecido por el artículo 2º de la Ley 27626</w:t>
      </w:r>
      <w:r w:rsidRPr="0001287F">
        <w:rPr>
          <w:rFonts w:ascii="Tahoma" w:hAnsi="Tahoma" w:cs="Tahoma"/>
          <w:b/>
          <w:i/>
          <w:lang w:val="es-PE"/>
        </w:rPr>
        <w:t>, exclusivamente a la prestación de servicios de intermediación laboral, dentro de los cuales comprende la prestación de servicios temporales</w:t>
      </w:r>
      <w:r w:rsidRPr="0001287F">
        <w:rPr>
          <w:rFonts w:ascii="Tahoma" w:hAnsi="Tahoma" w:cs="Tahoma"/>
          <w:i/>
          <w:lang w:val="es-PE"/>
        </w:rPr>
        <w:t xml:space="preserve"> en los siguientes puestos: ingenieros, supervisores, operarios y obreros; </w:t>
      </w:r>
      <w:r w:rsidRPr="0001287F">
        <w:rPr>
          <w:rFonts w:ascii="Tahoma" w:hAnsi="Tahoma" w:cs="Tahoma"/>
          <w:b/>
          <w:i/>
          <w:lang w:val="es-PE"/>
        </w:rPr>
        <w:t>así como la de actividades complementarias en los rubros de mantenimiento de áreas verdes</w:t>
      </w:r>
      <w:r w:rsidRPr="0001287F">
        <w:rPr>
          <w:rFonts w:ascii="Tahoma" w:hAnsi="Tahoma" w:cs="Tahoma"/>
          <w:i/>
          <w:lang w:val="es-PE"/>
        </w:rPr>
        <w:t xml:space="preserve">, </w:t>
      </w:r>
      <w:r w:rsidRPr="0001287F">
        <w:rPr>
          <w:rFonts w:ascii="Tahoma" w:hAnsi="Tahoma" w:cs="Tahoma"/>
          <w:i/>
          <w:u w:val="single"/>
          <w:lang w:val="es-PE"/>
        </w:rPr>
        <w:t>servicios de limpieza integral de ambientes, servicios de fumigación, servicio de eliminación de residuos sólidos</w:t>
      </w:r>
      <w:r w:rsidRPr="0001287F">
        <w:rPr>
          <w:rFonts w:ascii="Tahoma" w:hAnsi="Tahoma" w:cs="Tahoma"/>
          <w:i/>
          <w:lang w:val="es-PE"/>
        </w:rPr>
        <w:t>”</w:t>
      </w:r>
      <w:r w:rsidRPr="0001287F">
        <w:rPr>
          <w:rFonts w:ascii="Tahoma" w:hAnsi="Tahoma" w:cs="Tahoma"/>
          <w:lang w:val="es-PE"/>
        </w:rPr>
        <w:t xml:space="preserve">, </w:t>
      </w:r>
      <w:r w:rsidRPr="0001287F">
        <w:rPr>
          <w:rFonts w:ascii="Tahoma" w:hAnsi="Tahoma" w:cs="Tahoma"/>
        </w:rPr>
        <w:t xml:space="preserve">no existiendo posteriormente alguna inscripción que modifique dicho objeto social. </w:t>
      </w:r>
    </w:p>
    <w:p w:rsidR="0001287F" w:rsidRPr="0001287F" w:rsidRDefault="0001287F" w:rsidP="0001287F">
      <w:pPr>
        <w:ind w:left="454"/>
        <w:jc w:val="both"/>
        <w:rPr>
          <w:rFonts w:ascii="Tahoma" w:hAnsi="Tahoma" w:cs="Tahoma"/>
        </w:rPr>
      </w:pPr>
    </w:p>
    <w:p w:rsidR="0001287F" w:rsidRPr="0001287F" w:rsidRDefault="0001287F" w:rsidP="0001287F">
      <w:pPr>
        <w:numPr>
          <w:ilvl w:val="0"/>
          <w:numId w:val="3"/>
        </w:numPr>
        <w:tabs>
          <w:tab w:val="num" w:pos="540"/>
          <w:tab w:val="num" w:pos="567"/>
        </w:tabs>
        <w:jc w:val="both"/>
        <w:rPr>
          <w:rFonts w:ascii="Tahoma" w:hAnsi="Tahoma" w:cs="Tahoma"/>
        </w:rPr>
      </w:pPr>
      <w:r w:rsidRPr="0001287F">
        <w:rPr>
          <w:rFonts w:ascii="Tahoma" w:hAnsi="Tahoma" w:cs="Tahoma"/>
        </w:rPr>
        <w:lastRenderedPageBreak/>
        <w:t xml:space="preserve">Respecto al tema de la intermediación laboral cabe indicar que el artículo 2 de la Ley N° 27626, Ley que regula la actividad de las empresas especiales de servicios y de las cooperativas de trabajadores, establece que </w:t>
      </w:r>
      <w:r w:rsidRPr="0001287F">
        <w:rPr>
          <w:rFonts w:ascii="Tahoma" w:hAnsi="Tahoma" w:cs="Tahoma"/>
          <w:i/>
        </w:rPr>
        <w:t xml:space="preserve">“La intermediación laboral sólo podrá prestarse por empresas de servicios constituidas como personas jurídicas de acuerdo a la Ley General de </w:t>
      </w:r>
      <w:r w:rsidRPr="0001287F">
        <w:rPr>
          <w:rFonts w:ascii="Tahoma" w:hAnsi="Tahoma" w:cs="Tahoma"/>
        </w:rPr>
        <w:t>Sociedades</w:t>
      </w:r>
      <w:r w:rsidRPr="0001287F">
        <w:rPr>
          <w:rFonts w:ascii="Tahoma" w:hAnsi="Tahoma" w:cs="Tahoma"/>
          <w:i/>
        </w:rPr>
        <w:t xml:space="preserve"> o como Cooperativas conforme a la Ley General de Cooperativas, </w:t>
      </w:r>
      <w:r w:rsidRPr="0001287F">
        <w:rPr>
          <w:rFonts w:ascii="Tahoma" w:hAnsi="Tahoma" w:cs="Tahoma"/>
          <w:i/>
          <w:u w:val="single"/>
        </w:rPr>
        <w:t>y tendrá como objeto exclusivo la prestación de servicios de intermediación laboral</w:t>
      </w:r>
      <w:r w:rsidRPr="0001287F">
        <w:rPr>
          <w:rFonts w:ascii="Tahoma" w:hAnsi="Tahoma" w:cs="Tahoma"/>
          <w:i/>
        </w:rPr>
        <w:t>”</w:t>
      </w:r>
      <w:r w:rsidRPr="0001287F">
        <w:rPr>
          <w:rFonts w:ascii="Tahoma" w:hAnsi="Tahoma" w:cs="Tahoma"/>
        </w:rPr>
        <w:t xml:space="preserve">. </w:t>
      </w:r>
      <w:r w:rsidRPr="0001287F">
        <w:rPr>
          <w:rFonts w:ascii="Tahoma" w:hAnsi="Tahoma" w:cs="Tahoma"/>
          <w:lang w:val="es-PE"/>
        </w:rPr>
        <w:t xml:space="preserve">Asimismo, el artículo 11 de la referida norma establece que las </w:t>
      </w:r>
      <w:r w:rsidRPr="0001287F">
        <w:rPr>
          <w:rFonts w:ascii="Tahoma" w:hAnsi="Tahoma" w:cs="Tahoma"/>
          <w:u w:val="single"/>
          <w:lang w:val="es-PE"/>
        </w:rPr>
        <w:t>empresas de servicios temporales</w:t>
      </w:r>
      <w:r w:rsidRPr="0001287F">
        <w:rPr>
          <w:rFonts w:ascii="Tahoma" w:hAnsi="Tahoma" w:cs="Tahoma"/>
          <w:lang w:val="es-PE"/>
        </w:rPr>
        <w:t xml:space="preserve"> son aquellas personas jurídicas que contratan con terceras denominadas usuarias para colaborar temporalmente en el desarrollo de sus actividades, mediante el destaque de sus trabajadores para desarrollar las labores bajo el poder de dirección de la empresa usuaria; las </w:t>
      </w:r>
      <w:r w:rsidRPr="0001287F">
        <w:rPr>
          <w:rFonts w:ascii="Tahoma" w:hAnsi="Tahoma" w:cs="Tahoma"/>
          <w:u w:val="single"/>
          <w:lang w:val="es-PE"/>
        </w:rPr>
        <w:t>empresas de servicios complementarios</w:t>
      </w:r>
      <w:r w:rsidRPr="0001287F">
        <w:rPr>
          <w:rFonts w:ascii="Tahoma" w:hAnsi="Tahoma" w:cs="Tahoma"/>
          <w:lang w:val="es-PE"/>
        </w:rPr>
        <w:t xml:space="preserve"> son aquellas personas jurídicas que destacan su personal a terceras empresas denominadas usuarias para desarrollar actividades accesorias o no vinculadas al giro de negocio de éstas; y, las </w:t>
      </w:r>
      <w:r w:rsidRPr="0001287F">
        <w:rPr>
          <w:rFonts w:ascii="Tahoma" w:hAnsi="Tahoma" w:cs="Tahoma"/>
          <w:u w:val="single"/>
          <w:lang w:val="es-PE"/>
        </w:rPr>
        <w:t>empresas de servicios especializados</w:t>
      </w:r>
      <w:r w:rsidRPr="0001287F">
        <w:rPr>
          <w:rFonts w:ascii="Tahoma" w:hAnsi="Tahoma" w:cs="Tahoma"/>
          <w:lang w:val="es-PE"/>
        </w:rPr>
        <w:t xml:space="preserve"> son aquellas personas jurídicas que brindan servicios de alta especialización en relación a la empresa usuaria que las contrata, siendo que este supuesto la empresa usuaria carece de facultad de dirección respecto de las tareas que ejecuta el personal destacado por la empresa de servicios especializados.  </w:t>
      </w:r>
    </w:p>
    <w:p w:rsidR="0001287F" w:rsidRPr="0001287F" w:rsidRDefault="0001287F" w:rsidP="0001287F">
      <w:pPr>
        <w:tabs>
          <w:tab w:val="num" w:pos="540"/>
          <w:tab w:val="num" w:pos="567"/>
        </w:tabs>
        <w:ind w:left="454"/>
        <w:jc w:val="both"/>
        <w:rPr>
          <w:rFonts w:ascii="Tahoma" w:hAnsi="Tahoma" w:cs="Tahoma"/>
        </w:rPr>
      </w:pPr>
    </w:p>
    <w:p w:rsidR="0001287F" w:rsidRPr="0001287F" w:rsidRDefault="0001287F" w:rsidP="0001287F">
      <w:pPr>
        <w:tabs>
          <w:tab w:val="num" w:pos="540"/>
          <w:tab w:val="num" w:pos="567"/>
        </w:tabs>
        <w:ind w:left="454"/>
        <w:jc w:val="both"/>
        <w:rPr>
          <w:rFonts w:ascii="Tahoma" w:hAnsi="Tahoma" w:cs="Tahoma"/>
        </w:rPr>
      </w:pPr>
      <w:r w:rsidRPr="0001287F">
        <w:rPr>
          <w:rFonts w:ascii="Tahoma" w:hAnsi="Tahoma" w:cs="Tahoma"/>
        </w:rPr>
        <w:t xml:space="preserve">Por su parte, el artículo 1° del Decreto Supremo N° 003-2002-TR señala que </w:t>
      </w:r>
      <w:r w:rsidRPr="0001287F">
        <w:rPr>
          <w:rFonts w:ascii="Tahoma" w:hAnsi="Tahoma" w:cs="Tahoma"/>
          <w:i/>
        </w:rPr>
        <w:t>“constituye actividad complementaria de la empresa usuaria aquélla que es de carácter auxiliar, secundaria o no vinculada a la actividad principal, tal como la actividad de vigilancia, seguridad, mantenimiento, mensajería externa y limpieza”</w:t>
      </w:r>
      <w:r w:rsidRPr="0001287F">
        <w:rPr>
          <w:rFonts w:ascii="Tahoma" w:hAnsi="Tahoma" w:cs="Tahoma"/>
        </w:rPr>
        <w:t xml:space="preserve">. Asimismo, estipula que </w:t>
      </w:r>
      <w:r w:rsidRPr="0001287F">
        <w:rPr>
          <w:rFonts w:ascii="Tahoma" w:hAnsi="Tahoma" w:cs="Tahoma"/>
          <w:i/>
        </w:rPr>
        <w:t>”constituye actividad de alta especialización de la empresa usuaria aquélla auxiliar, secundaria o no vinculada a la actividad principal que exige un alto nivel de conocimientos técnicos, científicos o particularmente calificados, tal como el mantenimiento y saneamiento especializados”.</w:t>
      </w:r>
      <w:r w:rsidRPr="0001287F">
        <w:rPr>
          <w:rFonts w:ascii="Tahoma" w:hAnsi="Tahoma" w:cs="Tahoma"/>
        </w:rPr>
        <w:t xml:space="preserve"> </w:t>
      </w:r>
    </w:p>
    <w:p w:rsidR="0001287F" w:rsidRPr="0001287F" w:rsidRDefault="0001287F" w:rsidP="0001287F">
      <w:pPr>
        <w:pStyle w:val="Prrafodelista"/>
        <w:rPr>
          <w:rFonts w:ascii="Tahoma" w:hAnsi="Tahoma" w:cs="Tahoma"/>
        </w:rPr>
      </w:pPr>
    </w:p>
    <w:p w:rsidR="0001287F" w:rsidRPr="0001287F" w:rsidRDefault="0001287F" w:rsidP="0001287F">
      <w:pPr>
        <w:tabs>
          <w:tab w:val="num" w:pos="540"/>
          <w:tab w:val="num" w:pos="567"/>
        </w:tabs>
        <w:ind w:left="454"/>
        <w:jc w:val="both"/>
        <w:rPr>
          <w:rFonts w:ascii="Tahoma" w:hAnsi="Tahoma" w:cs="Tahoma"/>
        </w:rPr>
      </w:pPr>
      <w:r w:rsidRPr="0001287F">
        <w:rPr>
          <w:rFonts w:ascii="Tahoma" w:hAnsi="Tahoma" w:cs="Tahoma"/>
        </w:rPr>
        <w:t>El artículo 2 del D.S. 003-2002-TR dispone que “</w:t>
      </w:r>
      <w:r w:rsidRPr="0001287F">
        <w:rPr>
          <w:rFonts w:ascii="Tahoma" w:hAnsi="Tahoma" w:cs="Tahoma"/>
          <w:i/>
        </w:rPr>
        <w:t>Las entidades tienen como objeto exclusivo la prestación de servicios de intermediación laboral. Las empresas de servicios temporales, complementarios y especializados pueden desarrollar simultáneamente las actividades de intermediación previstas en la Ley, siempre que ello, conste en su estatuto y Registro (…)”</w:t>
      </w:r>
      <w:r w:rsidRPr="0001287F">
        <w:rPr>
          <w:rFonts w:ascii="Tahoma" w:hAnsi="Tahoma" w:cs="Tahoma"/>
        </w:rPr>
        <w:t>.</w:t>
      </w:r>
    </w:p>
    <w:p w:rsidR="0001287F" w:rsidRPr="0001287F" w:rsidRDefault="0001287F" w:rsidP="0001287F">
      <w:pPr>
        <w:tabs>
          <w:tab w:val="num" w:pos="540"/>
          <w:tab w:val="num" w:pos="567"/>
        </w:tabs>
        <w:ind w:left="454"/>
        <w:jc w:val="both"/>
        <w:rPr>
          <w:rFonts w:ascii="Tahoma" w:hAnsi="Tahoma" w:cs="Tahoma"/>
        </w:rPr>
      </w:pPr>
    </w:p>
    <w:p w:rsidR="0001287F" w:rsidRPr="0001287F" w:rsidRDefault="0001287F" w:rsidP="0001287F">
      <w:pPr>
        <w:tabs>
          <w:tab w:val="num" w:pos="540"/>
          <w:tab w:val="num" w:pos="567"/>
        </w:tabs>
        <w:ind w:left="454"/>
        <w:jc w:val="both"/>
        <w:rPr>
          <w:rFonts w:ascii="Tahoma" w:hAnsi="Tahoma" w:cs="Tahoma"/>
        </w:rPr>
      </w:pPr>
      <w:r w:rsidRPr="0001287F">
        <w:rPr>
          <w:rFonts w:ascii="Tahoma" w:hAnsi="Tahoma" w:cs="Tahoma"/>
        </w:rPr>
        <w:t xml:space="preserve">En ese orden de ideas, el artículo 4° de la norma reseñada en el párrafo precedente, establece que </w:t>
      </w:r>
      <w:r w:rsidRPr="0001287F">
        <w:rPr>
          <w:rFonts w:ascii="Tahoma" w:hAnsi="Tahoma" w:cs="Tahoma"/>
          <w:i/>
        </w:rPr>
        <w:t>“</w:t>
      </w:r>
      <w:r w:rsidRPr="0001287F">
        <w:rPr>
          <w:rFonts w:ascii="Tahoma" w:hAnsi="Tahoma" w:cs="Tahoma"/>
          <w:i/>
          <w:u w:val="single"/>
        </w:rPr>
        <w:t>no constituye intermediación laboral</w:t>
      </w:r>
      <w:r w:rsidRPr="0001287F">
        <w:rPr>
          <w:rFonts w:ascii="Tahoma" w:hAnsi="Tahoma" w:cs="Tahoma"/>
          <w:i/>
        </w:rPr>
        <w:t xml:space="preserve"> los contratos de gerencia, conforme al Artículo 193 de la Ley General de Sociedades, los contratos de obra, </w:t>
      </w:r>
      <w:r w:rsidRPr="0001287F">
        <w:rPr>
          <w:rFonts w:ascii="Tahoma" w:hAnsi="Tahoma" w:cs="Tahoma"/>
          <w:i/>
          <w:u w:val="single"/>
        </w:rPr>
        <w:t>los procesos de tercerización externa, los contratos que tienen por objeto que un tercero se haga cargo de una parte integral del proceso productivo de una empresa</w:t>
      </w:r>
      <w:r w:rsidRPr="0001287F">
        <w:rPr>
          <w:rFonts w:ascii="Tahoma" w:hAnsi="Tahoma" w:cs="Tahoma"/>
          <w:i/>
        </w:rPr>
        <w:t xml:space="preserve"> y los servicios prestados por empresas contratistas o sub contratistas, siempre que asuman las tareas contratadas por su cuenta y riesgo, que cuenten con sus propios recursos financieros, técnicos o materiales, y cuyos trabajadores estén bajo su exclusiva subordinación</w:t>
      </w:r>
      <w:r w:rsidRPr="0001287F">
        <w:rPr>
          <w:rFonts w:ascii="Tahoma" w:hAnsi="Tahoma" w:cs="Tahoma"/>
        </w:rPr>
        <w:t xml:space="preserve">. </w:t>
      </w:r>
      <w:r w:rsidRPr="0001287F">
        <w:rPr>
          <w:rFonts w:ascii="Tahoma" w:hAnsi="Tahoma" w:cs="Tahoma"/>
          <w:lang w:val="es-PE"/>
        </w:rPr>
        <w:t>Pueden ser elementos coadyuvantes para la identificación de tales actividades, la pluralidad de clientes, el equipamiento propio y la forma de retribución de la obra o servicio, que evidencien que no se trata de una simple provisión de personal</w:t>
      </w:r>
      <w:r w:rsidRPr="0001287F">
        <w:rPr>
          <w:rFonts w:ascii="Tahoma" w:hAnsi="Tahoma" w:cs="Tahoma"/>
          <w:i/>
        </w:rPr>
        <w:t>”</w:t>
      </w:r>
      <w:r w:rsidRPr="0001287F">
        <w:rPr>
          <w:rFonts w:ascii="Tahoma" w:hAnsi="Tahoma" w:cs="Tahoma"/>
        </w:rPr>
        <w:t>. (El subrayado es nuestro).</w:t>
      </w:r>
    </w:p>
    <w:p w:rsidR="0001287F" w:rsidRPr="0001287F" w:rsidRDefault="0001287F" w:rsidP="0001287F">
      <w:pPr>
        <w:pStyle w:val="Prrafodelista"/>
        <w:rPr>
          <w:rFonts w:ascii="Tahoma" w:hAnsi="Tahoma" w:cs="Tahoma"/>
        </w:rPr>
      </w:pPr>
    </w:p>
    <w:p w:rsidR="0001287F" w:rsidRPr="0001287F" w:rsidRDefault="0001287F" w:rsidP="0001287F">
      <w:pPr>
        <w:numPr>
          <w:ilvl w:val="0"/>
          <w:numId w:val="3"/>
        </w:numPr>
        <w:tabs>
          <w:tab w:val="num" w:pos="540"/>
          <w:tab w:val="num" w:pos="567"/>
        </w:tabs>
        <w:jc w:val="both"/>
        <w:rPr>
          <w:rFonts w:ascii="Tahoma" w:hAnsi="Tahoma" w:cs="Tahoma"/>
        </w:rPr>
      </w:pPr>
      <w:r w:rsidRPr="0001287F">
        <w:rPr>
          <w:rFonts w:ascii="Tahoma" w:hAnsi="Tahoma" w:cs="Tahoma"/>
          <w:lang w:val="es-PE"/>
        </w:rPr>
        <w:t xml:space="preserve">Ahora bien, este Colegiado cree conveniente precisar que el servicio de intermediación laboral constituye una figura mediante la cual una empresa </w:t>
      </w:r>
      <w:r w:rsidRPr="0001287F">
        <w:rPr>
          <w:rFonts w:ascii="Tahoma" w:hAnsi="Tahoma" w:cs="Tahoma"/>
        </w:rPr>
        <w:t>denominada</w:t>
      </w:r>
      <w:r w:rsidRPr="0001287F">
        <w:rPr>
          <w:rFonts w:ascii="Tahoma" w:hAnsi="Tahoma" w:cs="Tahoma"/>
          <w:lang w:val="es-PE"/>
        </w:rPr>
        <w:t xml:space="preserve"> usuaria contrata a otra de servicios para que le suministre o proporcione </w:t>
      </w:r>
      <w:r w:rsidRPr="0001287F">
        <w:rPr>
          <w:rFonts w:ascii="Tahoma" w:hAnsi="Tahoma" w:cs="Tahoma"/>
          <w:lang w:val="es-PE"/>
        </w:rPr>
        <w:lastRenderedPageBreak/>
        <w:t xml:space="preserve">personal el cual, </w:t>
      </w:r>
      <w:r w:rsidRPr="0001287F">
        <w:rPr>
          <w:rFonts w:ascii="Tahoma" w:hAnsi="Tahoma" w:cs="Tahoma"/>
        </w:rPr>
        <w:t>si</w:t>
      </w:r>
      <w:r w:rsidRPr="0001287F">
        <w:rPr>
          <w:rFonts w:ascii="Tahoma" w:hAnsi="Tahoma" w:cs="Tahoma"/>
          <w:lang w:val="es-PE"/>
        </w:rPr>
        <w:t xml:space="preserve"> bien prestará sus servicios a favor de la entidad usuaria, no sostendrá vínculo laboral con esta última y se mantendrá bajo la dirección y control de la empresa de servicios. </w:t>
      </w:r>
    </w:p>
    <w:p w:rsidR="0001287F" w:rsidRPr="0001287F" w:rsidRDefault="0001287F" w:rsidP="0001287F">
      <w:pPr>
        <w:tabs>
          <w:tab w:val="num" w:pos="567"/>
        </w:tabs>
        <w:ind w:left="454"/>
        <w:jc w:val="both"/>
        <w:rPr>
          <w:rFonts w:ascii="Tahoma" w:hAnsi="Tahoma" w:cs="Tahoma"/>
        </w:rPr>
      </w:pPr>
    </w:p>
    <w:p w:rsidR="0001287F" w:rsidRPr="0001287F" w:rsidRDefault="0001287F" w:rsidP="0001287F">
      <w:pPr>
        <w:tabs>
          <w:tab w:val="num" w:pos="567"/>
        </w:tabs>
        <w:ind w:left="454"/>
        <w:jc w:val="both"/>
        <w:rPr>
          <w:rFonts w:ascii="Tahoma" w:hAnsi="Tahoma" w:cs="Tahoma"/>
        </w:rPr>
      </w:pPr>
      <w:r w:rsidRPr="0001287F">
        <w:rPr>
          <w:rFonts w:ascii="Tahoma" w:hAnsi="Tahoma" w:cs="Tahoma"/>
          <w:lang w:val="es-PE"/>
        </w:rPr>
        <w:t xml:space="preserve">A diferencia de esta figura, la tercerización (conocida también como </w:t>
      </w:r>
      <w:proofErr w:type="spellStart"/>
      <w:r w:rsidRPr="0001287F">
        <w:rPr>
          <w:rFonts w:ascii="Tahoma" w:hAnsi="Tahoma" w:cs="Tahoma"/>
          <w:i/>
          <w:lang w:val="es-PE"/>
        </w:rPr>
        <w:t>outsourcing</w:t>
      </w:r>
      <w:proofErr w:type="spellEnd"/>
      <w:r w:rsidRPr="0001287F">
        <w:rPr>
          <w:rFonts w:ascii="Tahoma" w:hAnsi="Tahoma" w:cs="Tahoma"/>
          <w:i/>
          <w:lang w:val="es-PE"/>
        </w:rPr>
        <w:t>)</w:t>
      </w:r>
      <w:r w:rsidRPr="0001287F">
        <w:rPr>
          <w:rFonts w:ascii="Tahoma" w:hAnsi="Tahoma" w:cs="Tahoma"/>
          <w:lang w:val="es-PE"/>
        </w:rPr>
        <w:t xml:space="preserve"> supone que la prestación de servicios se realice de manera organizada bajo la dirección y el control del contratista, comúnmente una empresa, quien cuenta con un patrimonio y una organización propia dedicada a la prestación de servicios, la cual se realiza a favor del contratante dentro del centro de labores de éste o fuera de él, de manera que los trabajadores de la contratista se encuentran bajo las órdenes y el control de éste y no del contratante, y para su realización, además, se requiere de total independencia administrativa y funcional de la actividad </w:t>
      </w:r>
      <w:proofErr w:type="spellStart"/>
      <w:r w:rsidRPr="0001287F">
        <w:rPr>
          <w:rFonts w:ascii="Tahoma" w:hAnsi="Tahoma" w:cs="Tahoma"/>
          <w:lang w:val="es-PE"/>
        </w:rPr>
        <w:t>tercerizada</w:t>
      </w:r>
      <w:proofErr w:type="spellEnd"/>
      <w:r w:rsidRPr="0001287F">
        <w:rPr>
          <w:rFonts w:ascii="Tahoma" w:hAnsi="Tahoma" w:cs="Tahoma"/>
          <w:lang w:val="es-PE"/>
        </w:rPr>
        <w:t xml:space="preserve"> de las demás que realiza la empresa contratante, de modo que su tercerización no dificulte su normal desenvolvimiento. </w:t>
      </w:r>
    </w:p>
    <w:p w:rsidR="0001287F" w:rsidRPr="0001287F" w:rsidRDefault="0001287F" w:rsidP="0001287F">
      <w:pPr>
        <w:ind w:left="540" w:right="-316"/>
        <w:rPr>
          <w:rFonts w:ascii="Tahoma" w:hAnsi="Tahoma" w:cs="Tahoma"/>
        </w:rPr>
      </w:pPr>
      <w:r w:rsidRPr="0001287F">
        <w:rPr>
          <w:rFonts w:ascii="Tahoma" w:hAnsi="Tahoma" w:cs="Tahoma"/>
          <w:lang w:val="es-PE"/>
        </w:rPr>
        <w:t xml:space="preserve">  </w:t>
      </w:r>
    </w:p>
    <w:p w:rsidR="0001287F" w:rsidRPr="0001287F" w:rsidRDefault="0001287F" w:rsidP="0001287F">
      <w:pPr>
        <w:tabs>
          <w:tab w:val="num" w:pos="540"/>
          <w:tab w:val="num" w:pos="567"/>
        </w:tabs>
        <w:ind w:left="454"/>
        <w:jc w:val="both"/>
        <w:rPr>
          <w:rFonts w:ascii="Tahoma" w:hAnsi="Tahoma" w:cs="Tahoma"/>
        </w:rPr>
      </w:pPr>
      <w:r w:rsidRPr="0001287F">
        <w:rPr>
          <w:rFonts w:ascii="Tahoma" w:hAnsi="Tahoma" w:cs="Tahoma"/>
          <w:lang w:val="es-PE"/>
        </w:rPr>
        <w:t xml:space="preserve">Así, pues, mientras la intermediación laboral implica el destaque de mano de obra, la tercerización es la acción de acudir a una agencia exterior para operar una función que anteriormente se realizaba dentro de la compañía, la cual contrata un servicio o producto final sin que tenga responsabilidad alguna en la administración o manejo de la prestación del servicio, en otras palabras, significa la transferencia al exterior de la empresa de las etapas de gestión, reteniendo ésta el control de las mismas. </w:t>
      </w:r>
    </w:p>
    <w:p w:rsidR="0001287F" w:rsidRPr="0001287F" w:rsidRDefault="0001287F" w:rsidP="0001287F">
      <w:pPr>
        <w:tabs>
          <w:tab w:val="num" w:pos="540"/>
          <w:tab w:val="num" w:pos="567"/>
        </w:tabs>
        <w:ind w:left="454"/>
        <w:jc w:val="both"/>
        <w:rPr>
          <w:rFonts w:ascii="Tahoma" w:hAnsi="Tahoma" w:cs="Tahoma"/>
        </w:rPr>
      </w:pPr>
    </w:p>
    <w:p w:rsidR="0001287F" w:rsidRPr="0001287F" w:rsidRDefault="0001287F" w:rsidP="0001287F">
      <w:pPr>
        <w:numPr>
          <w:ilvl w:val="0"/>
          <w:numId w:val="3"/>
        </w:numPr>
        <w:tabs>
          <w:tab w:val="num" w:pos="540"/>
          <w:tab w:val="num" w:pos="567"/>
        </w:tabs>
        <w:jc w:val="both"/>
        <w:rPr>
          <w:rFonts w:ascii="Tahoma" w:hAnsi="Tahoma" w:cs="Tahoma"/>
        </w:rPr>
      </w:pPr>
      <w:r w:rsidRPr="0001287F">
        <w:rPr>
          <w:rFonts w:ascii="Tahoma" w:hAnsi="Tahoma" w:cs="Tahoma"/>
        </w:rPr>
        <w:t xml:space="preserve">Conforme se puede apreciar en la información que obra en el expediente, el </w:t>
      </w:r>
      <w:r w:rsidRPr="0001287F">
        <w:rPr>
          <w:rFonts w:ascii="Tahoma" w:hAnsi="Tahoma" w:cs="Tahoma"/>
          <w:lang w:val="es-PE"/>
        </w:rPr>
        <w:t>postor</w:t>
      </w:r>
      <w:r w:rsidRPr="0001287F">
        <w:rPr>
          <w:rFonts w:ascii="Tahoma" w:hAnsi="Tahoma" w:cs="Tahoma"/>
        </w:rPr>
        <w:t xml:space="preserve"> CONSORCIO IRV S.A.C. al tener como objeto social exclusivo la prestación de </w:t>
      </w:r>
      <w:r w:rsidRPr="0001287F">
        <w:rPr>
          <w:rFonts w:ascii="Tahoma" w:hAnsi="Tahoma" w:cs="Tahoma"/>
          <w:lang w:val="es-PE"/>
        </w:rPr>
        <w:t>servicios</w:t>
      </w:r>
      <w:r w:rsidRPr="0001287F">
        <w:rPr>
          <w:rFonts w:ascii="Tahoma" w:hAnsi="Tahoma" w:cs="Tahoma"/>
        </w:rPr>
        <w:t xml:space="preserve"> de intermediación laboral, por mandato de norma imperativa, constituye una empresa que puede brindar únicamente dichos servicios. En ese sentido, a fin de que El Impugnante pueda participar válidamente en el proceso de selección, el servicio materia de contratación debe enmarcarse dentro del supuesto de intermediación laboral, siendo necesario para ello que en la prestación del servicio medien supuestos de temporalidad, complementariedad o especialización. </w:t>
      </w:r>
    </w:p>
    <w:p w:rsidR="0001287F" w:rsidRPr="0001287F" w:rsidRDefault="0001287F" w:rsidP="0001287F">
      <w:pPr>
        <w:tabs>
          <w:tab w:val="num" w:pos="540"/>
          <w:tab w:val="num" w:pos="567"/>
        </w:tabs>
        <w:ind w:left="454"/>
        <w:jc w:val="both"/>
        <w:rPr>
          <w:rFonts w:ascii="Tahoma" w:hAnsi="Tahoma" w:cs="Tahoma"/>
        </w:rPr>
      </w:pPr>
    </w:p>
    <w:p w:rsidR="0001287F" w:rsidRPr="0001287F" w:rsidRDefault="0001287F" w:rsidP="0001287F">
      <w:pPr>
        <w:numPr>
          <w:ilvl w:val="0"/>
          <w:numId w:val="3"/>
        </w:numPr>
        <w:tabs>
          <w:tab w:val="num" w:pos="540"/>
          <w:tab w:val="num" w:pos="567"/>
        </w:tabs>
        <w:jc w:val="both"/>
        <w:rPr>
          <w:rFonts w:ascii="Tahoma" w:hAnsi="Tahoma" w:cs="Tahoma"/>
        </w:rPr>
      </w:pPr>
      <w:r w:rsidRPr="0001287F">
        <w:rPr>
          <w:rFonts w:ascii="Tahoma" w:hAnsi="Tahoma" w:cs="Tahoma"/>
        </w:rPr>
        <w:t xml:space="preserve">En el caso que nos ocupa, el servicio convocado tiene por objeto contratar los servicios de terceros para la ejecución de las actividades de mantenimiento de áreas verdes en Operaciones Talara. En tal sentido, los términos de referencia de las Bases señalan que el servicio comprende la preparación, rehabilitación y mantenimiento de áreas verdes, realizando las actividades que se requiere para mantenerlos en buenas condiciones de sembrado, abonado, sembrado o trasplante de </w:t>
      </w:r>
      <w:proofErr w:type="spellStart"/>
      <w:r w:rsidRPr="0001287F">
        <w:rPr>
          <w:rFonts w:ascii="Tahoma" w:hAnsi="Tahoma" w:cs="Tahoma"/>
        </w:rPr>
        <w:t>grass</w:t>
      </w:r>
      <w:proofErr w:type="spellEnd"/>
      <w:r w:rsidRPr="0001287F">
        <w:rPr>
          <w:rFonts w:ascii="Tahoma" w:hAnsi="Tahoma" w:cs="Tahoma"/>
        </w:rPr>
        <w:t>, desyerbado, corte césped, riego, etc. Para la correcta ejecución del servicio el contratista deberá proveer el personal debidamente calificado así como los materiales e insumos, herramientas, equipos y demás facilidades en la cantidad y calidad especificadas en las Bases del Concurso.</w:t>
      </w:r>
    </w:p>
    <w:p w:rsidR="0001287F" w:rsidRPr="0001287F" w:rsidRDefault="0001287F" w:rsidP="0001287F">
      <w:pPr>
        <w:tabs>
          <w:tab w:val="num" w:pos="540"/>
          <w:tab w:val="num" w:pos="567"/>
        </w:tabs>
        <w:ind w:left="454"/>
        <w:jc w:val="both"/>
        <w:rPr>
          <w:rFonts w:ascii="Tahoma" w:hAnsi="Tahoma" w:cs="Tahoma"/>
        </w:rPr>
      </w:pPr>
    </w:p>
    <w:p w:rsidR="0001287F" w:rsidRPr="0001287F" w:rsidRDefault="0001287F" w:rsidP="0001287F">
      <w:pPr>
        <w:tabs>
          <w:tab w:val="num" w:pos="540"/>
          <w:tab w:val="num" w:pos="567"/>
        </w:tabs>
        <w:ind w:left="454"/>
        <w:jc w:val="both"/>
        <w:rPr>
          <w:rFonts w:ascii="Tahoma" w:hAnsi="Tahoma" w:cs="Tahoma"/>
        </w:rPr>
      </w:pPr>
      <w:r w:rsidRPr="0001287F">
        <w:rPr>
          <w:rFonts w:ascii="Tahoma" w:hAnsi="Tahoma" w:cs="Tahoma"/>
        </w:rPr>
        <w:t xml:space="preserve">De ello se advierte que la prestación objeto de contratación no tiene por objeto la remisión de trabajadores al centro de trabajo, como ocurre en la intermediación laboral propiamente dicha, sino que se encuentra dirigida a cumplir con un servicio para lo cual el contratista determinará con total autonomía contractual e independencia a quienes comisiona para la tarea, en cuanto tiempo y como deben efectuar las labores, con los límites y las condiciones indicadas en las Bases y en el contrato. Esto es, la empresa adjudicada deberá asumir las tareas contratadas por su </w:t>
      </w:r>
      <w:r w:rsidRPr="0001287F">
        <w:rPr>
          <w:rFonts w:ascii="Tahoma" w:hAnsi="Tahoma" w:cs="Tahoma"/>
        </w:rPr>
        <w:lastRenderedPageBreak/>
        <w:t>cuenta y riesgo, con sus propios recursos financieros, técnicos o materiales, y con trabajadores que se encuentran a su exclusiva subordinación.</w:t>
      </w:r>
    </w:p>
    <w:p w:rsidR="0001287F" w:rsidRPr="0001287F" w:rsidRDefault="0001287F" w:rsidP="0001287F">
      <w:pPr>
        <w:tabs>
          <w:tab w:val="num" w:pos="540"/>
          <w:tab w:val="num" w:pos="567"/>
        </w:tabs>
        <w:ind w:left="454"/>
        <w:jc w:val="both"/>
        <w:rPr>
          <w:rFonts w:ascii="Tahoma" w:hAnsi="Tahoma" w:cs="Tahoma"/>
        </w:rPr>
      </w:pPr>
    </w:p>
    <w:p w:rsidR="0001287F" w:rsidRPr="0001287F" w:rsidRDefault="0001287F" w:rsidP="0001287F">
      <w:pPr>
        <w:tabs>
          <w:tab w:val="num" w:pos="540"/>
          <w:tab w:val="num" w:pos="567"/>
        </w:tabs>
        <w:ind w:left="454"/>
        <w:jc w:val="both"/>
        <w:rPr>
          <w:rFonts w:ascii="Tahoma" w:hAnsi="Tahoma" w:cs="Tahoma"/>
        </w:rPr>
      </w:pPr>
      <w:r w:rsidRPr="0001287F">
        <w:rPr>
          <w:rFonts w:ascii="Tahoma" w:hAnsi="Tahoma" w:cs="Tahoma"/>
        </w:rPr>
        <w:t xml:space="preserve">Consecuentemente, se verifica que el servicio solicitado no es el mero destaque de personal para que se dedique a realizar determinadas funciones en el centro de trabajo o de operaciones de la Entidad, sino la tercerización externa de las actividades propias de ésta, por cuanto se trata de la prestación de un servicio integral bajo costo y riesgo del contratista, empleando éste su propio personal. </w:t>
      </w:r>
    </w:p>
    <w:p w:rsidR="0001287F" w:rsidRPr="0001287F" w:rsidRDefault="0001287F" w:rsidP="0001287F">
      <w:pPr>
        <w:tabs>
          <w:tab w:val="num" w:pos="540"/>
          <w:tab w:val="num" w:pos="567"/>
        </w:tabs>
        <w:ind w:left="454"/>
        <w:jc w:val="both"/>
        <w:rPr>
          <w:rFonts w:ascii="Tahoma" w:hAnsi="Tahoma" w:cs="Tahoma"/>
        </w:rPr>
      </w:pPr>
    </w:p>
    <w:p w:rsidR="0001287F" w:rsidRPr="0001287F" w:rsidRDefault="0001287F" w:rsidP="0001287F">
      <w:pPr>
        <w:tabs>
          <w:tab w:val="num" w:pos="540"/>
          <w:tab w:val="num" w:pos="567"/>
        </w:tabs>
        <w:ind w:left="454"/>
        <w:jc w:val="both"/>
        <w:rPr>
          <w:rFonts w:ascii="Tahoma" w:hAnsi="Tahoma" w:cs="Tahoma"/>
        </w:rPr>
      </w:pPr>
      <w:r w:rsidRPr="0001287F">
        <w:rPr>
          <w:rFonts w:ascii="Tahoma" w:hAnsi="Tahoma" w:cs="Tahoma"/>
        </w:rPr>
        <w:t>Ello implica que el servicio a contratar por La Entidad no tiene relación con la intermediación laboral, sino con la tercerización (</w:t>
      </w:r>
      <w:proofErr w:type="spellStart"/>
      <w:r w:rsidRPr="0001287F">
        <w:rPr>
          <w:rFonts w:ascii="Tahoma" w:hAnsi="Tahoma" w:cs="Tahoma"/>
          <w:i/>
        </w:rPr>
        <w:t>outsourcing</w:t>
      </w:r>
      <w:proofErr w:type="spellEnd"/>
      <w:r w:rsidRPr="0001287F">
        <w:rPr>
          <w:rFonts w:ascii="Tahoma" w:hAnsi="Tahoma" w:cs="Tahoma"/>
          <w:i/>
        </w:rPr>
        <w:t>)</w:t>
      </w:r>
      <w:r w:rsidRPr="0001287F">
        <w:rPr>
          <w:rFonts w:ascii="Tahoma" w:hAnsi="Tahoma" w:cs="Tahoma"/>
        </w:rPr>
        <w:t xml:space="preserve">, tal y como señala el numeral 21 de las Bases, el cual fue formulado en los siguientes términos: </w:t>
      </w:r>
      <w:r w:rsidRPr="0001287F">
        <w:rPr>
          <w:rFonts w:ascii="Tahoma" w:hAnsi="Tahoma" w:cs="Tahoma"/>
          <w:i/>
        </w:rPr>
        <w:t xml:space="preserve">“El presente contrato no constituye un contrato de intermediación laboral, no siendo aplicable lo dispuesto en la Ley Nº 27626 (Ley que regula la actividad de las Empresas Especiales de Servicios y de las Cooperativas de Trabajadores) y el Decreto Supremo Nº 003-2002-TR (Reglamento de Intermediación Laboral).” </w:t>
      </w:r>
      <w:r w:rsidRPr="0001287F">
        <w:rPr>
          <w:rFonts w:ascii="Tahoma" w:hAnsi="Tahoma" w:cs="Tahoma"/>
        </w:rPr>
        <w:t xml:space="preserve">En ese sentido, resulta claro que las empresas dedicadas al rubro de la intermediación laboral se encontraban impedidas de participar en el proceso materia de análisis. </w:t>
      </w:r>
    </w:p>
    <w:p w:rsidR="0001287F" w:rsidRPr="0001287F" w:rsidRDefault="0001287F" w:rsidP="0001287F">
      <w:pPr>
        <w:pStyle w:val="Prrafodelista"/>
        <w:rPr>
          <w:rFonts w:ascii="Tahoma" w:hAnsi="Tahoma" w:cs="Tahoma"/>
        </w:rPr>
      </w:pPr>
    </w:p>
    <w:p w:rsidR="0001287F" w:rsidRPr="0001287F" w:rsidRDefault="0001287F" w:rsidP="0001287F">
      <w:pPr>
        <w:pStyle w:val="Prrafodelista"/>
        <w:numPr>
          <w:ilvl w:val="0"/>
          <w:numId w:val="3"/>
        </w:numPr>
        <w:jc w:val="both"/>
        <w:rPr>
          <w:rFonts w:ascii="Tahoma" w:hAnsi="Tahoma" w:cs="Tahoma"/>
        </w:rPr>
      </w:pPr>
      <w:r w:rsidRPr="0001287F">
        <w:rPr>
          <w:rFonts w:ascii="Tahoma" w:hAnsi="Tahoma" w:cs="Tahoma"/>
        </w:rPr>
        <w:t>Por lo tanto, este Colegiado considera que la empresa impugnante CONSORCIO IRV S.A.C. no participó válidamente en el proceso de selección, debiendo haberse descalificado su oferta técnica en la etapa de evaluación de propuestas, toda vez que conforme a la información obrante en los Registros Públicos, la mencionada empresa tiene como objeto social exclusivo la de prestar servicios de intermediación laboral, debiendo tenerse presente que la sociedad circunscribe sus actividades a aquellos negocios u operaciones lícitos cuya descripción detallada constituye su objeto social</w:t>
      </w:r>
      <w:r w:rsidRPr="0001287F">
        <w:rPr>
          <w:rStyle w:val="Refdenotaalpie"/>
          <w:rFonts w:ascii="Tahoma" w:hAnsi="Tahoma" w:cs="Tahoma"/>
        </w:rPr>
        <w:footnoteReference w:id="10"/>
      </w:r>
      <w:r w:rsidRPr="0001287F">
        <w:rPr>
          <w:rFonts w:ascii="Tahoma" w:hAnsi="Tahoma" w:cs="Tahoma"/>
        </w:rPr>
        <w:t xml:space="preserve">, es decir, servicios de intermediación laboral. </w:t>
      </w:r>
    </w:p>
    <w:p w:rsidR="0001287F" w:rsidRPr="0001287F" w:rsidRDefault="0001287F" w:rsidP="0001287F">
      <w:pPr>
        <w:pStyle w:val="Prrafodelista"/>
        <w:ind w:left="454"/>
        <w:jc w:val="both"/>
        <w:rPr>
          <w:rFonts w:ascii="Tahoma" w:hAnsi="Tahoma" w:cs="Tahoma"/>
        </w:rPr>
      </w:pPr>
    </w:p>
    <w:p w:rsidR="0001287F" w:rsidRPr="0001287F" w:rsidRDefault="0001287F" w:rsidP="0001287F">
      <w:pPr>
        <w:ind w:left="454"/>
        <w:jc w:val="both"/>
        <w:rPr>
          <w:rFonts w:ascii="Tahoma" w:hAnsi="Tahoma" w:cs="Tahoma"/>
        </w:rPr>
      </w:pPr>
      <w:r w:rsidRPr="0001287F">
        <w:rPr>
          <w:rFonts w:ascii="Tahoma" w:hAnsi="Tahoma" w:cs="Tahoma"/>
        </w:rPr>
        <w:t>Dentro de este contexto, se advierte que El Impugnante se encontraba imposibilitado legalmente para participar en el proceso, toda vez que las empresas de intermediación laboral  por disposición expresa de la Ley tienen como objeto exclusivo la prestación de dichos servicios, régimen que está prohibido en el presente proceso de selección, por lo que corresponde descalificar la propuesta presentada por El Impugnante. Tal posición  ha sido recogida por el Tribunal de CONSUCODE en anteriores oportunidades</w:t>
      </w:r>
      <w:r w:rsidRPr="0001287F">
        <w:rPr>
          <w:rFonts w:ascii="Tahoma" w:hAnsi="Tahoma" w:cs="Tahoma"/>
          <w:vertAlign w:val="superscript"/>
        </w:rPr>
        <w:t>10</w:t>
      </w:r>
      <w:r w:rsidRPr="0001287F">
        <w:rPr>
          <w:rFonts w:ascii="Tahoma" w:hAnsi="Tahoma" w:cs="Tahoma"/>
        </w:rPr>
        <w:t xml:space="preserve">. </w:t>
      </w:r>
    </w:p>
    <w:p w:rsidR="0001287F" w:rsidRPr="0001287F" w:rsidRDefault="0001287F" w:rsidP="0001287F">
      <w:pPr>
        <w:ind w:left="454"/>
        <w:jc w:val="both"/>
        <w:rPr>
          <w:rFonts w:ascii="Tahoma" w:hAnsi="Tahoma" w:cs="Tahoma"/>
        </w:rPr>
      </w:pPr>
    </w:p>
    <w:p w:rsidR="00C3673F" w:rsidRPr="0001287F" w:rsidRDefault="0001287F" w:rsidP="0001287F">
      <w:pPr>
        <w:pStyle w:val="Prrafodelista"/>
        <w:numPr>
          <w:ilvl w:val="0"/>
          <w:numId w:val="3"/>
        </w:numPr>
        <w:jc w:val="both"/>
        <w:rPr>
          <w:rFonts w:ascii="Tahoma" w:hAnsi="Tahoma" w:cs="Tahoma"/>
          <w:b/>
        </w:rPr>
      </w:pPr>
      <w:r w:rsidRPr="0001287F">
        <w:rPr>
          <w:rFonts w:ascii="Tahoma" w:hAnsi="Tahoma" w:cs="Tahoma"/>
        </w:rPr>
        <w:t xml:space="preserve">Por las consideraciones expuestas en los numerales precedentes, en aplicación de lo dispuesto por el numeral 1) del artículo 163 del Reglamento de </w:t>
      </w:r>
      <w:smartTag w:uri="urn:schemas-microsoft-com:office:smarttags" w:element="PersonName">
        <w:smartTagPr>
          <w:attr w:name="ProductID" w:val="la Ley"/>
        </w:smartTagPr>
        <w:r w:rsidRPr="0001287F">
          <w:rPr>
            <w:rFonts w:ascii="Tahoma" w:hAnsi="Tahoma" w:cs="Tahoma"/>
          </w:rPr>
          <w:t>la Ley</w:t>
        </w:r>
      </w:smartTag>
      <w:r w:rsidRPr="0001287F">
        <w:rPr>
          <w:rFonts w:ascii="Tahoma" w:hAnsi="Tahoma" w:cs="Tahoma"/>
        </w:rPr>
        <w:t xml:space="preserve"> de Contrataciones y Adquisiciones del Estado, aprobado mediante Decreto Supremo Nº 084-2004-PCM y modificado mediante Decreto Supremo Nº 028-2007-EF, corresponde declarar infundado el recurso de revisión interpuesto por El Impugnante. Al mismo tiempo, se dispone descalificar la propuesta formulada por  la empresa impugnante.</w:t>
      </w:r>
    </w:p>
    <w:p w:rsidR="0001287F" w:rsidRDefault="0001287F" w:rsidP="00C3673F">
      <w:pPr>
        <w:ind w:right="99" w:firstLine="540"/>
        <w:jc w:val="both"/>
        <w:rPr>
          <w:rFonts w:ascii="Tahoma" w:hAnsi="Tahoma" w:cs="Tahoma"/>
        </w:rPr>
      </w:pPr>
    </w:p>
    <w:p w:rsidR="00965E33" w:rsidRPr="0001287F" w:rsidRDefault="00965E33" w:rsidP="00C3673F">
      <w:pPr>
        <w:ind w:right="99" w:firstLine="540"/>
        <w:jc w:val="both"/>
        <w:rPr>
          <w:rFonts w:ascii="Tahoma" w:hAnsi="Tahoma" w:cs="Tahoma"/>
        </w:rPr>
      </w:pPr>
      <w:r w:rsidRPr="0001287F">
        <w:rPr>
          <w:rFonts w:ascii="Tahoma" w:hAnsi="Tahoma" w:cs="Tahoma"/>
        </w:rPr>
        <w:t xml:space="preserve">Por estos fundamentos, de conformidad con el informe del Vocal Ponente Dr. Carlos Augusto Salazar Romero y la intervención de los Señores Vocales Dr. Martín </w:t>
      </w:r>
      <w:r w:rsidRPr="0001287F">
        <w:rPr>
          <w:rFonts w:ascii="Tahoma" w:hAnsi="Tahoma" w:cs="Tahoma"/>
        </w:rPr>
        <w:lastRenderedPageBreak/>
        <w:t xml:space="preserve">Zumaeta </w:t>
      </w:r>
      <w:proofErr w:type="spellStart"/>
      <w:r w:rsidRPr="0001287F">
        <w:rPr>
          <w:rFonts w:ascii="Tahoma" w:hAnsi="Tahoma" w:cs="Tahoma"/>
        </w:rPr>
        <w:t>Giudichi</w:t>
      </w:r>
      <w:proofErr w:type="spellEnd"/>
      <w:r w:rsidRPr="0001287F">
        <w:rPr>
          <w:rFonts w:ascii="Tahoma" w:hAnsi="Tahoma" w:cs="Tahoma"/>
        </w:rPr>
        <w:t xml:space="preserve"> y </w:t>
      </w:r>
      <w:r w:rsidR="0063608B" w:rsidRPr="0001287F">
        <w:rPr>
          <w:rFonts w:ascii="Tahoma" w:hAnsi="Tahoma" w:cs="Tahoma"/>
        </w:rPr>
        <w:t xml:space="preserve">Dra. Mónica Yaya Luyo, </w:t>
      </w:r>
      <w:r w:rsidRPr="0001287F">
        <w:rPr>
          <w:rFonts w:ascii="Tahoma" w:hAnsi="Tahoma" w:cs="Tahoma"/>
        </w:rPr>
        <w:t>atendiendo a la conformación de la Segunda Sala del Tribunal de Contrataciones y Adquisiciones del Estado según lo dispuesto en la Resolución Nº 279-2007-CONSUCODE/PRE, expedida el 21 de mayo de 2007,</w:t>
      </w:r>
      <w:r w:rsidR="0063608B" w:rsidRPr="0001287F">
        <w:rPr>
          <w:rFonts w:ascii="Tahoma" w:hAnsi="Tahoma" w:cs="Tahoma"/>
        </w:rPr>
        <w:t xml:space="preserve"> y del Acuerdo de Sala Plena Nº 005/003 del 4 de marzo del 2002,</w:t>
      </w:r>
      <w:r w:rsidRPr="0001287F">
        <w:rPr>
          <w:rFonts w:ascii="Tahoma" w:hAnsi="Tahoma" w:cs="Tahoma"/>
        </w:rPr>
        <w:t xml:space="preserve"> en ejercicio de las facultades conferidas en los artículos 53°, 54º, 59° y 61° del Texto Único Ordenado de la Ley de Contrataciones y Adquisiciones del Estado, aprobado por Decreto Supremo Nº 083-2004-PCM, el artículo 163 de su Reglamento, aprobado por Decreto Supremo Nº 084-2004-PCM, modificado por Decreto Supremo Nº 028-2007-EF, y los artículos 17º y 18º del Reglamento de Organización y Funciones del CONSUCODE, aprobado por Decreto Supremo Nº 054-2007-EF; analizados los antecedentes y luego de agotado el debate correspondiente, por </w:t>
      </w:r>
      <w:r w:rsidR="00F54414" w:rsidRPr="0001287F">
        <w:rPr>
          <w:rFonts w:ascii="Tahoma" w:hAnsi="Tahoma" w:cs="Tahoma"/>
        </w:rPr>
        <w:t>unanimidad</w:t>
      </w:r>
      <w:r w:rsidRPr="0001287F">
        <w:rPr>
          <w:rFonts w:ascii="Tahoma" w:hAnsi="Tahoma" w:cs="Tahoma"/>
        </w:rPr>
        <w:t>;</w:t>
      </w:r>
    </w:p>
    <w:p w:rsidR="0025322B" w:rsidRPr="0001287F" w:rsidRDefault="0025322B" w:rsidP="00E7455B">
      <w:pPr>
        <w:tabs>
          <w:tab w:val="left" w:pos="7920"/>
        </w:tabs>
        <w:ind w:right="-81" w:firstLine="454"/>
        <w:jc w:val="both"/>
        <w:rPr>
          <w:rFonts w:ascii="Tahoma" w:hAnsi="Tahoma" w:cs="Tahoma"/>
        </w:rPr>
      </w:pPr>
    </w:p>
    <w:p w:rsidR="00965E33" w:rsidRPr="0001287F" w:rsidRDefault="00965E33" w:rsidP="00E7455B">
      <w:pPr>
        <w:tabs>
          <w:tab w:val="num" w:pos="360"/>
          <w:tab w:val="left" w:pos="7920"/>
        </w:tabs>
        <w:ind w:left="-180" w:right="-81" w:firstLine="180"/>
        <w:jc w:val="both"/>
        <w:rPr>
          <w:rFonts w:ascii="Tahoma" w:hAnsi="Tahoma" w:cs="Tahoma"/>
          <w:b/>
          <w:shadow/>
        </w:rPr>
      </w:pPr>
      <w:r w:rsidRPr="0001287F">
        <w:rPr>
          <w:rFonts w:ascii="Tahoma" w:hAnsi="Tahoma" w:cs="Tahoma"/>
          <w:b/>
          <w:shadow/>
        </w:rPr>
        <w:t>LA SALA RESUELVE:</w:t>
      </w:r>
    </w:p>
    <w:p w:rsidR="00E66316" w:rsidRPr="0001287F" w:rsidRDefault="00E66316" w:rsidP="00E7455B">
      <w:pPr>
        <w:tabs>
          <w:tab w:val="left" w:pos="7920"/>
        </w:tabs>
        <w:ind w:right="-81"/>
        <w:jc w:val="both"/>
        <w:rPr>
          <w:rFonts w:ascii="Tahoma" w:hAnsi="Tahoma" w:cs="Tahoma"/>
        </w:rPr>
      </w:pPr>
    </w:p>
    <w:p w:rsidR="0001287F" w:rsidRPr="0001287F" w:rsidRDefault="0001287F" w:rsidP="0001287F">
      <w:pPr>
        <w:numPr>
          <w:ilvl w:val="0"/>
          <w:numId w:val="4"/>
        </w:numPr>
        <w:tabs>
          <w:tab w:val="clear" w:pos="454"/>
          <w:tab w:val="num" w:pos="540"/>
        </w:tabs>
        <w:ind w:left="540" w:hanging="540"/>
        <w:jc w:val="both"/>
        <w:rPr>
          <w:rFonts w:ascii="Tahoma" w:hAnsi="Tahoma" w:cs="Tahoma"/>
        </w:rPr>
      </w:pPr>
      <w:r w:rsidRPr="0001287F">
        <w:rPr>
          <w:rFonts w:ascii="Tahoma" w:hAnsi="Tahoma" w:cs="Tahoma"/>
        </w:rPr>
        <w:t>Declarar Infundado el recurso de revisión interpuesto por la empresa Consorcio IRV S.A.C. contra la Resolución de Gerencia Operaciones Talara Nº GOTL-043-2007-PP que declaró infundado el recurso de apelación que interpuso contra el otorgamiento de la buena pro del Proceso por Competencia Mayor Nº 0018-2007-OTL/PETROPERÚ, la cual se confirma, por los fundamentos expuestos.</w:t>
      </w:r>
    </w:p>
    <w:p w:rsidR="0001287F" w:rsidRPr="0001287F" w:rsidRDefault="0001287F" w:rsidP="0001287F">
      <w:pPr>
        <w:ind w:left="540"/>
        <w:jc w:val="both"/>
        <w:rPr>
          <w:rFonts w:ascii="Tahoma" w:hAnsi="Tahoma" w:cs="Tahoma"/>
        </w:rPr>
      </w:pPr>
    </w:p>
    <w:p w:rsidR="0001287F" w:rsidRPr="0001287F" w:rsidRDefault="0001287F" w:rsidP="0001287F">
      <w:pPr>
        <w:numPr>
          <w:ilvl w:val="0"/>
          <w:numId w:val="4"/>
        </w:numPr>
        <w:tabs>
          <w:tab w:val="clear" w:pos="454"/>
          <w:tab w:val="num" w:pos="540"/>
        </w:tabs>
        <w:ind w:left="540" w:hanging="540"/>
        <w:jc w:val="both"/>
        <w:rPr>
          <w:rFonts w:ascii="Tahoma" w:hAnsi="Tahoma" w:cs="Tahoma"/>
        </w:rPr>
      </w:pPr>
      <w:r w:rsidRPr="0001287F">
        <w:rPr>
          <w:rFonts w:ascii="Tahoma" w:hAnsi="Tahoma" w:cs="Tahoma"/>
        </w:rPr>
        <w:t xml:space="preserve">Descalificar la propuesta formulada por CONSORCIO IRV S.A.C. para el Proceso por Competencia Mayor Nº 0018-2007-OTL/PETROPERÚ, por los fundamentos expuestos. </w:t>
      </w:r>
    </w:p>
    <w:p w:rsidR="0001287F" w:rsidRPr="0001287F" w:rsidRDefault="0001287F" w:rsidP="0001287F">
      <w:pPr>
        <w:jc w:val="both"/>
        <w:rPr>
          <w:rFonts w:ascii="Tahoma" w:hAnsi="Tahoma" w:cs="Tahoma"/>
        </w:rPr>
      </w:pPr>
    </w:p>
    <w:p w:rsidR="0001287F" w:rsidRPr="0001287F" w:rsidRDefault="0001287F" w:rsidP="0001287F">
      <w:pPr>
        <w:numPr>
          <w:ilvl w:val="0"/>
          <w:numId w:val="4"/>
        </w:numPr>
        <w:tabs>
          <w:tab w:val="clear" w:pos="454"/>
          <w:tab w:val="num" w:pos="540"/>
        </w:tabs>
        <w:ind w:left="540" w:hanging="540"/>
        <w:jc w:val="both"/>
        <w:rPr>
          <w:rFonts w:ascii="Tahoma" w:hAnsi="Tahoma" w:cs="Tahoma"/>
        </w:rPr>
      </w:pPr>
      <w:r w:rsidRPr="0001287F">
        <w:rPr>
          <w:rFonts w:ascii="Tahoma" w:hAnsi="Tahoma" w:cs="Tahoma"/>
        </w:rPr>
        <w:t>Ejecutar la garantía presentada por CONSORCIO IRV S.A.C. para la interposición del recurso de revisión venido en grado.</w:t>
      </w:r>
    </w:p>
    <w:p w:rsidR="0001287F" w:rsidRPr="0001287F" w:rsidRDefault="0001287F" w:rsidP="0001287F">
      <w:pPr>
        <w:jc w:val="both"/>
        <w:rPr>
          <w:rFonts w:ascii="Tahoma" w:hAnsi="Tahoma" w:cs="Tahoma"/>
          <w:lang w:val="es-ES_tradnl"/>
        </w:rPr>
      </w:pPr>
    </w:p>
    <w:p w:rsidR="0001287F" w:rsidRPr="0001287F" w:rsidRDefault="0001287F" w:rsidP="0001287F">
      <w:pPr>
        <w:numPr>
          <w:ilvl w:val="0"/>
          <w:numId w:val="4"/>
        </w:numPr>
        <w:tabs>
          <w:tab w:val="clear" w:pos="454"/>
          <w:tab w:val="num" w:pos="540"/>
        </w:tabs>
        <w:ind w:left="540" w:hanging="540"/>
        <w:jc w:val="both"/>
        <w:rPr>
          <w:rFonts w:ascii="Tahoma" w:hAnsi="Tahoma" w:cs="Tahoma"/>
        </w:rPr>
      </w:pPr>
      <w:r w:rsidRPr="0001287F">
        <w:rPr>
          <w:rFonts w:ascii="Tahoma" w:hAnsi="Tahoma" w:cs="Tahoma"/>
        </w:rPr>
        <w:t>Disponer</w:t>
      </w:r>
      <w:r w:rsidRPr="0001287F">
        <w:rPr>
          <w:rFonts w:ascii="Tahoma" w:hAnsi="Tahoma" w:cs="Tahoma"/>
          <w:lang w:val="es-ES_tradnl"/>
        </w:rPr>
        <w:t xml:space="preserve"> la devolución de los antecedentes administrativos a </w:t>
      </w:r>
      <w:smartTag w:uri="urn:schemas-microsoft-com:office:smarttags" w:element="PersonName">
        <w:smartTagPr>
          <w:attr w:name="ProductID" w:val="LA ENTIDAD"/>
        </w:smartTagPr>
        <w:r w:rsidRPr="0001287F">
          <w:rPr>
            <w:rFonts w:ascii="Tahoma" w:hAnsi="Tahoma" w:cs="Tahoma"/>
            <w:lang w:val="es-ES_tradnl"/>
          </w:rPr>
          <w:t>la Entidad</w:t>
        </w:r>
      </w:smartTag>
      <w:r w:rsidRPr="0001287F">
        <w:rPr>
          <w:rFonts w:ascii="Tahoma" w:hAnsi="Tahoma" w:cs="Tahoma"/>
          <w:lang w:val="es-ES_tradnl"/>
        </w:rPr>
        <w:t xml:space="preserve">, la cual deberá recabarlos en la mesa de partes del Tribunal dentro del plazo de 30 días calendario de notificada la presente resolución; conforme a lo dispuesto en el numeral 5 de la parte V. Disposiciones Generales de </w:t>
      </w:r>
      <w:smartTag w:uri="urn:schemas-microsoft-com:office:smarttags" w:element="PersonName">
        <w:smartTagPr>
          <w:attr w:name="ProductID" w:val="la Directiva N"/>
        </w:smartTagPr>
        <w:r w:rsidRPr="0001287F">
          <w:rPr>
            <w:rFonts w:ascii="Tahoma" w:hAnsi="Tahoma" w:cs="Tahoma"/>
            <w:lang w:val="es-ES_tradnl"/>
          </w:rPr>
          <w:t>la Directiva N</w:t>
        </w:r>
      </w:smartTag>
      <w:r w:rsidRPr="0001287F">
        <w:rPr>
          <w:rFonts w:ascii="Tahoma" w:hAnsi="Tahoma" w:cs="Tahoma"/>
          <w:lang w:val="es-ES_tradnl"/>
        </w:rPr>
        <w:t>º 013-2007/CONSUCODE/PRE</w:t>
      </w:r>
    </w:p>
    <w:p w:rsidR="0001287F" w:rsidRPr="0001287F" w:rsidRDefault="0001287F" w:rsidP="0001287F">
      <w:pPr>
        <w:jc w:val="both"/>
        <w:rPr>
          <w:rFonts w:ascii="Tahoma" w:hAnsi="Tahoma" w:cs="Tahoma"/>
        </w:rPr>
      </w:pPr>
    </w:p>
    <w:p w:rsidR="0001287F" w:rsidRPr="0001287F" w:rsidRDefault="0001287F" w:rsidP="0001287F">
      <w:pPr>
        <w:numPr>
          <w:ilvl w:val="0"/>
          <w:numId w:val="4"/>
        </w:numPr>
        <w:tabs>
          <w:tab w:val="clear" w:pos="454"/>
          <w:tab w:val="num" w:pos="540"/>
        </w:tabs>
        <w:ind w:left="540" w:hanging="540"/>
        <w:jc w:val="both"/>
        <w:rPr>
          <w:rFonts w:ascii="Tahoma" w:hAnsi="Tahoma" w:cs="Tahoma"/>
        </w:rPr>
      </w:pPr>
      <w:r w:rsidRPr="0001287F">
        <w:rPr>
          <w:rFonts w:ascii="Tahoma" w:hAnsi="Tahoma" w:cs="Tahoma"/>
        </w:rPr>
        <w:t>Dar por agotada la vía administrativa.</w:t>
      </w:r>
    </w:p>
    <w:p w:rsidR="009A7335" w:rsidRPr="0001287F" w:rsidRDefault="009A7335" w:rsidP="00E7455B">
      <w:pPr>
        <w:pStyle w:val="Textoindependiente21"/>
        <w:tabs>
          <w:tab w:val="left" w:pos="7920"/>
        </w:tabs>
        <w:ind w:right="-81"/>
        <w:rPr>
          <w:rFonts w:cs="Tahoma"/>
          <w:sz w:val="20"/>
        </w:rPr>
      </w:pPr>
    </w:p>
    <w:p w:rsidR="00965E33" w:rsidRPr="0001287F" w:rsidRDefault="00965E33" w:rsidP="00E7455B">
      <w:pPr>
        <w:pStyle w:val="Textoindependiente21"/>
        <w:tabs>
          <w:tab w:val="left" w:pos="7920"/>
        </w:tabs>
        <w:ind w:right="-81"/>
        <w:rPr>
          <w:rFonts w:cs="Tahoma"/>
          <w:sz w:val="20"/>
        </w:rPr>
      </w:pPr>
      <w:r w:rsidRPr="0001287F">
        <w:rPr>
          <w:rFonts w:cs="Tahoma"/>
          <w:sz w:val="20"/>
        </w:rPr>
        <w:t>Regístrese, comuníquese y publíquese.</w:t>
      </w:r>
    </w:p>
    <w:p w:rsidR="00E66316" w:rsidRPr="0001287F" w:rsidRDefault="00E66316" w:rsidP="00E7455B">
      <w:pPr>
        <w:ind w:right="-81"/>
        <w:jc w:val="center"/>
        <w:rPr>
          <w:rFonts w:ascii="Tahoma" w:hAnsi="Tahoma" w:cs="Tahoma"/>
          <w:b/>
        </w:rPr>
      </w:pPr>
    </w:p>
    <w:p w:rsidR="004B65C3" w:rsidRPr="0001287F" w:rsidRDefault="004B65C3" w:rsidP="00E7455B">
      <w:pPr>
        <w:ind w:right="-81"/>
        <w:jc w:val="center"/>
        <w:rPr>
          <w:rFonts w:ascii="Tahoma" w:hAnsi="Tahoma" w:cs="Tahoma"/>
          <w:b/>
        </w:rPr>
      </w:pPr>
    </w:p>
    <w:p w:rsidR="004B65C3" w:rsidRPr="0001287F" w:rsidRDefault="004B65C3" w:rsidP="00E7455B">
      <w:pPr>
        <w:ind w:right="-81"/>
        <w:jc w:val="center"/>
        <w:rPr>
          <w:rFonts w:ascii="Tahoma" w:hAnsi="Tahoma" w:cs="Tahoma"/>
          <w:b/>
        </w:rPr>
      </w:pPr>
    </w:p>
    <w:p w:rsidR="004B65C3" w:rsidRPr="0001287F" w:rsidRDefault="004B65C3" w:rsidP="00E7455B">
      <w:pPr>
        <w:ind w:right="-81"/>
        <w:jc w:val="center"/>
        <w:rPr>
          <w:rFonts w:ascii="Tahoma" w:hAnsi="Tahoma" w:cs="Tahoma"/>
          <w:b/>
        </w:rPr>
      </w:pPr>
    </w:p>
    <w:p w:rsidR="004B65C3" w:rsidRPr="0001287F" w:rsidRDefault="004B65C3" w:rsidP="00E7455B">
      <w:pPr>
        <w:ind w:right="-81"/>
        <w:jc w:val="center"/>
        <w:rPr>
          <w:rFonts w:ascii="Tahoma" w:hAnsi="Tahoma" w:cs="Tahoma"/>
          <w:b/>
        </w:rPr>
      </w:pPr>
    </w:p>
    <w:p w:rsidR="004B65C3" w:rsidRPr="0001287F" w:rsidRDefault="004B65C3" w:rsidP="00E7455B">
      <w:pPr>
        <w:ind w:right="-81"/>
        <w:jc w:val="center"/>
        <w:rPr>
          <w:rFonts w:ascii="Tahoma" w:hAnsi="Tahoma" w:cs="Tahoma"/>
          <w:b/>
        </w:rPr>
      </w:pPr>
    </w:p>
    <w:p w:rsidR="004B65C3" w:rsidRPr="0001287F" w:rsidRDefault="004B65C3" w:rsidP="00E7455B">
      <w:pPr>
        <w:ind w:right="-81"/>
        <w:jc w:val="center"/>
        <w:rPr>
          <w:rFonts w:ascii="Tahoma" w:hAnsi="Tahoma" w:cs="Tahoma"/>
          <w:b/>
        </w:rPr>
      </w:pPr>
    </w:p>
    <w:p w:rsidR="00965E33" w:rsidRPr="0001287F" w:rsidRDefault="00965E33" w:rsidP="00965E33">
      <w:pPr>
        <w:jc w:val="center"/>
        <w:rPr>
          <w:rFonts w:ascii="Tahoma" w:hAnsi="Tahoma" w:cs="Tahoma"/>
          <w:b/>
          <w:shadow/>
          <w:lang w:val="pt-BR"/>
        </w:rPr>
      </w:pPr>
      <w:r w:rsidRPr="0001287F">
        <w:rPr>
          <w:rFonts w:ascii="Tahoma" w:hAnsi="Tahoma" w:cs="Tahoma"/>
          <w:b/>
          <w:shadow/>
          <w:lang w:val="pt-BR"/>
        </w:rPr>
        <w:t>PRESIDENTE</w:t>
      </w:r>
    </w:p>
    <w:p w:rsidR="00E7455B" w:rsidRPr="0001287F" w:rsidRDefault="00E7455B" w:rsidP="00965E33">
      <w:pPr>
        <w:ind w:firstLine="708"/>
        <w:rPr>
          <w:rFonts w:ascii="Tahoma" w:hAnsi="Tahoma" w:cs="Tahoma"/>
          <w:b/>
          <w:shadow/>
          <w:lang w:val="pt-BR"/>
        </w:rPr>
      </w:pPr>
    </w:p>
    <w:p w:rsidR="00965E33" w:rsidRPr="0001287F" w:rsidRDefault="00965E33" w:rsidP="00965E33">
      <w:pPr>
        <w:ind w:firstLine="708"/>
        <w:rPr>
          <w:rFonts w:ascii="Tahoma" w:hAnsi="Tahoma" w:cs="Tahoma"/>
          <w:shadow/>
          <w:lang w:val="pt-BR"/>
        </w:rPr>
      </w:pPr>
      <w:r w:rsidRPr="0001287F">
        <w:rPr>
          <w:rFonts w:ascii="Tahoma" w:hAnsi="Tahoma" w:cs="Tahoma"/>
          <w:b/>
          <w:shadow/>
          <w:lang w:val="pt-BR"/>
        </w:rPr>
        <w:t xml:space="preserve">    </w:t>
      </w:r>
      <w:r w:rsidR="00F54414" w:rsidRPr="0001287F">
        <w:rPr>
          <w:rFonts w:ascii="Tahoma" w:hAnsi="Tahoma" w:cs="Tahoma"/>
          <w:b/>
          <w:shadow/>
          <w:lang w:val="pt-BR"/>
        </w:rPr>
        <w:t>VOCAL</w:t>
      </w:r>
      <w:proofErr w:type="gramStart"/>
      <w:r w:rsidRPr="0001287F">
        <w:rPr>
          <w:rFonts w:ascii="Tahoma" w:hAnsi="Tahoma" w:cs="Tahoma"/>
          <w:b/>
          <w:shadow/>
          <w:lang w:val="pt-BR"/>
        </w:rPr>
        <w:t xml:space="preserve">  </w:t>
      </w:r>
      <w:proofErr w:type="gramEnd"/>
      <w:r w:rsidRPr="0001287F">
        <w:rPr>
          <w:rFonts w:ascii="Tahoma" w:hAnsi="Tahoma" w:cs="Tahoma"/>
          <w:b/>
          <w:shadow/>
          <w:lang w:val="pt-BR"/>
        </w:rPr>
        <w:tab/>
        <w:t xml:space="preserve">                                                                            VOCAL</w:t>
      </w:r>
    </w:p>
    <w:p w:rsidR="00965E33" w:rsidRPr="0001287F" w:rsidRDefault="00965E33" w:rsidP="00965E33">
      <w:pPr>
        <w:jc w:val="both"/>
        <w:rPr>
          <w:rFonts w:ascii="Tahoma" w:hAnsi="Tahoma" w:cs="Tahoma"/>
          <w:lang w:val="pt-BR"/>
        </w:rPr>
      </w:pPr>
      <w:proofErr w:type="gramStart"/>
      <w:r w:rsidRPr="0001287F">
        <w:rPr>
          <w:rFonts w:ascii="Tahoma" w:hAnsi="Tahoma" w:cs="Tahoma"/>
          <w:lang w:val="pt-BR"/>
        </w:rPr>
        <w:t>ss.</w:t>
      </w:r>
      <w:proofErr w:type="gramEnd"/>
    </w:p>
    <w:p w:rsidR="00965E33" w:rsidRPr="0001287F" w:rsidRDefault="00965E33" w:rsidP="00965E33">
      <w:pPr>
        <w:pStyle w:val="Textoindependiente21"/>
        <w:rPr>
          <w:rFonts w:cs="Tahoma"/>
          <w:sz w:val="20"/>
          <w:lang w:val="pt-BR"/>
        </w:rPr>
      </w:pPr>
      <w:r w:rsidRPr="0001287F">
        <w:rPr>
          <w:rFonts w:cs="Tahoma"/>
          <w:sz w:val="20"/>
          <w:lang w:val="pt-BR"/>
        </w:rPr>
        <w:t>Salazar Romero.</w:t>
      </w:r>
    </w:p>
    <w:p w:rsidR="0063608B" w:rsidRPr="0001287F" w:rsidRDefault="00F54414" w:rsidP="00965E33">
      <w:pPr>
        <w:pStyle w:val="Textoindependiente21"/>
        <w:rPr>
          <w:rFonts w:cs="Tahoma"/>
          <w:sz w:val="20"/>
          <w:lang w:val="pt-BR"/>
        </w:rPr>
      </w:pPr>
      <w:r w:rsidRPr="0001287F">
        <w:rPr>
          <w:rFonts w:cs="Tahoma"/>
          <w:sz w:val="20"/>
          <w:lang w:val="pt-BR"/>
        </w:rPr>
        <w:t>Zumaeta Giudichi.</w:t>
      </w:r>
    </w:p>
    <w:p w:rsidR="00F54414" w:rsidRPr="0001287F" w:rsidRDefault="00426E3E" w:rsidP="00965E33">
      <w:pPr>
        <w:pStyle w:val="Textoindependiente21"/>
        <w:rPr>
          <w:rFonts w:cs="Tahoma"/>
          <w:sz w:val="20"/>
          <w:lang w:val="pt-BR"/>
        </w:rPr>
      </w:pPr>
      <w:r w:rsidRPr="0001287F">
        <w:rPr>
          <w:rFonts w:cs="Tahoma"/>
          <w:sz w:val="20"/>
          <w:lang w:val="pt-BR"/>
        </w:rPr>
        <w:t>Yaya Luyo</w:t>
      </w:r>
      <w:r w:rsidR="00F54414" w:rsidRPr="0001287F">
        <w:rPr>
          <w:rFonts w:cs="Tahoma"/>
          <w:sz w:val="20"/>
          <w:lang w:val="pt-BR"/>
        </w:rPr>
        <w:t>.</w:t>
      </w:r>
    </w:p>
    <w:sectPr w:rsidR="00F54414" w:rsidRPr="0001287F" w:rsidSect="00E7455B">
      <w:footerReference w:type="even" r:id="rId7"/>
      <w:footerReference w:type="default" r:id="rId8"/>
      <w:pgSz w:w="11907" w:h="16840" w:code="9"/>
      <w:pgMar w:top="3232" w:right="2187" w:bottom="1440" w:left="1701"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BEF" w:rsidRDefault="004B65C3">
      <w:r>
        <w:separator/>
      </w:r>
    </w:p>
  </w:endnote>
  <w:endnote w:type="continuationSeparator" w:id="1">
    <w:p w:rsidR="003A1BEF" w:rsidRDefault="004B65C3">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73F" w:rsidRDefault="001C7B16" w:rsidP="00E66316">
    <w:pPr>
      <w:pStyle w:val="Piedepgina"/>
      <w:framePr w:wrap="around" w:vAnchor="text" w:hAnchor="margin" w:xAlign="center" w:y="1"/>
      <w:rPr>
        <w:rStyle w:val="Nmerodepgina"/>
      </w:rPr>
    </w:pPr>
    <w:r>
      <w:rPr>
        <w:rStyle w:val="Nmerodepgina"/>
      </w:rPr>
      <w:fldChar w:fldCharType="begin"/>
    </w:r>
    <w:r w:rsidR="00C3673F">
      <w:rPr>
        <w:rStyle w:val="Nmerodepgina"/>
      </w:rPr>
      <w:instrText xml:space="preserve">PAGE  </w:instrText>
    </w:r>
    <w:r>
      <w:rPr>
        <w:rStyle w:val="Nmerodepgina"/>
      </w:rPr>
      <w:fldChar w:fldCharType="end"/>
    </w:r>
  </w:p>
  <w:p w:rsidR="00C3673F" w:rsidRDefault="00C3673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73F" w:rsidRDefault="001C7B16" w:rsidP="00D9759F">
    <w:pPr>
      <w:pStyle w:val="Piedepgina"/>
      <w:framePr w:wrap="around" w:vAnchor="text" w:hAnchor="margin" w:xAlign="center" w:y="1"/>
      <w:rPr>
        <w:rStyle w:val="Nmerodepgina"/>
      </w:rPr>
    </w:pPr>
    <w:r>
      <w:rPr>
        <w:rStyle w:val="Nmerodepgina"/>
      </w:rPr>
      <w:fldChar w:fldCharType="begin"/>
    </w:r>
    <w:r w:rsidR="00C3673F">
      <w:rPr>
        <w:rStyle w:val="Nmerodepgina"/>
      </w:rPr>
      <w:instrText xml:space="preserve">PAGE  </w:instrText>
    </w:r>
    <w:r>
      <w:rPr>
        <w:rStyle w:val="Nmerodepgina"/>
      </w:rPr>
      <w:fldChar w:fldCharType="separate"/>
    </w:r>
    <w:r w:rsidR="004B2794">
      <w:rPr>
        <w:rStyle w:val="Nmerodepgina"/>
        <w:noProof/>
      </w:rPr>
      <w:t>1</w:t>
    </w:r>
    <w:r>
      <w:rPr>
        <w:rStyle w:val="Nmerodepgina"/>
      </w:rPr>
      <w:fldChar w:fldCharType="end"/>
    </w:r>
  </w:p>
  <w:p w:rsidR="00C3673F" w:rsidRDefault="00C3673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BEF" w:rsidRDefault="004B65C3">
      <w:r>
        <w:separator/>
      </w:r>
    </w:p>
  </w:footnote>
  <w:footnote w:type="continuationSeparator" w:id="1">
    <w:p w:rsidR="003A1BEF" w:rsidRDefault="004B65C3">
      <w:r>
        <w:continuationSeparator/>
      </w:r>
    </w:p>
  </w:footnote>
  <w:footnote w:id="2">
    <w:p w:rsidR="0001287F" w:rsidRPr="00D365F7" w:rsidRDefault="0001287F" w:rsidP="0001287F">
      <w:pPr>
        <w:pStyle w:val="Textonotapie"/>
        <w:jc w:val="both"/>
        <w:rPr>
          <w:rFonts w:ascii="Tahoma" w:hAnsi="Tahoma" w:cs="Tahoma"/>
        </w:rPr>
      </w:pPr>
      <w:r w:rsidRPr="00D365F7">
        <w:rPr>
          <w:rStyle w:val="Refdenotaalpie"/>
          <w:rFonts w:ascii="Tahoma" w:hAnsi="Tahoma" w:cs="Tahoma"/>
        </w:rPr>
        <w:footnoteRef/>
      </w:r>
      <w:r w:rsidRPr="00D365F7">
        <w:rPr>
          <w:rFonts w:ascii="Tahoma" w:hAnsi="Tahoma" w:cs="Tahoma"/>
        </w:rPr>
        <w:t xml:space="preserve"> Lo expuesto ha sido materia de pronunciamientos de este Tribunal mediante las Resoluciones Nº  539-2006/TC-SU y 406-2006/TC-SU. </w:t>
      </w:r>
    </w:p>
  </w:footnote>
  <w:footnote w:id="3">
    <w:p w:rsidR="0001287F" w:rsidRPr="00D365F7" w:rsidRDefault="0001287F" w:rsidP="0001287F">
      <w:pPr>
        <w:jc w:val="both"/>
        <w:rPr>
          <w:rFonts w:ascii="Tahoma" w:hAnsi="Tahoma" w:cs="Tahoma"/>
        </w:rPr>
      </w:pPr>
      <w:r w:rsidRPr="00D365F7">
        <w:rPr>
          <w:rStyle w:val="Refdenotaalpie"/>
          <w:rFonts w:ascii="Tahoma" w:hAnsi="Tahoma" w:cs="Tahoma"/>
        </w:rPr>
        <w:footnoteRef/>
      </w:r>
      <w:r w:rsidRPr="00D365F7">
        <w:rPr>
          <w:rFonts w:ascii="Tahoma" w:hAnsi="Tahoma" w:cs="Tahoma"/>
        </w:rPr>
        <w:t xml:space="preserve"> Artículo 3.- Principios que rigen a las contrataciones y adquisiciones.-</w:t>
      </w:r>
    </w:p>
    <w:p w:rsidR="0001287F" w:rsidRPr="00D365F7" w:rsidRDefault="0001287F" w:rsidP="0001287F">
      <w:pPr>
        <w:jc w:val="both"/>
        <w:rPr>
          <w:rFonts w:ascii="Tahoma" w:hAnsi="Tahoma" w:cs="Tahoma"/>
        </w:rPr>
      </w:pPr>
      <w:r w:rsidRPr="00D365F7">
        <w:rPr>
          <w:rFonts w:ascii="Tahoma" w:hAnsi="Tahoma" w:cs="Tahoma"/>
        </w:rPr>
        <w:t>Los procesos de contratación y adquisición regulados por esta Ley y su Reglamento se rigen por los siguientes principios; ello sin perjuicio de la vigencia de otros principios generales del Derecho Administrativo y del Derecho Común:</w:t>
      </w:r>
    </w:p>
    <w:p w:rsidR="0001287F" w:rsidRPr="00D365F7" w:rsidRDefault="0001287F" w:rsidP="0001287F">
      <w:pPr>
        <w:pStyle w:val="Textonotapie"/>
        <w:jc w:val="both"/>
        <w:rPr>
          <w:rFonts w:ascii="Tahoma" w:hAnsi="Tahoma" w:cs="Tahoma"/>
        </w:rPr>
      </w:pPr>
      <w:r w:rsidRPr="00D365F7">
        <w:rPr>
          <w:rFonts w:ascii="Tahoma" w:hAnsi="Tahoma" w:cs="Tahoma"/>
        </w:rPr>
        <w:t xml:space="preserve">1.   </w:t>
      </w:r>
      <w:r w:rsidRPr="00D365F7">
        <w:rPr>
          <w:rFonts w:ascii="Tahoma" w:hAnsi="Tahoma" w:cs="Tahoma"/>
          <w:b/>
        </w:rPr>
        <w:t>Principio de Moralidad</w:t>
      </w:r>
      <w:r w:rsidRPr="00D365F7">
        <w:rPr>
          <w:rFonts w:ascii="Tahoma" w:hAnsi="Tahoma" w:cs="Tahoma"/>
        </w:rPr>
        <w:t>: Los actos referidos a las contrataciones y adquisiciones deben caracterizarse por la honradez, veracidad, intangibilidad, justicia y probidad.</w:t>
      </w:r>
    </w:p>
  </w:footnote>
  <w:footnote w:id="4">
    <w:p w:rsidR="0001287F" w:rsidRPr="00D365F7" w:rsidRDefault="0001287F" w:rsidP="0001287F">
      <w:pPr>
        <w:pStyle w:val="Textonotapie"/>
        <w:jc w:val="both"/>
        <w:rPr>
          <w:rFonts w:ascii="Tahoma" w:hAnsi="Tahoma" w:cs="Tahoma"/>
        </w:rPr>
      </w:pPr>
      <w:r w:rsidRPr="00D365F7">
        <w:rPr>
          <w:rStyle w:val="Refdenotaalpie"/>
          <w:rFonts w:ascii="Tahoma" w:hAnsi="Tahoma" w:cs="Tahoma"/>
          <w:b/>
        </w:rPr>
        <w:footnoteRef/>
      </w:r>
      <w:r w:rsidRPr="00D365F7">
        <w:rPr>
          <w:rFonts w:ascii="Tahoma" w:hAnsi="Tahoma" w:cs="Tahoma"/>
        </w:rPr>
        <w:t xml:space="preserve"> </w:t>
      </w:r>
      <w:r w:rsidRPr="00D365F7">
        <w:rPr>
          <w:rFonts w:ascii="Tahoma" w:hAnsi="Tahoma" w:cs="Tahoma"/>
          <w:i/>
          <w:u w:val="single"/>
        </w:rPr>
        <w:t>Artículo IV</w:t>
      </w:r>
      <w:r w:rsidRPr="00D365F7">
        <w:rPr>
          <w:rFonts w:ascii="Tahoma" w:hAnsi="Tahoma" w:cs="Tahoma"/>
        </w:rPr>
        <w:t>.- PRINCIPIOS DEL PROCEDIMIENTO ADMINISTRATIVO</w:t>
      </w:r>
    </w:p>
    <w:p w:rsidR="0001287F" w:rsidRPr="00D365F7" w:rsidRDefault="0001287F" w:rsidP="0001287F">
      <w:pPr>
        <w:pStyle w:val="Textonotapie"/>
        <w:jc w:val="both"/>
        <w:rPr>
          <w:rFonts w:ascii="Tahoma" w:hAnsi="Tahoma" w:cs="Tahoma"/>
        </w:rPr>
      </w:pPr>
      <w:r w:rsidRPr="00D365F7">
        <w:rPr>
          <w:rFonts w:ascii="Tahoma" w:hAnsi="Tahoma" w:cs="Tahoma"/>
        </w:rPr>
        <w:t xml:space="preserve">El procedimiento administrativo se sustenta fundamentalmente en los siguientes principios, sin perjuicio de la vigencia de otros principios generales del Derecho Administrativo: </w:t>
      </w:r>
    </w:p>
    <w:p w:rsidR="0001287F" w:rsidRPr="00D365F7" w:rsidRDefault="0001287F" w:rsidP="0001287F">
      <w:pPr>
        <w:pStyle w:val="Textonotapie"/>
        <w:jc w:val="both"/>
        <w:rPr>
          <w:rFonts w:ascii="Tahoma" w:hAnsi="Tahoma" w:cs="Tahoma"/>
        </w:rPr>
      </w:pPr>
      <w:r w:rsidRPr="00D365F7">
        <w:rPr>
          <w:rFonts w:ascii="Tahoma" w:hAnsi="Tahoma" w:cs="Tahoma"/>
        </w:rPr>
        <w:t>(…)</w:t>
      </w:r>
    </w:p>
    <w:p w:rsidR="0001287F" w:rsidRPr="00D365F7" w:rsidRDefault="0001287F" w:rsidP="0001287F">
      <w:pPr>
        <w:pStyle w:val="Textonotapie"/>
        <w:jc w:val="both"/>
        <w:rPr>
          <w:rFonts w:ascii="Tahoma" w:hAnsi="Tahoma" w:cs="Tahoma"/>
        </w:rPr>
      </w:pPr>
      <w:r w:rsidRPr="00D365F7">
        <w:rPr>
          <w:rFonts w:ascii="Tahoma" w:hAnsi="Tahoma" w:cs="Tahoma"/>
          <w:b/>
        </w:rPr>
        <w:t xml:space="preserve">Principio de presunción de veracidad.- </w:t>
      </w:r>
      <w:r w:rsidRPr="00D365F7">
        <w:rPr>
          <w:rFonts w:ascii="Tahoma" w:hAnsi="Tahoma" w:cs="Tahoma"/>
        </w:rPr>
        <w:t xml:space="preserve">En la tramitación del procedimiento administrativo, se presume que los documentos y declaraciones formulados por los administrados en la forma prescrita por esta Ley, responden a la verdad de los hechos que ellos afirmas. Esta presunción admite prueba en contrario. </w:t>
      </w:r>
    </w:p>
  </w:footnote>
  <w:footnote w:id="5">
    <w:p w:rsidR="0001287F" w:rsidRPr="00D365F7" w:rsidRDefault="0001287F" w:rsidP="0001287F">
      <w:pPr>
        <w:pStyle w:val="Textonotapie"/>
        <w:jc w:val="both"/>
        <w:rPr>
          <w:rFonts w:ascii="Tahoma" w:hAnsi="Tahoma" w:cs="Tahoma"/>
          <w:b/>
        </w:rPr>
      </w:pPr>
      <w:r w:rsidRPr="00D365F7">
        <w:rPr>
          <w:rStyle w:val="Refdenotaalpie"/>
          <w:rFonts w:ascii="Tahoma" w:hAnsi="Tahoma" w:cs="Tahoma"/>
          <w:b/>
        </w:rPr>
        <w:footnoteRef/>
      </w:r>
      <w:r w:rsidRPr="00D365F7">
        <w:rPr>
          <w:rFonts w:ascii="Tahoma" w:hAnsi="Tahoma" w:cs="Tahoma"/>
          <w:b/>
        </w:rPr>
        <w:t xml:space="preserve"> </w:t>
      </w:r>
      <w:r w:rsidRPr="00D365F7">
        <w:rPr>
          <w:rFonts w:ascii="Tahoma" w:hAnsi="Tahoma" w:cs="Tahoma"/>
          <w:b/>
          <w:i/>
          <w:u w:val="single"/>
        </w:rPr>
        <w:t>Artículo IV</w:t>
      </w:r>
      <w:r w:rsidRPr="00D365F7">
        <w:rPr>
          <w:rFonts w:ascii="Tahoma" w:hAnsi="Tahoma" w:cs="Tahoma"/>
          <w:b/>
        </w:rPr>
        <w:t>.- PRINCIPIOS DEL PROCEDIMIENTO ADMINISTRATIVO</w:t>
      </w:r>
    </w:p>
    <w:p w:rsidR="0001287F" w:rsidRPr="00D365F7" w:rsidRDefault="0001287F" w:rsidP="0001287F">
      <w:pPr>
        <w:pStyle w:val="Textonotapie"/>
        <w:numPr>
          <w:ilvl w:val="0"/>
          <w:numId w:val="46"/>
        </w:numPr>
        <w:tabs>
          <w:tab w:val="left" w:pos="284"/>
        </w:tabs>
        <w:ind w:left="284" w:hanging="284"/>
        <w:jc w:val="both"/>
        <w:rPr>
          <w:rFonts w:ascii="Tahoma" w:hAnsi="Tahoma" w:cs="Tahoma"/>
        </w:rPr>
      </w:pPr>
      <w:r w:rsidRPr="00D365F7">
        <w:rPr>
          <w:rFonts w:ascii="Tahoma" w:hAnsi="Tahoma" w:cs="Tahoma"/>
        </w:rPr>
        <w:t xml:space="preserve">El procedimiento administrativo se sustenta fundamentalmente en los siguientes principios, sin perjuicio de la vigencia de otros principios generales del Derecho Administrativo: </w:t>
      </w:r>
    </w:p>
    <w:p w:rsidR="0001287F" w:rsidRPr="00D365F7" w:rsidRDefault="0001287F" w:rsidP="0001287F">
      <w:pPr>
        <w:pStyle w:val="Textonotapie"/>
        <w:tabs>
          <w:tab w:val="left" w:pos="284"/>
        </w:tabs>
        <w:jc w:val="both"/>
        <w:rPr>
          <w:rFonts w:ascii="Tahoma" w:hAnsi="Tahoma" w:cs="Tahoma"/>
        </w:rPr>
      </w:pPr>
      <w:r w:rsidRPr="00D365F7">
        <w:rPr>
          <w:rFonts w:ascii="Tahoma" w:hAnsi="Tahoma" w:cs="Tahoma"/>
        </w:rPr>
        <w:t>(…)</w:t>
      </w:r>
    </w:p>
    <w:p w:rsidR="0001287F" w:rsidRPr="00D365F7" w:rsidRDefault="0001287F" w:rsidP="0001287F">
      <w:pPr>
        <w:pStyle w:val="Textonotapie"/>
        <w:numPr>
          <w:ilvl w:val="1"/>
          <w:numId w:val="47"/>
        </w:numPr>
        <w:tabs>
          <w:tab w:val="left" w:pos="284"/>
        </w:tabs>
        <w:ind w:left="426" w:hanging="426"/>
        <w:jc w:val="both"/>
        <w:rPr>
          <w:rFonts w:ascii="Tahoma" w:hAnsi="Tahoma" w:cs="Tahoma"/>
        </w:rPr>
      </w:pPr>
      <w:r w:rsidRPr="00D365F7">
        <w:rPr>
          <w:rFonts w:ascii="Tahoma" w:hAnsi="Tahoma" w:cs="Tahoma"/>
          <w:b/>
        </w:rPr>
        <w:t xml:space="preserve">Principio de privilegio de controles posteriores.- </w:t>
      </w:r>
      <w:r w:rsidRPr="00D365F7">
        <w:rPr>
          <w:rFonts w:ascii="Tahoma" w:hAnsi="Tahoma" w:cs="Tahoma"/>
        </w:rPr>
        <w:t xml:space="preserve">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 </w:t>
      </w:r>
    </w:p>
  </w:footnote>
  <w:footnote w:id="6">
    <w:p w:rsidR="0001287F" w:rsidRPr="00D365F7" w:rsidRDefault="0001287F" w:rsidP="0001287F">
      <w:pPr>
        <w:jc w:val="both"/>
        <w:rPr>
          <w:rFonts w:ascii="Tahoma" w:hAnsi="Tahoma" w:cs="Tahoma"/>
          <w:b/>
        </w:rPr>
      </w:pPr>
      <w:r w:rsidRPr="00D365F7">
        <w:rPr>
          <w:rStyle w:val="Refdenotaalpie"/>
          <w:rFonts w:ascii="Tahoma" w:hAnsi="Tahoma" w:cs="Tahoma"/>
        </w:rPr>
        <w:footnoteRef/>
      </w:r>
      <w:r w:rsidRPr="00D365F7">
        <w:rPr>
          <w:rFonts w:ascii="Tahoma" w:hAnsi="Tahoma" w:cs="Tahoma"/>
        </w:rPr>
        <w:t xml:space="preserve"> </w:t>
      </w:r>
      <w:r w:rsidRPr="00D365F7">
        <w:rPr>
          <w:rFonts w:ascii="Tahoma" w:hAnsi="Tahoma" w:cs="Tahoma"/>
          <w:b/>
        </w:rPr>
        <w:t>Artículo IV.- Principios del procedimiento administrativo</w:t>
      </w:r>
    </w:p>
    <w:p w:rsidR="0001287F" w:rsidRPr="00D365F7" w:rsidRDefault="0001287F" w:rsidP="0001287F">
      <w:pPr>
        <w:jc w:val="both"/>
        <w:rPr>
          <w:rFonts w:ascii="Tahoma" w:hAnsi="Tahoma" w:cs="Tahoma"/>
        </w:rPr>
      </w:pPr>
      <w:r w:rsidRPr="00D365F7">
        <w:rPr>
          <w:rFonts w:ascii="Tahoma" w:hAnsi="Tahoma" w:cs="Tahoma"/>
        </w:rPr>
        <w:t>1. El procedimiento administrativo se sustenta fundamentalmente en los siguientes principios, sin perjuicio de la vigencia de otros principios generales del Derecho Administrativo:</w:t>
      </w:r>
    </w:p>
    <w:p w:rsidR="0001287F" w:rsidRPr="00D365F7" w:rsidRDefault="0001287F" w:rsidP="0001287F">
      <w:pPr>
        <w:jc w:val="both"/>
        <w:rPr>
          <w:rFonts w:ascii="Tahoma" w:hAnsi="Tahoma" w:cs="Tahoma"/>
        </w:rPr>
      </w:pPr>
      <w:r w:rsidRPr="00D365F7">
        <w:rPr>
          <w:rFonts w:ascii="Tahoma" w:hAnsi="Tahoma" w:cs="Tahoma"/>
        </w:rPr>
        <w:t>[…]</w:t>
      </w:r>
    </w:p>
    <w:p w:rsidR="0001287F" w:rsidRPr="00D365F7" w:rsidRDefault="0001287F" w:rsidP="0001287F">
      <w:pPr>
        <w:jc w:val="both"/>
        <w:rPr>
          <w:rFonts w:ascii="Tahoma" w:hAnsi="Tahoma" w:cs="Tahoma"/>
        </w:rPr>
      </w:pPr>
      <w:r w:rsidRPr="00D365F7">
        <w:rPr>
          <w:rFonts w:ascii="Tahoma" w:hAnsi="Tahoma" w:cs="Tahoma"/>
        </w:rPr>
        <w:t>1.11. Principio de verdad material.- En el procedimiento, la autoridad administrativa competente deberá verificar plenamente los hechos que sirven de motivo a sus decisiones, para lo cual deberá adoptar todas las medidas probatorias necesarias autorizadas por la ley, aun cuando no hayan sido propuestas por los administrados o hayan acordado eximirse de ellas.</w:t>
      </w:r>
    </w:p>
    <w:p w:rsidR="0001287F" w:rsidRPr="00D365F7" w:rsidRDefault="0001287F" w:rsidP="0001287F">
      <w:pPr>
        <w:pStyle w:val="Textonotapie"/>
        <w:jc w:val="both"/>
        <w:rPr>
          <w:rFonts w:ascii="Tahoma" w:hAnsi="Tahoma" w:cs="Tahoma"/>
        </w:rPr>
      </w:pPr>
      <w:r w:rsidRPr="00D365F7">
        <w:rPr>
          <w:rFonts w:ascii="Tahoma" w:hAnsi="Tahoma" w:cs="Tahoma"/>
        </w:rPr>
        <w:t>En el caso de procedimientos trilaterales la autoridad administrativa estará facultada a verificar por todos los medios disponibles la verdad de los hechos que le son propuestos por las partes, sin que ello signifique una sustitución del deber probatorio que corresponde a éstas. Sin embargo, la autoridad administrativa estará obligada a ejercer dicha facultad cuando su pronunciamiento pudiera involucrar también al interés público.</w:t>
      </w:r>
    </w:p>
  </w:footnote>
  <w:footnote w:id="7">
    <w:p w:rsidR="0001287F" w:rsidRPr="00D365F7" w:rsidRDefault="0001287F" w:rsidP="0001287F">
      <w:pPr>
        <w:jc w:val="both"/>
        <w:rPr>
          <w:rFonts w:ascii="Tahoma" w:hAnsi="Tahoma" w:cs="Tahoma"/>
          <w:b/>
        </w:rPr>
      </w:pPr>
      <w:r w:rsidRPr="00D365F7">
        <w:rPr>
          <w:rStyle w:val="Refdenotaalpie"/>
          <w:rFonts w:ascii="Tahoma" w:hAnsi="Tahoma" w:cs="Tahoma"/>
        </w:rPr>
        <w:footnoteRef/>
      </w:r>
      <w:r w:rsidRPr="00D365F7">
        <w:rPr>
          <w:rFonts w:ascii="Tahoma" w:hAnsi="Tahoma" w:cs="Tahoma"/>
        </w:rPr>
        <w:t xml:space="preserve"> </w:t>
      </w:r>
      <w:r w:rsidRPr="00D365F7">
        <w:rPr>
          <w:rFonts w:ascii="Tahoma" w:hAnsi="Tahoma" w:cs="Tahoma"/>
          <w:b/>
        </w:rPr>
        <w:t>Artículo 3.- Principios que rigen a las contrataciones y adquisiciones.-</w:t>
      </w:r>
    </w:p>
    <w:p w:rsidR="0001287F" w:rsidRPr="00D365F7" w:rsidRDefault="0001287F" w:rsidP="0001287F">
      <w:pPr>
        <w:jc w:val="both"/>
        <w:rPr>
          <w:rFonts w:ascii="Tahoma" w:hAnsi="Tahoma" w:cs="Tahoma"/>
        </w:rPr>
      </w:pPr>
      <w:r w:rsidRPr="00D365F7">
        <w:rPr>
          <w:rFonts w:ascii="Tahoma" w:hAnsi="Tahoma" w:cs="Tahoma"/>
        </w:rPr>
        <w:t>Los procesos de contratación y adquisición regulados por esta Ley y su Reglamento se rigen por los siguientes principios; ello sin perjuicio de la vigencia de otros principios generales del Derecho Administrativo y del Derecho Común:</w:t>
      </w:r>
    </w:p>
    <w:p w:rsidR="0001287F" w:rsidRPr="00D365F7" w:rsidRDefault="0001287F" w:rsidP="0001287F">
      <w:pPr>
        <w:jc w:val="both"/>
        <w:rPr>
          <w:rFonts w:ascii="Tahoma" w:hAnsi="Tahoma" w:cs="Tahoma"/>
        </w:rPr>
      </w:pPr>
      <w:r w:rsidRPr="00D365F7">
        <w:rPr>
          <w:rFonts w:ascii="Tahoma" w:hAnsi="Tahoma" w:cs="Tahoma"/>
        </w:rPr>
        <w:t>[…]</w:t>
      </w:r>
    </w:p>
    <w:p w:rsidR="0001287F" w:rsidRPr="00D365F7" w:rsidRDefault="0001287F" w:rsidP="0001287F">
      <w:pPr>
        <w:pStyle w:val="Textonotapie"/>
        <w:jc w:val="both"/>
        <w:rPr>
          <w:rFonts w:ascii="Tahoma" w:hAnsi="Tahoma" w:cs="Tahoma"/>
        </w:rPr>
      </w:pPr>
      <w:r w:rsidRPr="00D365F7">
        <w:rPr>
          <w:rFonts w:ascii="Tahoma" w:hAnsi="Tahoma" w:cs="Tahoma"/>
        </w:rPr>
        <w:t>8. Principio de Trato Justo e Igualitario: Todo postor de bienes, servicios o ejecución de obras debe tener participación y acceso para contratar con las Entidades en condiciones semejantes a las de los demás, estando prohibida la existencia de privilegios, ventajas o prerrogativas, salvo las excepciones de ley.</w:t>
      </w:r>
    </w:p>
  </w:footnote>
  <w:footnote w:id="8">
    <w:p w:rsidR="0001287F" w:rsidRPr="00D365F7" w:rsidRDefault="0001287F" w:rsidP="0001287F">
      <w:pPr>
        <w:pStyle w:val="Textonotapie"/>
        <w:jc w:val="both"/>
        <w:rPr>
          <w:rFonts w:ascii="Tahoma" w:hAnsi="Tahoma" w:cs="Tahoma"/>
        </w:rPr>
      </w:pPr>
      <w:r w:rsidRPr="00D365F7">
        <w:rPr>
          <w:rStyle w:val="Refdenotaalpie"/>
          <w:rFonts w:ascii="Tahoma" w:hAnsi="Tahoma" w:cs="Tahoma"/>
          <w:b/>
        </w:rPr>
        <w:footnoteRef/>
      </w:r>
      <w:r w:rsidRPr="00D365F7">
        <w:rPr>
          <w:rFonts w:ascii="Tahoma" w:hAnsi="Tahoma" w:cs="Tahoma"/>
        </w:rPr>
        <w:t xml:space="preserve"> Documento adjuntado por la adjudicataria en su escrito presentado el 28 de noviembre de 2007. </w:t>
      </w:r>
    </w:p>
  </w:footnote>
  <w:footnote w:id="9">
    <w:p w:rsidR="0001287F" w:rsidRPr="00D365F7" w:rsidRDefault="0001287F" w:rsidP="0001287F">
      <w:pPr>
        <w:pStyle w:val="Textonotapie"/>
        <w:jc w:val="both"/>
        <w:rPr>
          <w:rFonts w:ascii="Tahoma" w:hAnsi="Tahoma" w:cs="Tahoma"/>
        </w:rPr>
      </w:pPr>
      <w:r w:rsidRPr="00D365F7">
        <w:rPr>
          <w:rStyle w:val="Refdenotaalpie"/>
          <w:rFonts w:ascii="Tahoma" w:hAnsi="Tahoma" w:cs="Tahoma"/>
          <w:b/>
        </w:rPr>
        <w:footnoteRef/>
      </w:r>
      <w:r w:rsidRPr="00D365F7">
        <w:rPr>
          <w:rFonts w:ascii="Tahoma" w:hAnsi="Tahoma" w:cs="Tahoma"/>
        </w:rPr>
        <w:t xml:space="preserve"> La copia certificada consta de 11 páginas.</w:t>
      </w:r>
    </w:p>
  </w:footnote>
  <w:footnote w:id="10">
    <w:p w:rsidR="0001287F" w:rsidRPr="00D365F7" w:rsidRDefault="0001287F" w:rsidP="0001287F">
      <w:pPr>
        <w:pStyle w:val="Textonotapie"/>
        <w:jc w:val="both"/>
        <w:rPr>
          <w:rFonts w:ascii="Tahoma" w:hAnsi="Tahoma" w:cs="Tahoma"/>
        </w:rPr>
      </w:pPr>
      <w:r w:rsidRPr="00D365F7">
        <w:rPr>
          <w:rStyle w:val="Refdenotaalpie"/>
          <w:rFonts w:ascii="Tahoma" w:hAnsi="Tahoma" w:cs="Tahoma"/>
          <w:b/>
        </w:rPr>
        <w:footnoteRef/>
      </w:r>
      <w:r w:rsidRPr="00D365F7">
        <w:rPr>
          <w:rFonts w:ascii="Tahoma" w:hAnsi="Tahoma" w:cs="Tahoma"/>
        </w:rPr>
        <w:t xml:space="preserve"> De conformidad con el artículo 11 de la Ley General de Sociedades, Ley Nº 26887.</w:t>
      </w:r>
    </w:p>
    <w:p w:rsidR="0001287F" w:rsidRPr="00726025" w:rsidRDefault="0001287F" w:rsidP="0001287F">
      <w:pPr>
        <w:pStyle w:val="Textonotapie"/>
        <w:jc w:val="both"/>
        <w:rPr>
          <w:rFonts w:ascii="Tahoma" w:hAnsi="Tahoma" w:cs="Tahoma"/>
          <w:sz w:val="16"/>
          <w:szCs w:val="16"/>
        </w:rPr>
      </w:pPr>
      <w:r>
        <w:rPr>
          <w:rFonts w:ascii="Tahoma" w:hAnsi="Tahoma" w:cs="Tahoma"/>
          <w:vertAlign w:val="superscript"/>
        </w:rPr>
        <w:t xml:space="preserve">10 </w:t>
      </w:r>
      <w:r w:rsidRPr="00D365F7">
        <w:rPr>
          <w:rFonts w:ascii="Tahoma" w:hAnsi="Tahoma" w:cs="Tahoma"/>
        </w:rPr>
        <w:t>Véase al respecto las Resoluciones Nº 1490-2007/TC-SU de 26.Set.2007, Nº 434-2006/TC-SU de 19.Jun.2006 y Nº 413/2003.TC-S1 de 12.May.2003.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1C9B"/>
    <w:multiLevelType w:val="hybridMultilevel"/>
    <w:tmpl w:val="F9B0A1AA"/>
    <w:lvl w:ilvl="0" w:tplc="7C6A8532">
      <w:start w:val="1"/>
      <w:numFmt w:val="decimal"/>
      <w:lvlText w:val="%1."/>
      <w:lvlJc w:val="left"/>
      <w:pPr>
        <w:tabs>
          <w:tab w:val="num" w:pos="567"/>
        </w:tabs>
        <w:ind w:left="567" w:hanging="567"/>
      </w:pPr>
      <w:rPr>
        <w:rFonts w:ascii="Bookman Old Style" w:hAnsi="Bookman Old Style"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47C4AE6"/>
    <w:multiLevelType w:val="hybridMultilevel"/>
    <w:tmpl w:val="0F14F316"/>
    <w:lvl w:ilvl="0" w:tplc="3E06BA4E">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515304B"/>
    <w:multiLevelType w:val="hybridMultilevel"/>
    <w:tmpl w:val="211ECF62"/>
    <w:lvl w:ilvl="0" w:tplc="8DF0A3AA">
      <w:start w:val="1"/>
      <w:numFmt w:val="decimal"/>
      <w:lvlText w:val="%1."/>
      <w:lvlJc w:val="left"/>
      <w:pPr>
        <w:ind w:left="644" w:hanging="360"/>
      </w:pPr>
      <w:rPr>
        <w:rFonts w:hint="default"/>
      </w:rPr>
    </w:lvl>
    <w:lvl w:ilvl="1" w:tplc="0C0A0019">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nsid w:val="090663DD"/>
    <w:multiLevelType w:val="hybridMultilevel"/>
    <w:tmpl w:val="1EBC6EF2"/>
    <w:lvl w:ilvl="0" w:tplc="B3D0E760">
      <w:start w:val="1"/>
      <w:numFmt w:val="lowerRoman"/>
      <w:lvlText w:val="(%1)"/>
      <w:lvlJc w:val="left"/>
      <w:pPr>
        <w:tabs>
          <w:tab w:val="num" w:pos="1174"/>
        </w:tabs>
        <w:ind w:left="1174" w:hanging="720"/>
      </w:pPr>
      <w:rPr>
        <w:rFonts w:hint="default"/>
        <w:b/>
        <w:shadow/>
        <w:sz w:val="20"/>
        <w:szCs w:val="20"/>
      </w:rPr>
    </w:lvl>
    <w:lvl w:ilvl="1" w:tplc="280A0019" w:tentative="1">
      <w:start w:val="1"/>
      <w:numFmt w:val="lowerLetter"/>
      <w:lvlText w:val="%2."/>
      <w:lvlJc w:val="left"/>
      <w:pPr>
        <w:tabs>
          <w:tab w:val="num" w:pos="1534"/>
        </w:tabs>
        <w:ind w:left="1534" w:hanging="360"/>
      </w:pPr>
    </w:lvl>
    <w:lvl w:ilvl="2" w:tplc="280A001B" w:tentative="1">
      <w:start w:val="1"/>
      <w:numFmt w:val="lowerRoman"/>
      <w:lvlText w:val="%3."/>
      <w:lvlJc w:val="right"/>
      <w:pPr>
        <w:tabs>
          <w:tab w:val="num" w:pos="2254"/>
        </w:tabs>
        <w:ind w:left="2254" w:hanging="180"/>
      </w:pPr>
    </w:lvl>
    <w:lvl w:ilvl="3" w:tplc="280A000F" w:tentative="1">
      <w:start w:val="1"/>
      <w:numFmt w:val="decimal"/>
      <w:lvlText w:val="%4."/>
      <w:lvlJc w:val="left"/>
      <w:pPr>
        <w:tabs>
          <w:tab w:val="num" w:pos="2974"/>
        </w:tabs>
        <w:ind w:left="2974" w:hanging="360"/>
      </w:pPr>
    </w:lvl>
    <w:lvl w:ilvl="4" w:tplc="280A0019" w:tentative="1">
      <w:start w:val="1"/>
      <w:numFmt w:val="lowerLetter"/>
      <w:lvlText w:val="%5."/>
      <w:lvlJc w:val="left"/>
      <w:pPr>
        <w:tabs>
          <w:tab w:val="num" w:pos="3694"/>
        </w:tabs>
        <w:ind w:left="3694" w:hanging="360"/>
      </w:pPr>
    </w:lvl>
    <w:lvl w:ilvl="5" w:tplc="280A001B" w:tentative="1">
      <w:start w:val="1"/>
      <w:numFmt w:val="lowerRoman"/>
      <w:lvlText w:val="%6."/>
      <w:lvlJc w:val="right"/>
      <w:pPr>
        <w:tabs>
          <w:tab w:val="num" w:pos="4414"/>
        </w:tabs>
        <w:ind w:left="4414" w:hanging="180"/>
      </w:pPr>
    </w:lvl>
    <w:lvl w:ilvl="6" w:tplc="280A000F" w:tentative="1">
      <w:start w:val="1"/>
      <w:numFmt w:val="decimal"/>
      <w:lvlText w:val="%7."/>
      <w:lvlJc w:val="left"/>
      <w:pPr>
        <w:tabs>
          <w:tab w:val="num" w:pos="5134"/>
        </w:tabs>
        <w:ind w:left="5134" w:hanging="360"/>
      </w:pPr>
    </w:lvl>
    <w:lvl w:ilvl="7" w:tplc="280A0019" w:tentative="1">
      <w:start w:val="1"/>
      <w:numFmt w:val="lowerLetter"/>
      <w:lvlText w:val="%8."/>
      <w:lvlJc w:val="left"/>
      <w:pPr>
        <w:tabs>
          <w:tab w:val="num" w:pos="5854"/>
        </w:tabs>
        <w:ind w:left="5854" w:hanging="360"/>
      </w:pPr>
    </w:lvl>
    <w:lvl w:ilvl="8" w:tplc="280A001B" w:tentative="1">
      <w:start w:val="1"/>
      <w:numFmt w:val="lowerRoman"/>
      <w:lvlText w:val="%9."/>
      <w:lvlJc w:val="right"/>
      <w:pPr>
        <w:tabs>
          <w:tab w:val="num" w:pos="6574"/>
        </w:tabs>
        <w:ind w:left="6574" w:hanging="180"/>
      </w:pPr>
    </w:lvl>
  </w:abstractNum>
  <w:abstractNum w:abstractNumId="4">
    <w:nsid w:val="0DAB7B90"/>
    <w:multiLevelType w:val="multilevel"/>
    <w:tmpl w:val="2CFAF5FA"/>
    <w:lvl w:ilvl="0">
      <w:start w:val="1"/>
      <w:numFmt w:val="decimal"/>
      <w:lvlText w:val="%1"/>
      <w:lvlJc w:val="left"/>
      <w:pPr>
        <w:ind w:left="360" w:hanging="360"/>
      </w:pPr>
      <w:rPr>
        <w:rFonts w:hint="default"/>
        <w:b/>
      </w:rPr>
    </w:lvl>
    <w:lvl w:ilvl="1">
      <w:start w:val="1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nsid w:val="110346DD"/>
    <w:multiLevelType w:val="hybridMultilevel"/>
    <w:tmpl w:val="A0D21546"/>
    <w:lvl w:ilvl="0" w:tplc="821ABF94">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1546DB5"/>
    <w:multiLevelType w:val="hybridMultilevel"/>
    <w:tmpl w:val="3482CC46"/>
    <w:lvl w:ilvl="0" w:tplc="17DE1D84">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12127185"/>
    <w:multiLevelType w:val="hybridMultilevel"/>
    <w:tmpl w:val="945030C4"/>
    <w:lvl w:ilvl="0" w:tplc="0C0A0001">
      <w:start w:val="1"/>
      <w:numFmt w:val="bullet"/>
      <w:lvlText w:val=""/>
      <w:lvlJc w:val="left"/>
      <w:pPr>
        <w:tabs>
          <w:tab w:val="num" w:pos="1800"/>
        </w:tabs>
        <w:ind w:left="1800" w:hanging="360"/>
      </w:pPr>
      <w:rPr>
        <w:rFonts w:ascii="Symbol" w:hAnsi="Symbol"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8">
    <w:nsid w:val="143F7894"/>
    <w:multiLevelType w:val="hybridMultilevel"/>
    <w:tmpl w:val="18C00252"/>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5F17DB2"/>
    <w:multiLevelType w:val="hybridMultilevel"/>
    <w:tmpl w:val="57ACE1CA"/>
    <w:lvl w:ilvl="0" w:tplc="BFDCE2A4">
      <w:start w:val="1"/>
      <w:numFmt w:val="decimal"/>
      <w:lvlText w:val="%1."/>
      <w:lvlJc w:val="left"/>
      <w:pPr>
        <w:tabs>
          <w:tab w:val="num" w:pos="720"/>
        </w:tabs>
        <w:ind w:left="720" w:hanging="360"/>
      </w:pPr>
      <w:rPr>
        <w:rFonts w:ascii="Bookman Old Style" w:hAnsi="Bookman Old Style" w:hint="default"/>
        <w:b/>
        <w:i w:val="0"/>
        <w:sz w:val="20"/>
        <w:szCs w:val="20"/>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10">
    <w:nsid w:val="16EC038B"/>
    <w:multiLevelType w:val="hybridMultilevel"/>
    <w:tmpl w:val="A1D88DA4"/>
    <w:lvl w:ilvl="0" w:tplc="2D78B090">
      <w:start w:val="1"/>
      <w:numFmt w:val="lowerRoman"/>
      <w:lvlText w:val="(%1)"/>
      <w:lvlJc w:val="left"/>
      <w:pPr>
        <w:tabs>
          <w:tab w:val="num" w:pos="1174"/>
        </w:tabs>
        <w:ind w:left="1174" w:hanging="720"/>
      </w:pPr>
      <w:rPr>
        <w:rFonts w:hint="default"/>
        <w:b/>
        <w:shadow/>
        <w:sz w:val="20"/>
        <w:szCs w:val="20"/>
      </w:rPr>
    </w:lvl>
    <w:lvl w:ilvl="1" w:tplc="280A0019" w:tentative="1">
      <w:start w:val="1"/>
      <w:numFmt w:val="lowerLetter"/>
      <w:lvlText w:val="%2."/>
      <w:lvlJc w:val="left"/>
      <w:pPr>
        <w:tabs>
          <w:tab w:val="num" w:pos="1534"/>
        </w:tabs>
        <w:ind w:left="1534" w:hanging="360"/>
      </w:pPr>
    </w:lvl>
    <w:lvl w:ilvl="2" w:tplc="280A001B" w:tentative="1">
      <w:start w:val="1"/>
      <w:numFmt w:val="lowerRoman"/>
      <w:lvlText w:val="%3."/>
      <w:lvlJc w:val="right"/>
      <w:pPr>
        <w:tabs>
          <w:tab w:val="num" w:pos="2254"/>
        </w:tabs>
        <w:ind w:left="2254" w:hanging="180"/>
      </w:pPr>
    </w:lvl>
    <w:lvl w:ilvl="3" w:tplc="280A000F" w:tentative="1">
      <w:start w:val="1"/>
      <w:numFmt w:val="decimal"/>
      <w:lvlText w:val="%4."/>
      <w:lvlJc w:val="left"/>
      <w:pPr>
        <w:tabs>
          <w:tab w:val="num" w:pos="2974"/>
        </w:tabs>
        <w:ind w:left="2974" w:hanging="360"/>
      </w:pPr>
    </w:lvl>
    <w:lvl w:ilvl="4" w:tplc="280A0019" w:tentative="1">
      <w:start w:val="1"/>
      <w:numFmt w:val="lowerLetter"/>
      <w:lvlText w:val="%5."/>
      <w:lvlJc w:val="left"/>
      <w:pPr>
        <w:tabs>
          <w:tab w:val="num" w:pos="3694"/>
        </w:tabs>
        <w:ind w:left="3694" w:hanging="360"/>
      </w:pPr>
    </w:lvl>
    <w:lvl w:ilvl="5" w:tplc="280A001B" w:tentative="1">
      <w:start w:val="1"/>
      <w:numFmt w:val="lowerRoman"/>
      <w:lvlText w:val="%6."/>
      <w:lvlJc w:val="right"/>
      <w:pPr>
        <w:tabs>
          <w:tab w:val="num" w:pos="4414"/>
        </w:tabs>
        <w:ind w:left="4414" w:hanging="180"/>
      </w:pPr>
    </w:lvl>
    <w:lvl w:ilvl="6" w:tplc="280A000F" w:tentative="1">
      <w:start w:val="1"/>
      <w:numFmt w:val="decimal"/>
      <w:lvlText w:val="%7."/>
      <w:lvlJc w:val="left"/>
      <w:pPr>
        <w:tabs>
          <w:tab w:val="num" w:pos="5134"/>
        </w:tabs>
        <w:ind w:left="5134" w:hanging="360"/>
      </w:pPr>
    </w:lvl>
    <w:lvl w:ilvl="7" w:tplc="280A0019" w:tentative="1">
      <w:start w:val="1"/>
      <w:numFmt w:val="lowerLetter"/>
      <w:lvlText w:val="%8."/>
      <w:lvlJc w:val="left"/>
      <w:pPr>
        <w:tabs>
          <w:tab w:val="num" w:pos="5854"/>
        </w:tabs>
        <w:ind w:left="5854" w:hanging="360"/>
      </w:pPr>
    </w:lvl>
    <w:lvl w:ilvl="8" w:tplc="280A001B" w:tentative="1">
      <w:start w:val="1"/>
      <w:numFmt w:val="lowerRoman"/>
      <w:lvlText w:val="%9."/>
      <w:lvlJc w:val="right"/>
      <w:pPr>
        <w:tabs>
          <w:tab w:val="num" w:pos="6574"/>
        </w:tabs>
        <w:ind w:left="6574" w:hanging="180"/>
      </w:pPr>
    </w:lvl>
  </w:abstractNum>
  <w:abstractNum w:abstractNumId="11">
    <w:nsid w:val="1D3C33FF"/>
    <w:multiLevelType w:val="hybridMultilevel"/>
    <w:tmpl w:val="E174D672"/>
    <w:lvl w:ilvl="0" w:tplc="930226EC">
      <w:start w:val="1"/>
      <w:numFmt w:val="lowerRoman"/>
      <w:lvlText w:val="(%1)"/>
      <w:lvlJc w:val="left"/>
      <w:pPr>
        <w:tabs>
          <w:tab w:val="num" w:pos="1174"/>
        </w:tabs>
        <w:ind w:left="1174" w:hanging="720"/>
      </w:pPr>
      <w:rPr>
        <w:rFonts w:hint="default"/>
        <w:b/>
        <w:shadow/>
        <w:sz w:val="20"/>
        <w:szCs w:val="20"/>
      </w:rPr>
    </w:lvl>
    <w:lvl w:ilvl="1" w:tplc="7A28C56E">
      <w:start w:val="1"/>
      <w:numFmt w:val="lowerLetter"/>
      <w:lvlText w:val="%2)"/>
      <w:lvlJc w:val="left"/>
      <w:pPr>
        <w:tabs>
          <w:tab w:val="num" w:pos="1534"/>
        </w:tabs>
        <w:ind w:left="1534" w:hanging="360"/>
      </w:pPr>
      <w:rPr>
        <w:rFonts w:hint="default"/>
        <w:b w:val="0"/>
      </w:rPr>
    </w:lvl>
    <w:lvl w:ilvl="2" w:tplc="0C0A001B" w:tentative="1">
      <w:start w:val="1"/>
      <w:numFmt w:val="lowerRoman"/>
      <w:lvlText w:val="%3."/>
      <w:lvlJc w:val="right"/>
      <w:pPr>
        <w:tabs>
          <w:tab w:val="num" w:pos="2254"/>
        </w:tabs>
        <w:ind w:left="2254" w:hanging="180"/>
      </w:pPr>
    </w:lvl>
    <w:lvl w:ilvl="3" w:tplc="0C0A000F" w:tentative="1">
      <w:start w:val="1"/>
      <w:numFmt w:val="decimal"/>
      <w:lvlText w:val="%4."/>
      <w:lvlJc w:val="left"/>
      <w:pPr>
        <w:tabs>
          <w:tab w:val="num" w:pos="2974"/>
        </w:tabs>
        <w:ind w:left="2974" w:hanging="360"/>
      </w:pPr>
    </w:lvl>
    <w:lvl w:ilvl="4" w:tplc="0C0A0019" w:tentative="1">
      <w:start w:val="1"/>
      <w:numFmt w:val="lowerLetter"/>
      <w:lvlText w:val="%5."/>
      <w:lvlJc w:val="left"/>
      <w:pPr>
        <w:tabs>
          <w:tab w:val="num" w:pos="3694"/>
        </w:tabs>
        <w:ind w:left="3694" w:hanging="360"/>
      </w:pPr>
    </w:lvl>
    <w:lvl w:ilvl="5" w:tplc="0C0A001B" w:tentative="1">
      <w:start w:val="1"/>
      <w:numFmt w:val="lowerRoman"/>
      <w:lvlText w:val="%6."/>
      <w:lvlJc w:val="right"/>
      <w:pPr>
        <w:tabs>
          <w:tab w:val="num" w:pos="4414"/>
        </w:tabs>
        <w:ind w:left="4414" w:hanging="180"/>
      </w:pPr>
    </w:lvl>
    <w:lvl w:ilvl="6" w:tplc="0C0A000F" w:tentative="1">
      <w:start w:val="1"/>
      <w:numFmt w:val="decimal"/>
      <w:lvlText w:val="%7."/>
      <w:lvlJc w:val="left"/>
      <w:pPr>
        <w:tabs>
          <w:tab w:val="num" w:pos="5134"/>
        </w:tabs>
        <w:ind w:left="5134" w:hanging="360"/>
      </w:pPr>
    </w:lvl>
    <w:lvl w:ilvl="7" w:tplc="0C0A0019" w:tentative="1">
      <w:start w:val="1"/>
      <w:numFmt w:val="lowerLetter"/>
      <w:lvlText w:val="%8."/>
      <w:lvlJc w:val="left"/>
      <w:pPr>
        <w:tabs>
          <w:tab w:val="num" w:pos="5854"/>
        </w:tabs>
        <w:ind w:left="5854" w:hanging="360"/>
      </w:pPr>
    </w:lvl>
    <w:lvl w:ilvl="8" w:tplc="0C0A001B" w:tentative="1">
      <w:start w:val="1"/>
      <w:numFmt w:val="lowerRoman"/>
      <w:lvlText w:val="%9."/>
      <w:lvlJc w:val="right"/>
      <w:pPr>
        <w:tabs>
          <w:tab w:val="num" w:pos="6574"/>
        </w:tabs>
        <w:ind w:left="6574" w:hanging="180"/>
      </w:pPr>
    </w:lvl>
  </w:abstractNum>
  <w:abstractNum w:abstractNumId="12">
    <w:nsid w:val="20A62EE1"/>
    <w:multiLevelType w:val="hybridMultilevel"/>
    <w:tmpl w:val="E6004304"/>
    <w:lvl w:ilvl="0" w:tplc="6F269F8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0E115E8"/>
    <w:multiLevelType w:val="hybridMultilevel"/>
    <w:tmpl w:val="4E5C9EEC"/>
    <w:lvl w:ilvl="0" w:tplc="4EC08000">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25D0197"/>
    <w:multiLevelType w:val="hybridMultilevel"/>
    <w:tmpl w:val="83FE1BBE"/>
    <w:lvl w:ilvl="0" w:tplc="9762112E">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22C62BF6"/>
    <w:multiLevelType w:val="hybridMultilevel"/>
    <w:tmpl w:val="1076F53A"/>
    <w:lvl w:ilvl="0" w:tplc="FFFFFFFF">
      <w:start w:val="1"/>
      <w:numFmt w:val="lowerRoman"/>
      <w:lvlText w:val="(%1)"/>
      <w:lvlJc w:val="left"/>
      <w:pPr>
        <w:tabs>
          <w:tab w:val="num" w:pos="1080"/>
        </w:tabs>
        <w:ind w:left="1080" w:hanging="720"/>
      </w:pPr>
      <w:rPr>
        <w:rFonts w:hint="default"/>
        <w:b/>
        <w:sz w:val="20"/>
      </w:rPr>
    </w:lvl>
    <w:lvl w:ilvl="1" w:tplc="FFFFFFFF">
      <w:start w:val="49"/>
      <w:numFmt w:val="lowerLetter"/>
      <w:lvlText w:val="%2)"/>
      <w:lvlJc w:val="left"/>
      <w:pPr>
        <w:tabs>
          <w:tab w:val="num" w:pos="1560"/>
        </w:tabs>
        <w:ind w:left="1560" w:hanging="480"/>
      </w:pPr>
      <w:rPr>
        <w:rFonts w:cs="Tahoma" w:hint="default"/>
      </w:rPr>
    </w:lvl>
    <w:lvl w:ilvl="2" w:tplc="FFFFFFFF">
      <w:start w:val="20"/>
      <w:numFmt w:val="lowerRoman"/>
      <w:lvlText w:val="%3)"/>
      <w:lvlJc w:val="left"/>
      <w:pPr>
        <w:tabs>
          <w:tab w:val="num" w:pos="2700"/>
        </w:tabs>
        <w:ind w:left="2700" w:hanging="72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85A5154"/>
    <w:multiLevelType w:val="hybridMultilevel"/>
    <w:tmpl w:val="BBB8041C"/>
    <w:lvl w:ilvl="0" w:tplc="D5F4A748">
      <w:start w:val="1"/>
      <w:numFmt w:val="decimal"/>
      <w:lvlText w:val="%1."/>
      <w:lvlJc w:val="left"/>
      <w:pPr>
        <w:tabs>
          <w:tab w:val="num" w:pos="720"/>
        </w:tabs>
        <w:ind w:left="720" w:hanging="360"/>
      </w:pPr>
      <w:rPr>
        <w:rFonts w:ascii="Bookman Old Style" w:eastAsia="Times New Roman" w:hAnsi="Bookman Old Style" w:cs="Tahoma" w:hint="default"/>
        <w:b/>
        <w:sz w:val="20"/>
        <w:szCs w:val="20"/>
      </w:rPr>
    </w:lvl>
    <w:lvl w:ilvl="1" w:tplc="A0B845A2">
      <w:start w:val="1"/>
      <w:numFmt w:val="lowerLetter"/>
      <w:lvlText w:val="%2."/>
      <w:lvlJc w:val="left"/>
      <w:pPr>
        <w:tabs>
          <w:tab w:val="num" w:pos="1440"/>
        </w:tabs>
        <w:ind w:left="1440" w:hanging="360"/>
      </w:pPr>
      <w:rPr>
        <w:rFonts w:hint="default"/>
        <w:b w:val="0"/>
      </w:rPr>
    </w:lvl>
    <w:lvl w:ilvl="2" w:tplc="0C0A001B">
      <w:start w:val="1"/>
      <w:numFmt w:val="lowerRoman"/>
      <w:lvlText w:val="%3."/>
      <w:lvlJc w:val="right"/>
      <w:pPr>
        <w:tabs>
          <w:tab w:val="num" w:pos="2160"/>
        </w:tabs>
        <w:ind w:left="2160" w:hanging="180"/>
      </w:pPr>
    </w:lvl>
    <w:lvl w:ilvl="3" w:tplc="E5D485D6">
      <w:start w:val="1"/>
      <w:numFmt w:val="lowerRoman"/>
      <w:lvlText w:val="(%4)"/>
      <w:lvlJc w:val="left"/>
      <w:pPr>
        <w:tabs>
          <w:tab w:val="num" w:pos="3240"/>
        </w:tabs>
        <w:ind w:left="3240" w:hanging="720"/>
      </w:pPr>
      <w:rPr>
        <w:rFonts w:hint="default"/>
        <w:b/>
      </w:r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2C795EFC"/>
    <w:multiLevelType w:val="hybridMultilevel"/>
    <w:tmpl w:val="717C1C88"/>
    <w:lvl w:ilvl="0" w:tplc="E1D06EC2">
      <w:start w:val="1"/>
      <w:numFmt w:val="lowerRoman"/>
      <w:lvlText w:val="(%1)"/>
      <w:lvlJc w:val="left"/>
      <w:pPr>
        <w:tabs>
          <w:tab w:val="num" w:pos="1260"/>
        </w:tabs>
        <w:ind w:left="1260" w:hanging="720"/>
      </w:pPr>
      <w:rPr>
        <w:rFonts w:hint="default"/>
        <w:b/>
      </w:rPr>
    </w:lvl>
    <w:lvl w:ilvl="1" w:tplc="0C0A0019" w:tentative="1">
      <w:start w:val="1"/>
      <w:numFmt w:val="lowerLetter"/>
      <w:lvlText w:val="%2."/>
      <w:lvlJc w:val="left"/>
      <w:pPr>
        <w:tabs>
          <w:tab w:val="num" w:pos="1620"/>
        </w:tabs>
        <w:ind w:left="1620" w:hanging="360"/>
      </w:p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18">
    <w:nsid w:val="2D665224"/>
    <w:multiLevelType w:val="hybridMultilevel"/>
    <w:tmpl w:val="9600FB84"/>
    <w:lvl w:ilvl="0" w:tplc="B3DA48C0">
      <w:start w:val="1"/>
      <w:numFmt w:val="lowerRoman"/>
      <w:lvlText w:val="(%1)"/>
      <w:lvlJc w:val="left"/>
      <w:pPr>
        <w:ind w:left="1287" w:hanging="72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9">
    <w:nsid w:val="36C97B22"/>
    <w:multiLevelType w:val="hybridMultilevel"/>
    <w:tmpl w:val="7DC20792"/>
    <w:lvl w:ilvl="0" w:tplc="CE587C5A">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382365F1"/>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21">
    <w:nsid w:val="3A64591A"/>
    <w:multiLevelType w:val="hybridMultilevel"/>
    <w:tmpl w:val="7CAA1D9A"/>
    <w:lvl w:ilvl="0" w:tplc="1BB44F1E">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3D791B6A"/>
    <w:multiLevelType w:val="hybridMultilevel"/>
    <w:tmpl w:val="6E2C2EAE"/>
    <w:lvl w:ilvl="0" w:tplc="26C6FC5C">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40996E2F"/>
    <w:multiLevelType w:val="hybridMultilevel"/>
    <w:tmpl w:val="00D06C24"/>
    <w:lvl w:ilvl="0" w:tplc="2D64DE4E">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415E7AB9"/>
    <w:multiLevelType w:val="hybridMultilevel"/>
    <w:tmpl w:val="ECA4EDEA"/>
    <w:lvl w:ilvl="0" w:tplc="A782C7F0">
      <w:start w:val="1"/>
      <w:numFmt w:val="lowerRoman"/>
      <w:lvlText w:val="(%1)"/>
      <w:lvlJc w:val="left"/>
      <w:pPr>
        <w:tabs>
          <w:tab w:val="num" w:pos="1260"/>
        </w:tabs>
        <w:ind w:left="1260" w:hanging="720"/>
      </w:pPr>
      <w:rPr>
        <w:rFonts w:hint="default"/>
        <w:b/>
      </w:rPr>
    </w:lvl>
    <w:lvl w:ilvl="1" w:tplc="0C0A0019" w:tentative="1">
      <w:start w:val="1"/>
      <w:numFmt w:val="lowerLetter"/>
      <w:lvlText w:val="%2."/>
      <w:lvlJc w:val="left"/>
      <w:pPr>
        <w:tabs>
          <w:tab w:val="num" w:pos="1620"/>
        </w:tabs>
        <w:ind w:left="1620" w:hanging="360"/>
      </w:p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25">
    <w:nsid w:val="427B34B5"/>
    <w:multiLevelType w:val="hybridMultilevel"/>
    <w:tmpl w:val="32B826D0"/>
    <w:lvl w:ilvl="0" w:tplc="6382F9EC">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46D638FB"/>
    <w:multiLevelType w:val="hybridMultilevel"/>
    <w:tmpl w:val="CD9C503C"/>
    <w:lvl w:ilvl="0" w:tplc="A7782E0E">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8AB0CE4"/>
    <w:multiLevelType w:val="multilevel"/>
    <w:tmpl w:val="37E47B1C"/>
    <w:lvl w:ilvl="0">
      <w:start w:val="1"/>
      <w:numFmt w:val="lowerLetter"/>
      <w:lvlText w:val="%1)"/>
      <w:lvlJc w:val="left"/>
      <w:pPr>
        <w:tabs>
          <w:tab w:val="num" w:pos="903"/>
        </w:tabs>
        <w:ind w:left="903" w:hanging="360"/>
      </w:pPr>
      <w:rPr>
        <w:b/>
        <w:i w:val="0"/>
      </w:rPr>
    </w:lvl>
    <w:lvl w:ilvl="1">
      <w:numFmt w:val="bullet"/>
      <w:lvlText w:val="-"/>
      <w:lvlJc w:val="left"/>
      <w:pPr>
        <w:tabs>
          <w:tab w:val="num" w:pos="1623"/>
        </w:tabs>
        <w:ind w:left="1623" w:hanging="360"/>
      </w:pPr>
      <w:rPr>
        <w:rFonts w:ascii="Times New Roman" w:eastAsia="Times New Roman" w:hAnsi="Times New Roman" w:hint="default"/>
      </w:rPr>
    </w:lvl>
    <w:lvl w:ilvl="2">
      <w:start w:val="1"/>
      <w:numFmt w:val="bullet"/>
      <w:lvlText w:val="o"/>
      <w:lvlJc w:val="left"/>
      <w:pPr>
        <w:tabs>
          <w:tab w:val="num" w:pos="2523"/>
        </w:tabs>
        <w:ind w:left="2523" w:hanging="360"/>
      </w:pPr>
      <w:rPr>
        <w:rFonts w:ascii="Courier New" w:hAnsi="Courier New" w:hint="default"/>
      </w:rPr>
    </w:lvl>
    <w:lvl w:ilvl="3">
      <w:start w:val="1"/>
      <w:numFmt w:val="decimal"/>
      <w:lvlText w:val="%4."/>
      <w:lvlJc w:val="left"/>
      <w:pPr>
        <w:tabs>
          <w:tab w:val="num" w:pos="3063"/>
        </w:tabs>
        <w:ind w:left="3063" w:hanging="360"/>
      </w:pPr>
    </w:lvl>
    <w:lvl w:ilvl="4">
      <w:start w:val="1"/>
      <w:numFmt w:val="lowerLetter"/>
      <w:lvlText w:val="%5."/>
      <w:lvlJc w:val="left"/>
      <w:pPr>
        <w:tabs>
          <w:tab w:val="num" w:pos="3783"/>
        </w:tabs>
        <w:ind w:left="3783" w:hanging="360"/>
      </w:pPr>
    </w:lvl>
    <w:lvl w:ilvl="5">
      <w:start w:val="1"/>
      <w:numFmt w:val="lowerRoman"/>
      <w:lvlText w:val="%6."/>
      <w:lvlJc w:val="right"/>
      <w:pPr>
        <w:tabs>
          <w:tab w:val="num" w:pos="4503"/>
        </w:tabs>
        <w:ind w:left="4503" w:hanging="180"/>
      </w:pPr>
    </w:lvl>
    <w:lvl w:ilvl="6">
      <w:start w:val="1"/>
      <w:numFmt w:val="decimal"/>
      <w:lvlText w:val="%7."/>
      <w:lvlJc w:val="left"/>
      <w:pPr>
        <w:tabs>
          <w:tab w:val="num" w:pos="5223"/>
        </w:tabs>
        <w:ind w:left="5223" w:hanging="360"/>
      </w:pPr>
    </w:lvl>
    <w:lvl w:ilvl="7">
      <w:start w:val="1"/>
      <w:numFmt w:val="lowerLetter"/>
      <w:lvlText w:val="%8."/>
      <w:lvlJc w:val="left"/>
      <w:pPr>
        <w:tabs>
          <w:tab w:val="num" w:pos="5943"/>
        </w:tabs>
        <w:ind w:left="5943" w:hanging="360"/>
      </w:pPr>
    </w:lvl>
    <w:lvl w:ilvl="8">
      <w:start w:val="1"/>
      <w:numFmt w:val="lowerRoman"/>
      <w:lvlText w:val="%9."/>
      <w:lvlJc w:val="right"/>
      <w:pPr>
        <w:tabs>
          <w:tab w:val="num" w:pos="6663"/>
        </w:tabs>
        <w:ind w:left="6663" w:hanging="180"/>
      </w:pPr>
    </w:lvl>
  </w:abstractNum>
  <w:abstractNum w:abstractNumId="28">
    <w:nsid w:val="4A5F6853"/>
    <w:multiLevelType w:val="hybridMultilevel"/>
    <w:tmpl w:val="4FE2F6CA"/>
    <w:lvl w:ilvl="0" w:tplc="2D102A40">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4F60680F"/>
    <w:multiLevelType w:val="hybridMultilevel"/>
    <w:tmpl w:val="48D46426"/>
    <w:lvl w:ilvl="0" w:tplc="F80CAF76">
      <w:start w:val="1"/>
      <w:numFmt w:val="lowerRoman"/>
      <w:lvlText w:val="(%1)"/>
      <w:lvlJc w:val="left"/>
      <w:pPr>
        <w:tabs>
          <w:tab w:val="num" w:pos="1080"/>
        </w:tabs>
        <w:ind w:left="1080" w:hanging="720"/>
      </w:pPr>
      <w:rPr>
        <w:rFonts w:hint="default"/>
        <w:b/>
      </w:rPr>
    </w:lvl>
    <w:lvl w:ilvl="1" w:tplc="6BC4A26C">
      <w:start w:val="1"/>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4FB51FE8"/>
    <w:multiLevelType w:val="hybridMultilevel"/>
    <w:tmpl w:val="42DECE1C"/>
    <w:lvl w:ilvl="0" w:tplc="61D809FA">
      <w:start w:val="13"/>
      <w:numFmt w:val="decimal"/>
      <w:lvlText w:val="%1."/>
      <w:lvlJc w:val="left"/>
      <w:pPr>
        <w:tabs>
          <w:tab w:val="num" w:pos="454"/>
        </w:tabs>
        <w:ind w:left="454" w:hanging="454"/>
      </w:pPr>
      <w:rPr>
        <w:rFonts w:ascii="Bookman Old Style" w:hAnsi="Bookman Old Style" w:hint="default"/>
        <w:b/>
        <w:i w:val="0"/>
        <w:shadow/>
        <w:sz w:val="24"/>
        <w:szCs w:val="24"/>
        <w:u w:color="FFFFFF"/>
      </w:rPr>
    </w:lvl>
    <w:lvl w:ilvl="1" w:tplc="A0824B94">
      <w:start w:val="1"/>
      <w:numFmt w:val="lowerRoman"/>
      <w:lvlText w:val="%2)"/>
      <w:lvlJc w:val="left"/>
      <w:pPr>
        <w:tabs>
          <w:tab w:val="num" w:pos="1800"/>
        </w:tabs>
        <w:ind w:left="1800" w:hanging="72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077204F"/>
    <w:multiLevelType w:val="hybridMultilevel"/>
    <w:tmpl w:val="3FFADF70"/>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32">
    <w:nsid w:val="595558D8"/>
    <w:multiLevelType w:val="hybridMultilevel"/>
    <w:tmpl w:val="BB3683AA"/>
    <w:lvl w:ilvl="0" w:tplc="7E48158C">
      <w:start w:val="1"/>
      <w:numFmt w:val="lowerRoman"/>
      <w:lvlText w:val="(%1)"/>
      <w:lvlJc w:val="left"/>
      <w:pPr>
        <w:tabs>
          <w:tab w:val="num" w:pos="1260"/>
        </w:tabs>
        <w:ind w:left="1260" w:hanging="720"/>
      </w:pPr>
      <w:rPr>
        <w:rFonts w:hint="default"/>
        <w:b/>
      </w:rPr>
    </w:lvl>
    <w:lvl w:ilvl="1" w:tplc="B62A19C2">
      <w:start w:val="1"/>
      <w:numFmt w:val="lowerLetter"/>
      <w:lvlText w:val="%2)"/>
      <w:lvlJc w:val="left"/>
      <w:pPr>
        <w:tabs>
          <w:tab w:val="num" w:pos="1620"/>
        </w:tabs>
        <w:ind w:left="1620" w:hanging="360"/>
      </w:pPr>
      <w:rPr>
        <w:rFonts w:hint="default"/>
      </w:r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33">
    <w:nsid w:val="5C3F1D62"/>
    <w:multiLevelType w:val="hybridMultilevel"/>
    <w:tmpl w:val="4704E402"/>
    <w:lvl w:ilvl="0" w:tplc="9F748EBA">
      <w:start w:val="1"/>
      <w:numFmt w:val="decimal"/>
      <w:lvlText w:val="%1."/>
      <w:lvlJc w:val="left"/>
      <w:pPr>
        <w:tabs>
          <w:tab w:val="num" w:pos="454"/>
        </w:tabs>
        <w:ind w:left="454" w:hanging="454"/>
      </w:pPr>
      <w:rPr>
        <w:rFonts w:ascii="Tahoma" w:hAnsi="Tahoma" w:cs="Tahoma" w:hint="default"/>
        <w:b/>
        <w:i w:val="0"/>
        <w:shadow/>
        <w:sz w:val="20"/>
        <w:szCs w:val="20"/>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5EAF2B06"/>
    <w:multiLevelType w:val="hybridMultilevel"/>
    <w:tmpl w:val="AAB456B0"/>
    <w:lvl w:ilvl="0" w:tplc="2F6C945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607E0D9C"/>
    <w:multiLevelType w:val="hybridMultilevel"/>
    <w:tmpl w:val="7BDAD2E6"/>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36">
    <w:nsid w:val="64321D2B"/>
    <w:multiLevelType w:val="hybridMultilevel"/>
    <w:tmpl w:val="56021D64"/>
    <w:lvl w:ilvl="0" w:tplc="EB222610">
      <w:start w:val="1"/>
      <w:numFmt w:val="decimal"/>
      <w:lvlText w:val="%1."/>
      <w:lvlJc w:val="left"/>
      <w:pPr>
        <w:tabs>
          <w:tab w:val="num" w:pos="567"/>
        </w:tabs>
        <w:ind w:left="567" w:hanging="567"/>
      </w:pPr>
      <w:rPr>
        <w:rFonts w:ascii="Tahoma" w:hAnsi="Tahoma" w:cs="Tahoma" w:hint="default"/>
        <w:b/>
        <w:i w:val="0"/>
        <w:shadow/>
        <w:emboss w:val="0"/>
        <w:imprint w:val="0"/>
        <w:color w:val="auto"/>
        <w:sz w:val="20"/>
        <w:szCs w:val="20"/>
        <w:u w:color="FFFFFF"/>
      </w:rPr>
    </w:lvl>
    <w:lvl w:ilvl="1" w:tplc="14542BF2">
      <w:start w:val="2"/>
      <w:numFmt w:val="decimal"/>
      <w:lvlText w:val="%2."/>
      <w:lvlJc w:val="left"/>
      <w:pPr>
        <w:tabs>
          <w:tab w:val="num" w:pos="567"/>
        </w:tabs>
        <w:ind w:left="567" w:hanging="567"/>
      </w:pPr>
      <w:rPr>
        <w:rFonts w:ascii="Bookman Old Style" w:hAnsi="Bookman Old Style" w:hint="default"/>
        <w:b/>
        <w:i w:val="0"/>
        <w:shadow/>
        <w:emboss w:val="0"/>
        <w:imprint w:val="0"/>
        <w:color w:val="auto"/>
        <w:sz w:val="24"/>
        <w:szCs w:val="24"/>
        <w:u w:color="FFFFFF"/>
      </w:rPr>
    </w:lvl>
    <w:lvl w:ilvl="2" w:tplc="0C0A001B">
      <w:start w:val="1"/>
      <w:numFmt w:val="lowerRoman"/>
      <w:lvlText w:val="%3."/>
      <w:lvlJc w:val="right"/>
      <w:pPr>
        <w:tabs>
          <w:tab w:val="num" w:pos="2160"/>
        </w:tabs>
        <w:ind w:left="2160" w:hanging="180"/>
      </w:pPr>
    </w:lvl>
    <w:lvl w:ilvl="3" w:tplc="C3EA7CC6">
      <w:start w:val="1"/>
      <w:numFmt w:val="lowerRoman"/>
      <w:lvlText w:val="(%4)"/>
      <w:lvlJc w:val="left"/>
      <w:pPr>
        <w:tabs>
          <w:tab w:val="num" w:pos="3240"/>
        </w:tabs>
        <w:ind w:left="3240" w:hanging="720"/>
      </w:pPr>
      <w:rPr>
        <w:rFonts w:hint="default"/>
      </w:rPr>
    </w:lvl>
    <w:lvl w:ilvl="4" w:tplc="4CB2D18A">
      <w:start w:val="1"/>
      <w:numFmt w:val="lowerRoman"/>
      <w:lvlText w:val="%5)"/>
      <w:lvlJc w:val="left"/>
      <w:pPr>
        <w:tabs>
          <w:tab w:val="num" w:pos="3960"/>
        </w:tabs>
        <w:ind w:left="3960" w:hanging="720"/>
      </w:pPr>
      <w:rPr>
        <w:rFonts w:hint="default"/>
      </w:rPr>
    </w:lvl>
    <w:lvl w:ilvl="5" w:tplc="0C0A001B">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nsid w:val="688334D8"/>
    <w:multiLevelType w:val="hybridMultilevel"/>
    <w:tmpl w:val="6A98BFD8"/>
    <w:lvl w:ilvl="0" w:tplc="70EED4A4">
      <w:start w:val="1"/>
      <w:numFmt w:val="decimal"/>
      <w:lvlText w:val="%1."/>
      <w:lvlJc w:val="left"/>
      <w:pPr>
        <w:tabs>
          <w:tab w:val="num" w:pos="454"/>
        </w:tabs>
        <w:ind w:left="454" w:hanging="454"/>
      </w:pPr>
      <w:rPr>
        <w:rFonts w:ascii="Tahoma" w:hAnsi="Tahoma" w:cs="Tahoma" w:hint="default"/>
        <w:b/>
        <w:i w:val="0"/>
        <w:shadow/>
        <w:color w:val="auto"/>
        <w:sz w:val="20"/>
        <w:szCs w:val="20"/>
        <w:u w:color="FFFFFF"/>
      </w:rPr>
    </w:lvl>
    <w:lvl w:ilvl="1" w:tplc="6CD6EE4A">
      <w:start w:val="1"/>
      <w:numFmt w:val="lowerRoman"/>
      <w:lvlText w:val="(%2)"/>
      <w:lvlJc w:val="left"/>
      <w:pPr>
        <w:tabs>
          <w:tab w:val="num" w:pos="1800"/>
        </w:tabs>
        <w:ind w:left="1800" w:hanging="720"/>
      </w:pPr>
      <w:rPr>
        <w:rFonts w:hint="default"/>
        <w:b/>
        <w:sz w:val="20"/>
        <w:szCs w:val="2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70327911"/>
    <w:multiLevelType w:val="hybridMultilevel"/>
    <w:tmpl w:val="F53CBCD4"/>
    <w:lvl w:ilvl="0" w:tplc="8A9E6F20">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71830CCE"/>
    <w:multiLevelType w:val="hybridMultilevel"/>
    <w:tmpl w:val="438A6B18"/>
    <w:lvl w:ilvl="0" w:tplc="FFFFFFFF">
      <w:start w:val="1"/>
      <w:numFmt w:val="lowerLetter"/>
      <w:lvlText w:val="%1)"/>
      <w:lvlJc w:val="left"/>
      <w:pPr>
        <w:tabs>
          <w:tab w:val="num" w:pos="1146"/>
        </w:tabs>
        <w:ind w:left="1146" w:hanging="360"/>
      </w:pPr>
      <w:rPr>
        <w:rFonts w:hint="default"/>
        <w:b w:val="0"/>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40">
    <w:nsid w:val="72352AB3"/>
    <w:multiLevelType w:val="hybridMultilevel"/>
    <w:tmpl w:val="ABBE0F94"/>
    <w:lvl w:ilvl="0" w:tplc="FBC8EA4E">
      <w:start w:val="1"/>
      <w:numFmt w:val="decimal"/>
      <w:lvlText w:val="%1."/>
      <w:lvlJc w:val="left"/>
      <w:pPr>
        <w:tabs>
          <w:tab w:val="num" w:pos="180"/>
        </w:tabs>
        <w:ind w:left="180" w:hanging="360"/>
      </w:pPr>
      <w:rPr>
        <w:rFonts w:hint="default"/>
        <w:b/>
      </w:rPr>
    </w:lvl>
    <w:lvl w:ilvl="1" w:tplc="EFC877CA">
      <w:start w:val="1"/>
      <w:numFmt w:val="lowerRoman"/>
      <w:lvlText w:val="(%2)"/>
      <w:lvlJc w:val="left"/>
      <w:pPr>
        <w:tabs>
          <w:tab w:val="num" w:pos="1260"/>
        </w:tabs>
        <w:ind w:left="1260" w:hanging="720"/>
      </w:pPr>
      <w:rPr>
        <w:rFonts w:cs="Tahoma" w:hint="default"/>
        <w:b/>
      </w:rPr>
    </w:lvl>
    <w:lvl w:ilvl="2" w:tplc="0C0A001B" w:tentative="1">
      <w:start w:val="1"/>
      <w:numFmt w:val="lowerRoman"/>
      <w:lvlText w:val="%3."/>
      <w:lvlJc w:val="right"/>
      <w:pPr>
        <w:tabs>
          <w:tab w:val="num" w:pos="1620"/>
        </w:tabs>
        <w:ind w:left="1620" w:hanging="180"/>
      </w:pPr>
    </w:lvl>
    <w:lvl w:ilvl="3" w:tplc="0C0A000F" w:tentative="1">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41">
    <w:nsid w:val="778451BA"/>
    <w:multiLevelType w:val="hybridMultilevel"/>
    <w:tmpl w:val="2170285E"/>
    <w:lvl w:ilvl="0" w:tplc="DF6828C2">
      <w:start w:val="5"/>
      <w:numFmt w:val="decimal"/>
      <w:lvlText w:val="%1."/>
      <w:lvlJc w:val="left"/>
      <w:pPr>
        <w:tabs>
          <w:tab w:val="num" w:pos="567"/>
        </w:tabs>
        <w:ind w:left="567" w:hanging="567"/>
      </w:pPr>
      <w:rPr>
        <w:rFonts w:hint="default"/>
        <w:b/>
        <w:sz w:val="20"/>
        <w:szCs w:val="20"/>
      </w:rPr>
    </w:lvl>
    <w:lvl w:ilvl="1" w:tplc="1DC0AD62">
      <w:start w:val="6"/>
      <w:numFmt w:val="decimal"/>
      <w:lvlText w:val="%2."/>
      <w:lvlJc w:val="left"/>
      <w:pPr>
        <w:tabs>
          <w:tab w:val="num" w:pos="567"/>
        </w:tabs>
        <w:ind w:left="567" w:hanging="567"/>
      </w:pPr>
      <w:rPr>
        <w:rFonts w:hint="default"/>
        <w:b/>
      </w:rPr>
    </w:lvl>
    <w:lvl w:ilvl="2" w:tplc="0BB2FB8E">
      <w:start w:val="1"/>
      <w:numFmt w:val="lowerRoman"/>
      <w:lvlText w:val="%3."/>
      <w:lvlJc w:val="right"/>
      <w:pPr>
        <w:tabs>
          <w:tab w:val="num" w:pos="2160"/>
        </w:tabs>
        <w:ind w:left="2160" w:hanging="180"/>
      </w:pPr>
      <w:rPr>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nsid w:val="77C76CE8"/>
    <w:multiLevelType w:val="hybridMultilevel"/>
    <w:tmpl w:val="FDF2BED6"/>
    <w:lvl w:ilvl="0" w:tplc="8940F478">
      <w:start w:val="4"/>
      <w:numFmt w:val="decimal"/>
      <w:lvlText w:val="%1."/>
      <w:lvlJc w:val="left"/>
      <w:pPr>
        <w:tabs>
          <w:tab w:val="num" w:pos="567"/>
        </w:tabs>
        <w:ind w:left="567" w:hanging="567"/>
      </w:pPr>
      <w:rPr>
        <w:rFonts w:ascii="Tahoma" w:hAnsi="Tahoma" w:cs="Tahoma" w:hint="default"/>
        <w:b/>
        <w:i w:val="0"/>
        <w:shadow w:val="0"/>
        <w:color w:val="auto"/>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9F33042"/>
    <w:multiLevelType w:val="hybridMultilevel"/>
    <w:tmpl w:val="2920112E"/>
    <w:lvl w:ilvl="0" w:tplc="7F60E680">
      <w:start w:val="1"/>
      <w:numFmt w:val="lowerRoman"/>
      <w:lvlText w:val="(%1)"/>
      <w:lvlJc w:val="left"/>
      <w:pPr>
        <w:tabs>
          <w:tab w:val="num" w:pos="1080"/>
        </w:tabs>
        <w:ind w:left="1080" w:hanging="720"/>
      </w:pPr>
      <w:rPr>
        <w:rFonts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nsid w:val="7A49281C"/>
    <w:multiLevelType w:val="hybridMultilevel"/>
    <w:tmpl w:val="54769806"/>
    <w:lvl w:ilvl="0" w:tplc="92A2C396">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nsid w:val="7C203683"/>
    <w:multiLevelType w:val="hybridMultilevel"/>
    <w:tmpl w:val="D370FE0E"/>
    <w:lvl w:ilvl="0" w:tplc="1D280174">
      <w:start w:val="3"/>
      <w:numFmt w:val="decimal"/>
      <w:lvlText w:val="%1."/>
      <w:lvlJc w:val="left"/>
      <w:pPr>
        <w:tabs>
          <w:tab w:val="num" w:pos="454"/>
        </w:tabs>
        <w:ind w:left="454" w:hanging="454"/>
      </w:pPr>
      <w:rPr>
        <w:rFonts w:ascii="Bookman Old Style" w:hAnsi="Bookman Old Style" w:hint="default"/>
        <w:b/>
        <w:i w:val="0"/>
        <w:shadow/>
        <w:sz w:val="20"/>
        <w:szCs w:val="20"/>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nsid w:val="7EC759A6"/>
    <w:multiLevelType w:val="hybridMultilevel"/>
    <w:tmpl w:val="AD029728"/>
    <w:lvl w:ilvl="0" w:tplc="CDE45A04">
      <w:start w:val="1"/>
      <w:numFmt w:val="decimal"/>
      <w:lvlText w:val="%1."/>
      <w:lvlJc w:val="left"/>
      <w:pPr>
        <w:tabs>
          <w:tab w:val="num" w:pos="360"/>
        </w:tabs>
        <w:ind w:left="360" w:hanging="360"/>
      </w:pPr>
      <w:rPr>
        <w:rFonts w:hint="default"/>
        <w:b/>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20"/>
  </w:num>
  <w:num w:numId="2">
    <w:abstractNumId w:val="11"/>
  </w:num>
  <w:num w:numId="3">
    <w:abstractNumId w:val="37"/>
  </w:num>
  <w:num w:numId="4">
    <w:abstractNumId w:val="33"/>
  </w:num>
  <w:num w:numId="5">
    <w:abstractNumId w:val="3"/>
  </w:num>
  <w:num w:numId="6">
    <w:abstractNumId w:val="10"/>
  </w:num>
  <w:num w:numId="7">
    <w:abstractNumId w:val="29"/>
  </w:num>
  <w:num w:numId="8">
    <w:abstractNumId w:val="35"/>
  </w:num>
  <w:num w:numId="9">
    <w:abstractNumId w:val="7"/>
  </w:num>
  <w:num w:numId="10">
    <w:abstractNumId w:val="24"/>
  </w:num>
  <w:num w:numId="11">
    <w:abstractNumId w:val="22"/>
  </w:num>
  <w:num w:numId="12">
    <w:abstractNumId w:val="31"/>
  </w:num>
  <w:num w:numId="13">
    <w:abstractNumId w:val="23"/>
  </w:num>
  <w:num w:numId="14">
    <w:abstractNumId w:val="19"/>
  </w:num>
  <w:num w:numId="15">
    <w:abstractNumId w:val="26"/>
  </w:num>
  <w:num w:numId="16">
    <w:abstractNumId w:val="8"/>
  </w:num>
  <w:num w:numId="17">
    <w:abstractNumId w:val="30"/>
  </w:num>
  <w:num w:numId="18">
    <w:abstractNumId w:val="13"/>
  </w:num>
  <w:num w:numId="19">
    <w:abstractNumId w:val="45"/>
  </w:num>
  <w:num w:numId="20">
    <w:abstractNumId w:val="27"/>
  </w:num>
  <w:num w:numId="21">
    <w:abstractNumId w:val="36"/>
  </w:num>
  <w:num w:numId="22">
    <w:abstractNumId w:val="6"/>
  </w:num>
  <w:num w:numId="23">
    <w:abstractNumId w:val="25"/>
  </w:num>
  <w:num w:numId="24">
    <w:abstractNumId w:val="0"/>
  </w:num>
  <w:num w:numId="25">
    <w:abstractNumId w:val="1"/>
  </w:num>
  <w:num w:numId="26">
    <w:abstractNumId w:val="34"/>
  </w:num>
  <w:num w:numId="27">
    <w:abstractNumId w:val="32"/>
  </w:num>
  <w:num w:numId="28">
    <w:abstractNumId w:val="15"/>
  </w:num>
  <w:num w:numId="29">
    <w:abstractNumId w:val="39"/>
  </w:num>
  <w:num w:numId="30">
    <w:abstractNumId w:val="41"/>
  </w:num>
  <w:num w:numId="31">
    <w:abstractNumId w:val="28"/>
  </w:num>
  <w:num w:numId="32">
    <w:abstractNumId w:val="21"/>
  </w:num>
  <w:num w:numId="33">
    <w:abstractNumId w:val="38"/>
  </w:num>
  <w:num w:numId="34">
    <w:abstractNumId w:val="5"/>
  </w:num>
  <w:num w:numId="35">
    <w:abstractNumId w:val="43"/>
  </w:num>
  <w:num w:numId="36">
    <w:abstractNumId w:val="9"/>
  </w:num>
  <w:num w:numId="37">
    <w:abstractNumId w:val="40"/>
  </w:num>
  <w:num w:numId="38">
    <w:abstractNumId w:val="17"/>
  </w:num>
  <w:num w:numId="39">
    <w:abstractNumId w:val="42"/>
  </w:num>
  <w:num w:numId="40">
    <w:abstractNumId w:val="16"/>
  </w:num>
  <w:num w:numId="41">
    <w:abstractNumId w:val="12"/>
  </w:num>
  <w:num w:numId="42">
    <w:abstractNumId w:val="44"/>
  </w:num>
  <w:num w:numId="43">
    <w:abstractNumId w:val="46"/>
  </w:num>
  <w:num w:numId="44">
    <w:abstractNumId w:val="18"/>
  </w:num>
  <w:num w:numId="45">
    <w:abstractNumId w:val="14"/>
  </w:num>
  <w:num w:numId="46">
    <w:abstractNumId w:val="2"/>
  </w:num>
  <w:num w:numId="4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noPunctuationKerning/>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65E33"/>
    <w:rsid w:val="0001287F"/>
    <w:rsid w:val="00013981"/>
    <w:rsid w:val="0004075C"/>
    <w:rsid w:val="00066E38"/>
    <w:rsid w:val="000A2CEB"/>
    <w:rsid w:val="000A5863"/>
    <w:rsid w:val="000B1C2E"/>
    <w:rsid w:val="000C7C09"/>
    <w:rsid w:val="000D5435"/>
    <w:rsid w:val="000F450C"/>
    <w:rsid w:val="00104190"/>
    <w:rsid w:val="0010602C"/>
    <w:rsid w:val="00107D9A"/>
    <w:rsid w:val="00151194"/>
    <w:rsid w:val="00154D29"/>
    <w:rsid w:val="00184F18"/>
    <w:rsid w:val="00193C34"/>
    <w:rsid w:val="001C7B16"/>
    <w:rsid w:val="00225EB4"/>
    <w:rsid w:val="00225F82"/>
    <w:rsid w:val="0025322B"/>
    <w:rsid w:val="0025700F"/>
    <w:rsid w:val="00260D8D"/>
    <w:rsid w:val="002B03D8"/>
    <w:rsid w:val="002B119E"/>
    <w:rsid w:val="002E79B0"/>
    <w:rsid w:val="00302BB2"/>
    <w:rsid w:val="00305E0E"/>
    <w:rsid w:val="00364D65"/>
    <w:rsid w:val="00385878"/>
    <w:rsid w:val="00395707"/>
    <w:rsid w:val="003A1BEF"/>
    <w:rsid w:val="003A37DA"/>
    <w:rsid w:val="003C17E8"/>
    <w:rsid w:val="003C1FD3"/>
    <w:rsid w:val="003D589C"/>
    <w:rsid w:val="003D7C9D"/>
    <w:rsid w:val="003F198E"/>
    <w:rsid w:val="00426E3E"/>
    <w:rsid w:val="00437C35"/>
    <w:rsid w:val="00465A95"/>
    <w:rsid w:val="00481AFA"/>
    <w:rsid w:val="004B2794"/>
    <w:rsid w:val="004B65C3"/>
    <w:rsid w:val="004C1DEB"/>
    <w:rsid w:val="004D10BB"/>
    <w:rsid w:val="00536E99"/>
    <w:rsid w:val="0057520F"/>
    <w:rsid w:val="005A68A3"/>
    <w:rsid w:val="005D60B4"/>
    <w:rsid w:val="005F219B"/>
    <w:rsid w:val="00623F1E"/>
    <w:rsid w:val="006306C8"/>
    <w:rsid w:val="0063608B"/>
    <w:rsid w:val="00652BD7"/>
    <w:rsid w:val="00660F72"/>
    <w:rsid w:val="006625B2"/>
    <w:rsid w:val="0068460B"/>
    <w:rsid w:val="00684C56"/>
    <w:rsid w:val="006B4DE5"/>
    <w:rsid w:val="006D5F3B"/>
    <w:rsid w:val="00707630"/>
    <w:rsid w:val="0072647C"/>
    <w:rsid w:val="00741FE5"/>
    <w:rsid w:val="00794967"/>
    <w:rsid w:val="007B6761"/>
    <w:rsid w:val="007E0F50"/>
    <w:rsid w:val="007E3DB6"/>
    <w:rsid w:val="00801CF4"/>
    <w:rsid w:val="00804A49"/>
    <w:rsid w:val="00805AA7"/>
    <w:rsid w:val="0080795E"/>
    <w:rsid w:val="0088474E"/>
    <w:rsid w:val="008A005F"/>
    <w:rsid w:val="008C0116"/>
    <w:rsid w:val="00900C39"/>
    <w:rsid w:val="00916193"/>
    <w:rsid w:val="0093778D"/>
    <w:rsid w:val="00965E33"/>
    <w:rsid w:val="009A7335"/>
    <w:rsid w:val="009C43EC"/>
    <w:rsid w:val="00A03BF9"/>
    <w:rsid w:val="00A153A6"/>
    <w:rsid w:val="00A2385F"/>
    <w:rsid w:val="00A30007"/>
    <w:rsid w:val="00A32735"/>
    <w:rsid w:val="00A579BF"/>
    <w:rsid w:val="00A86B5E"/>
    <w:rsid w:val="00AB1516"/>
    <w:rsid w:val="00B139EE"/>
    <w:rsid w:val="00B31A6F"/>
    <w:rsid w:val="00B56ED5"/>
    <w:rsid w:val="00C25D07"/>
    <w:rsid w:val="00C3673F"/>
    <w:rsid w:val="00C92275"/>
    <w:rsid w:val="00C94AC8"/>
    <w:rsid w:val="00CA2402"/>
    <w:rsid w:val="00CD0CCA"/>
    <w:rsid w:val="00D277B1"/>
    <w:rsid w:val="00D378F6"/>
    <w:rsid w:val="00D523A2"/>
    <w:rsid w:val="00D84692"/>
    <w:rsid w:val="00D85A03"/>
    <w:rsid w:val="00D9759F"/>
    <w:rsid w:val="00DB1536"/>
    <w:rsid w:val="00DB2A24"/>
    <w:rsid w:val="00DB7505"/>
    <w:rsid w:val="00DC461A"/>
    <w:rsid w:val="00DC514E"/>
    <w:rsid w:val="00DE140B"/>
    <w:rsid w:val="00E47C7F"/>
    <w:rsid w:val="00E66316"/>
    <w:rsid w:val="00E7455B"/>
    <w:rsid w:val="00ED3E09"/>
    <w:rsid w:val="00ED5E67"/>
    <w:rsid w:val="00EE14AD"/>
    <w:rsid w:val="00F12FD5"/>
    <w:rsid w:val="00F54414"/>
    <w:rsid w:val="00F729F5"/>
    <w:rsid w:val="00FA02F2"/>
    <w:rsid w:val="00FB54E9"/>
    <w:rsid w:val="00FB561E"/>
    <w:rsid w:val="00FB60A1"/>
    <w:rsid w:val="00FC2623"/>
    <w:rsid w:val="00FD0D7C"/>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95E"/>
  </w:style>
  <w:style w:type="paragraph" w:styleId="Ttulo1">
    <w:name w:val="heading 1"/>
    <w:basedOn w:val="Normal"/>
    <w:next w:val="Normal"/>
    <w:qFormat/>
    <w:rsid w:val="00193C34"/>
    <w:pPr>
      <w:keepNext/>
      <w:outlineLvl w:val="0"/>
    </w:pPr>
    <w:rPr>
      <w:b/>
      <w:bCs/>
      <w:sz w:val="24"/>
      <w:szCs w:val="24"/>
      <w:lang w:val="es-PE"/>
    </w:rPr>
  </w:style>
  <w:style w:type="paragraph" w:styleId="Ttulo4">
    <w:name w:val="heading 4"/>
    <w:basedOn w:val="Normal"/>
    <w:next w:val="Normal"/>
    <w:qFormat/>
    <w:rsid w:val="00D277B1"/>
    <w:pPr>
      <w:keepNext/>
      <w:spacing w:before="240" w:after="60"/>
      <w:outlineLvl w:val="3"/>
    </w:pPr>
    <w:rPr>
      <w:b/>
      <w:bCs/>
      <w:sz w:val="28"/>
      <w:szCs w:val="28"/>
    </w:rPr>
  </w:style>
  <w:style w:type="paragraph" w:styleId="Ttulo7">
    <w:name w:val="heading 7"/>
    <w:basedOn w:val="Normal"/>
    <w:next w:val="Normal"/>
    <w:qFormat/>
    <w:rsid w:val="00184F18"/>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965E33"/>
    <w:pPr>
      <w:widowControl w:val="0"/>
      <w:tabs>
        <w:tab w:val="center" w:pos="4252"/>
        <w:tab w:val="right" w:pos="8504"/>
      </w:tabs>
      <w:suppressAutoHyphens/>
    </w:pPr>
    <w:rPr>
      <w:sz w:val="24"/>
      <w:lang w:val="es-ES_tradnl"/>
    </w:rPr>
  </w:style>
  <w:style w:type="character" w:styleId="Nmerodepgina">
    <w:name w:val="page number"/>
    <w:basedOn w:val="Fuentedeprrafopredeter"/>
    <w:rsid w:val="00965E33"/>
  </w:style>
  <w:style w:type="paragraph" w:styleId="Textoindependiente">
    <w:name w:val="Body Text"/>
    <w:basedOn w:val="Normal"/>
    <w:rsid w:val="00965E33"/>
    <w:pPr>
      <w:widowControl w:val="0"/>
      <w:suppressAutoHyphens/>
      <w:jc w:val="both"/>
    </w:pPr>
    <w:rPr>
      <w:rFonts w:ascii="Tahoma" w:hAnsi="Tahoma"/>
      <w:sz w:val="22"/>
      <w:lang w:val="es-ES_tradnl"/>
    </w:rPr>
  </w:style>
  <w:style w:type="paragraph" w:customStyle="1" w:styleId="Textoindependiente21">
    <w:name w:val="Texto independiente 21"/>
    <w:basedOn w:val="Normal"/>
    <w:rsid w:val="00965E33"/>
    <w:pPr>
      <w:jc w:val="both"/>
    </w:pPr>
    <w:rPr>
      <w:rFonts w:ascii="Tahoma" w:hAnsi="Tahoma"/>
      <w:sz w:val="22"/>
    </w:rPr>
  </w:style>
  <w:style w:type="paragraph" w:styleId="Textoindependiente3">
    <w:name w:val="Body Text 3"/>
    <w:basedOn w:val="Normal"/>
    <w:rsid w:val="00965E33"/>
    <w:pPr>
      <w:spacing w:after="120"/>
    </w:pPr>
    <w:rPr>
      <w:sz w:val="16"/>
      <w:szCs w:val="16"/>
      <w:lang w:val="es-PE"/>
    </w:rPr>
  </w:style>
  <w:style w:type="paragraph" w:styleId="Textonotapie">
    <w:name w:val="footnote text"/>
    <w:basedOn w:val="Normal"/>
    <w:semiHidden/>
    <w:rsid w:val="00965E33"/>
  </w:style>
  <w:style w:type="character" w:styleId="Refdenotaalpie">
    <w:name w:val="footnote reference"/>
    <w:basedOn w:val="Fuentedeprrafopredeter"/>
    <w:semiHidden/>
    <w:rsid w:val="00965E33"/>
    <w:rPr>
      <w:vertAlign w:val="superscript"/>
    </w:rPr>
  </w:style>
  <w:style w:type="table" w:styleId="Tablaconcuadrcula">
    <w:name w:val="Table Grid"/>
    <w:basedOn w:val="Tablanormal"/>
    <w:rsid w:val="00965E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moderna">
    <w:name w:val="Table Contemporary"/>
    <w:basedOn w:val="Tablanormal"/>
    <w:rsid w:val="00151194"/>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tulo">
    <w:name w:val="Title"/>
    <w:basedOn w:val="Normal"/>
    <w:qFormat/>
    <w:rsid w:val="00ED5E67"/>
    <w:pPr>
      <w:jc w:val="center"/>
    </w:pPr>
    <w:rPr>
      <w:b/>
      <w:sz w:val="28"/>
      <w:lang w:val="es-MX"/>
    </w:rPr>
  </w:style>
  <w:style w:type="paragraph" w:styleId="Sangradetextonormal">
    <w:name w:val="Body Text Indent"/>
    <w:basedOn w:val="Normal"/>
    <w:rsid w:val="00A579BF"/>
    <w:pPr>
      <w:spacing w:after="120"/>
      <w:ind w:left="283"/>
    </w:pPr>
  </w:style>
  <w:style w:type="paragraph" w:styleId="Sangra2detindependiente">
    <w:name w:val="Body Text Indent 2"/>
    <w:basedOn w:val="Normal"/>
    <w:rsid w:val="00193C34"/>
    <w:pPr>
      <w:spacing w:after="120" w:line="480" w:lineRule="auto"/>
      <w:ind w:left="283"/>
    </w:pPr>
  </w:style>
  <w:style w:type="paragraph" w:customStyle="1" w:styleId="Fecha1">
    <w:name w:val="Fecha1"/>
    <w:basedOn w:val="Normal"/>
    <w:next w:val="Normal"/>
    <w:rsid w:val="00184F18"/>
    <w:pPr>
      <w:overflowPunct w:val="0"/>
      <w:autoSpaceDE w:val="0"/>
      <w:autoSpaceDN w:val="0"/>
      <w:adjustRightInd w:val="0"/>
      <w:textAlignment w:val="baseline"/>
    </w:pPr>
    <w:rPr>
      <w:lang w:eastAsia="en-US"/>
    </w:rPr>
  </w:style>
  <w:style w:type="paragraph" w:styleId="Encabezado">
    <w:name w:val="header"/>
    <w:basedOn w:val="Normal"/>
    <w:rsid w:val="00184F18"/>
    <w:pPr>
      <w:tabs>
        <w:tab w:val="center" w:pos="4252"/>
        <w:tab w:val="right" w:pos="8504"/>
      </w:tabs>
    </w:pPr>
  </w:style>
  <w:style w:type="character" w:styleId="Hipervnculo">
    <w:name w:val="Hyperlink"/>
    <w:basedOn w:val="Fuentedeprrafopredeter"/>
    <w:rsid w:val="00D523A2"/>
    <w:rPr>
      <w:color w:val="0000FF"/>
      <w:u w:val="single"/>
    </w:rPr>
  </w:style>
  <w:style w:type="paragraph" w:customStyle="1" w:styleId="epgrafe">
    <w:name w:val="epígrafe"/>
    <w:basedOn w:val="Normal"/>
    <w:rsid w:val="00D277B1"/>
    <w:rPr>
      <w:rFonts w:ascii="Courier New" w:eastAsia="MS Mincho" w:hAnsi="Courier New"/>
      <w:sz w:val="24"/>
      <w:lang w:val="es-ES_tradnl"/>
    </w:rPr>
  </w:style>
  <w:style w:type="paragraph" w:customStyle="1" w:styleId="33">
    <w:name w:val="33"/>
    <w:basedOn w:val="Normal"/>
    <w:rsid w:val="00D277B1"/>
    <w:pPr>
      <w:tabs>
        <w:tab w:val="left" w:pos="480"/>
      </w:tabs>
      <w:jc w:val="both"/>
    </w:pPr>
    <w:rPr>
      <w:rFonts w:ascii="Tahoma" w:eastAsia="MS Mincho" w:hAnsi="Tahoma" w:cs="Tahoma"/>
      <w:b/>
      <w:bCs/>
      <w:color w:val="0000FF"/>
      <w:sz w:val="22"/>
      <w:szCs w:val="24"/>
    </w:rPr>
  </w:style>
  <w:style w:type="paragraph" w:styleId="Lista2">
    <w:name w:val="List 2"/>
    <w:basedOn w:val="Normal"/>
    <w:rsid w:val="003C1FD3"/>
    <w:pPr>
      <w:ind w:left="566" w:hanging="283"/>
    </w:pPr>
  </w:style>
  <w:style w:type="paragraph" w:styleId="Textodebloque">
    <w:name w:val="Block Text"/>
    <w:basedOn w:val="Normal"/>
    <w:rsid w:val="002B03D8"/>
    <w:pPr>
      <w:ind w:left="705" w:right="198"/>
      <w:jc w:val="both"/>
    </w:pPr>
    <w:rPr>
      <w:rFonts w:ascii="Arial Narrow" w:hAnsi="Arial Narrow"/>
      <w:sz w:val="18"/>
    </w:rPr>
  </w:style>
  <w:style w:type="paragraph" w:customStyle="1" w:styleId="CarCar1">
    <w:name w:val="Car Car1"/>
    <w:basedOn w:val="Normal"/>
    <w:rsid w:val="000A5863"/>
    <w:pPr>
      <w:spacing w:after="160" w:line="240" w:lineRule="exact"/>
    </w:pPr>
    <w:rPr>
      <w:rFonts w:ascii="Tahoma" w:hAnsi="Tahoma"/>
      <w:lang w:val="en-US" w:eastAsia="en-US"/>
    </w:rPr>
  </w:style>
  <w:style w:type="paragraph" w:customStyle="1" w:styleId="CarCarCarCarCarCarCarCar">
    <w:name w:val="Car Car Car Car Car Car Car Car"/>
    <w:basedOn w:val="Normal"/>
    <w:rsid w:val="0025322B"/>
    <w:pPr>
      <w:spacing w:after="160" w:line="240" w:lineRule="exact"/>
    </w:pPr>
    <w:rPr>
      <w:rFonts w:ascii="Verdana" w:hAnsi="Verdana"/>
      <w:lang w:val="en-US" w:eastAsia="en-US"/>
    </w:rPr>
  </w:style>
  <w:style w:type="paragraph" w:styleId="Prrafodelista">
    <w:name w:val="List Paragraph"/>
    <w:basedOn w:val="Normal"/>
    <w:uiPriority w:val="34"/>
    <w:qFormat/>
    <w:rsid w:val="009A7335"/>
    <w:pPr>
      <w:ind w:left="708"/>
    </w:pPr>
    <w:rPr>
      <w:lang w:eastAsia="es-PE"/>
    </w:rPr>
  </w:style>
  <w:style w:type="character" w:customStyle="1" w:styleId="elema">
    <w:name w:val="elema"/>
    <w:basedOn w:val="Fuentedeprrafopredeter"/>
    <w:rsid w:val="009A7335"/>
  </w:style>
  <w:style w:type="paragraph" w:customStyle="1" w:styleId="Predeterminado">
    <w:name w:val="Predeterminado"/>
    <w:rsid w:val="00A32735"/>
    <w:rPr>
      <w:snapToGrid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6219</Words>
  <Characters>33781</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1988-2007/TC-S2</vt:lpstr>
    </vt:vector>
  </TitlesOfParts>
  <Company/>
  <LinksUpToDate>false</LinksUpToDate>
  <CharactersWithSpaces>39921</CharactersWithSpaces>
  <SharedDoc>false</SharedDoc>
  <HLinks>
    <vt:vector size="6" baseType="variant">
      <vt:variant>
        <vt:i4>2949166</vt:i4>
      </vt:variant>
      <vt:variant>
        <vt:i4>0</vt:i4>
      </vt:variant>
      <vt:variant>
        <vt:i4>0</vt:i4>
      </vt:variant>
      <vt:variant>
        <vt:i4>5</vt:i4>
      </vt:variant>
      <vt:variant>
        <vt:lpwstr>http://www.hp.com/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2187-2007/TC-S2</dc:title>
  <dc:subject>RECURSO DE APELACION INTERPUESTO POR CONSORCIO IRV SAC</dc:subject>
  <dc:creator>TRIBUNAL</dc:creator>
  <cp:keywords>DOCUMENTOS PUBLICOS INTERMEDIACION LABORAL</cp:keywords>
  <dc:description/>
  <cp:lastModifiedBy>ltassara</cp:lastModifiedBy>
  <cp:revision>3</cp:revision>
  <cp:lastPrinted>2007-12-06T21:42:00Z</cp:lastPrinted>
  <dcterms:created xsi:type="dcterms:W3CDTF">2007-12-12T19:10:00Z</dcterms:created>
  <dcterms:modified xsi:type="dcterms:W3CDTF">2007-12-12T19:11:00Z</dcterms:modified>
  <cp:category>RESOLUCION-TRIBUNAL</cp:category>
</cp:coreProperties>
</file>