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731" w:rsidRDefault="00745731" w:rsidP="000A2134">
      <w:pPr>
        <w:tabs>
          <w:tab w:val="left" w:pos="2340"/>
          <w:tab w:val="left" w:pos="7380"/>
        </w:tabs>
        <w:ind w:left="2700" w:right="2160" w:hanging="900"/>
        <w:jc w:val="both"/>
        <w:rPr>
          <w:rFonts w:ascii="Tahoma" w:hAnsi="Tahoma" w:cs="Tahoma"/>
          <w:b/>
          <w:i/>
        </w:rPr>
      </w:pPr>
      <w:r>
        <w:rPr>
          <w:rFonts w:ascii="Tahoma" w:hAnsi="Tahoma" w:cs="Tahoma"/>
          <w:b/>
          <w:i/>
        </w:rPr>
        <w:t xml:space="preserve">               RESOLUCIÓN N. 2177-2007/TC-S3</w:t>
      </w:r>
    </w:p>
    <w:p w:rsidR="00745731" w:rsidRDefault="00745731" w:rsidP="000A2134">
      <w:pPr>
        <w:tabs>
          <w:tab w:val="left" w:pos="2340"/>
          <w:tab w:val="left" w:pos="7380"/>
        </w:tabs>
        <w:ind w:left="2700" w:right="2160" w:hanging="900"/>
        <w:jc w:val="both"/>
        <w:rPr>
          <w:rFonts w:ascii="Tahoma" w:hAnsi="Tahoma" w:cs="Tahoma"/>
          <w:b/>
          <w:i/>
        </w:rPr>
      </w:pPr>
    </w:p>
    <w:p w:rsidR="000A2134" w:rsidRDefault="000A2134" w:rsidP="000A2134">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Pr>
          <w:rFonts w:ascii="Tahoma" w:hAnsi="Tahoma" w:cs="Tahoma"/>
          <w:i/>
          <w:lang w:val="es-ES_tradnl"/>
        </w:rPr>
        <w:t>E</w:t>
      </w:r>
      <w:r w:rsidRPr="000A2134">
        <w:rPr>
          <w:rFonts w:ascii="Tahoma" w:hAnsi="Tahoma" w:cs="Tahoma"/>
          <w:i/>
          <w:lang w:val="es-ES_tradnl"/>
        </w:rPr>
        <w:t>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w:t>
      </w:r>
      <w:r w:rsidRPr="000A2134">
        <w:rPr>
          <w:rFonts w:ascii="Tahoma" w:hAnsi="Tahoma" w:cs="Tahoma"/>
          <w:i/>
        </w:rPr>
        <w:t>.</w:t>
      </w:r>
    </w:p>
    <w:p w:rsidR="000A2134" w:rsidRPr="000A2134" w:rsidRDefault="000A2134" w:rsidP="000A2134">
      <w:pPr>
        <w:tabs>
          <w:tab w:val="left" w:pos="2340"/>
          <w:tab w:val="left" w:pos="7380"/>
        </w:tabs>
        <w:ind w:left="2700" w:right="2160" w:hanging="900"/>
        <w:jc w:val="both"/>
        <w:rPr>
          <w:rFonts w:ascii="Tahoma" w:hAnsi="Tahoma" w:cs="Tahoma"/>
          <w:i/>
          <w:lang w:val="es-ES_tradnl"/>
        </w:rPr>
      </w:pPr>
    </w:p>
    <w:p w:rsidR="000A2134" w:rsidRDefault="000A2134" w:rsidP="000A2134">
      <w:pPr>
        <w:ind w:left="3060" w:right="2160" w:hanging="1260"/>
        <w:jc w:val="both"/>
        <w:rPr>
          <w:rFonts w:ascii="Tahoma" w:hAnsi="Tahoma" w:cs="Tahoma"/>
          <w:i/>
        </w:rPr>
      </w:pPr>
    </w:p>
    <w:p w:rsidR="000A2134" w:rsidRPr="00016A88" w:rsidRDefault="000A2134" w:rsidP="000A2134">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sidR="00745731">
        <w:rPr>
          <w:rFonts w:ascii="Tahoma" w:hAnsi="Tahoma" w:cs="Tahoma"/>
          <w:b/>
          <w:sz w:val="20"/>
          <w:szCs w:val="20"/>
        </w:rPr>
        <w:t>10 DE DICIEMBRE DE 2007</w:t>
      </w:r>
    </w:p>
    <w:p w:rsidR="000A2134" w:rsidRPr="00016A88" w:rsidRDefault="000A2134" w:rsidP="000A2134">
      <w:pPr>
        <w:pStyle w:val="Textoindependiente"/>
        <w:tabs>
          <w:tab w:val="left" w:pos="540"/>
        </w:tabs>
        <w:rPr>
          <w:rFonts w:cs="Tahoma"/>
          <w:b/>
          <w:sz w:val="20"/>
          <w:lang w:val="es-PE"/>
        </w:rPr>
      </w:pPr>
    </w:p>
    <w:p w:rsidR="000A2134" w:rsidRPr="009E1C9D" w:rsidRDefault="000A2134" w:rsidP="000A2134">
      <w:pPr>
        <w:jc w:val="both"/>
        <w:rPr>
          <w:rFonts w:ascii="Tahoma" w:hAnsi="Tahoma" w:cs="Tahoma"/>
          <w:bCs/>
          <w:lang w:val="es-ES_tradnl"/>
        </w:rPr>
      </w:pPr>
      <w:r w:rsidRPr="00016A88">
        <w:rPr>
          <w:rFonts w:ascii="Tahoma" w:hAnsi="Tahoma" w:cs="Tahoma"/>
          <w:b/>
        </w:rPr>
        <w:t>Visto</w:t>
      </w:r>
      <w:r w:rsidRPr="00016A88">
        <w:rPr>
          <w:rFonts w:ascii="Tahoma" w:hAnsi="Tahoma" w:cs="Tahoma"/>
        </w:rPr>
        <w:t xml:space="preserve"> en sesión de fecha </w:t>
      </w:r>
      <w:r>
        <w:rPr>
          <w:rFonts w:ascii="Tahoma" w:hAnsi="Tahoma" w:cs="Tahoma"/>
        </w:rPr>
        <w:t xml:space="preserve">05 </w:t>
      </w:r>
      <w:r w:rsidRPr="00016A88">
        <w:rPr>
          <w:rFonts w:ascii="Tahoma" w:hAnsi="Tahoma" w:cs="Tahoma"/>
        </w:rPr>
        <w:t xml:space="preserve">de </w:t>
      </w:r>
      <w:r>
        <w:rPr>
          <w:rFonts w:ascii="Tahoma" w:hAnsi="Tahoma" w:cs="Tahoma"/>
        </w:rPr>
        <w:t xml:space="preserve">diciembre </w:t>
      </w:r>
      <w:r w:rsidRPr="00016A88">
        <w:rPr>
          <w:rFonts w:ascii="Tahoma" w:hAnsi="Tahoma" w:cs="Tahoma"/>
        </w:rPr>
        <w:t xml:space="preserve">de 2007 de la Tercera Sala del Tribunal de Contrataciones y </w:t>
      </w:r>
      <w:r w:rsidRPr="00774003">
        <w:rPr>
          <w:rFonts w:ascii="Tahoma" w:hAnsi="Tahoma" w:cs="Tahoma"/>
        </w:rPr>
        <w:t xml:space="preserve">Adquisiciones del Estado el Expediente N.° </w:t>
      </w:r>
      <w:r>
        <w:rPr>
          <w:rFonts w:ascii="Tahoma" w:hAnsi="Tahoma" w:cs="Tahoma"/>
        </w:rPr>
        <w:t>1851</w:t>
      </w:r>
      <w:r w:rsidRPr="00774003">
        <w:rPr>
          <w:rFonts w:ascii="Tahoma" w:hAnsi="Tahoma" w:cs="Tahoma"/>
        </w:rPr>
        <w:t>.</w:t>
      </w:r>
      <w:r w:rsidR="00246732">
        <w:rPr>
          <w:rFonts w:ascii="Tahoma" w:hAnsi="Tahoma" w:cs="Tahoma"/>
        </w:rPr>
        <w:t>.</w:t>
      </w:r>
      <w:r w:rsidRPr="00774003">
        <w:rPr>
          <w:rFonts w:ascii="Tahoma" w:hAnsi="Tahoma" w:cs="Tahoma"/>
        </w:rPr>
        <w:t>200</w:t>
      </w:r>
      <w:r>
        <w:rPr>
          <w:rFonts w:ascii="Tahoma" w:hAnsi="Tahoma" w:cs="Tahoma"/>
        </w:rPr>
        <w:t>7</w:t>
      </w:r>
      <w:r w:rsidRPr="00774003">
        <w:rPr>
          <w:rFonts w:ascii="Tahoma" w:hAnsi="Tahoma" w:cs="Tahoma"/>
        </w:rPr>
        <w:t>.TC, sobre el procedimiento de aplicación de sanción a</w:t>
      </w:r>
      <w:r>
        <w:rPr>
          <w:rFonts w:ascii="Tahoma" w:hAnsi="Tahoma" w:cs="Tahoma"/>
        </w:rPr>
        <w:t xml:space="preserve"> la empresa </w:t>
      </w:r>
      <w:r w:rsidRPr="000A2134">
        <w:rPr>
          <w:rFonts w:ascii="Tahoma" w:hAnsi="Tahoma" w:cs="Tahoma"/>
          <w:b/>
        </w:rPr>
        <w:t>REAL PERU TRADING S.A.C</w:t>
      </w:r>
      <w:r>
        <w:rPr>
          <w:rFonts w:ascii="Tahoma" w:hAnsi="Tahoma" w:cs="Tahoma"/>
          <w:b/>
          <w:bCs/>
        </w:rPr>
        <w:t>.</w:t>
      </w:r>
      <w:r w:rsidRPr="009E1C9D">
        <w:rPr>
          <w:rFonts w:ascii="Tahoma" w:hAnsi="Tahoma" w:cs="Tahoma"/>
          <w:b/>
          <w:bCs/>
        </w:rPr>
        <w:t>,</w:t>
      </w:r>
      <w:r w:rsidRPr="00774003">
        <w:rPr>
          <w:rFonts w:ascii="Tahoma" w:hAnsi="Tahoma" w:cs="Tahoma"/>
          <w:bCs/>
          <w:lang w:val="es-ES_tradnl"/>
        </w:rPr>
        <w:t xml:space="preserve"> por supuesta responsabilidad en </w:t>
      </w:r>
      <w:r w:rsidR="003E1AAE">
        <w:rPr>
          <w:rFonts w:ascii="Tahoma" w:hAnsi="Tahoma" w:cs="Tahoma"/>
          <w:bCs/>
          <w:lang w:val="es-ES_tradnl"/>
        </w:rPr>
        <w:t>la no suscripción injustificada del contrato derivado</w:t>
      </w:r>
      <w:r>
        <w:rPr>
          <w:rFonts w:ascii="Tahoma" w:hAnsi="Tahoma" w:cs="Tahoma"/>
          <w:bCs/>
          <w:lang w:val="es-ES_tradnl"/>
        </w:rPr>
        <w:t xml:space="preserve"> de </w:t>
      </w:r>
      <w:r w:rsidR="003E1AAE">
        <w:rPr>
          <w:rFonts w:ascii="Tahoma" w:hAnsi="Tahoma" w:cs="Tahoma"/>
          <w:bCs/>
          <w:lang w:val="es-ES_tradnl"/>
        </w:rPr>
        <w:t xml:space="preserve">la </w:t>
      </w:r>
      <w:r w:rsidRPr="00CD2147">
        <w:rPr>
          <w:rFonts w:ascii="Tahoma" w:hAnsi="Tahoma" w:cs="Tahoma"/>
        </w:rPr>
        <w:t>Licitación Pública por Subasta Inversa № 001-2007-EP/UO 0804 – Primera Convocatoria</w:t>
      </w:r>
      <w:r>
        <w:rPr>
          <w:rFonts w:ascii="Tahoma" w:hAnsi="Tahoma" w:cs="Tahoma"/>
        </w:rPr>
        <w:t xml:space="preserve">, efectuada por </w:t>
      </w:r>
      <w:r w:rsidRPr="00BD4623">
        <w:rPr>
          <w:rFonts w:ascii="Tahoma" w:hAnsi="Tahoma" w:cs="Tahoma"/>
        </w:rPr>
        <w:t>la</w:t>
      </w:r>
      <w:r w:rsidRPr="00EB1F3A">
        <w:rPr>
          <w:rFonts w:ascii="Tahoma" w:hAnsi="Tahoma" w:cs="Tahoma"/>
          <w:b/>
        </w:rPr>
        <w:t xml:space="preserve"> </w:t>
      </w:r>
      <w:r w:rsidRPr="000A2134">
        <w:rPr>
          <w:rFonts w:ascii="Tahoma" w:hAnsi="Tahoma" w:cs="Tahoma"/>
          <w:b/>
        </w:rPr>
        <w:t>Primera Brigada de Infantería Reforzada del Ejército del Perú</w:t>
      </w:r>
      <w:r>
        <w:rPr>
          <w:rFonts w:ascii="Tahoma" w:hAnsi="Tahoma" w:cs="Tahoma"/>
        </w:rPr>
        <w:t xml:space="preserve">, para la </w:t>
      </w:r>
      <w:r w:rsidRPr="00CD2147">
        <w:rPr>
          <w:rFonts w:ascii="Tahoma" w:hAnsi="Tahoma" w:cs="Tahoma"/>
        </w:rPr>
        <w:t>adquisición de alimentos para personas</w:t>
      </w:r>
      <w:r w:rsidRPr="00016A88">
        <w:rPr>
          <w:rFonts w:ascii="Tahoma" w:hAnsi="Tahoma" w:cs="Tahoma"/>
          <w:color w:val="000000"/>
        </w:rPr>
        <w:t>,</w:t>
      </w:r>
      <w:r>
        <w:rPr>
          <w:rFonts w:ascii="Tahoma" w:hAnsi="Tahoma" w:cs="Tahoma"/>
          <w:color w:val="000000"/>
        </w:rPr>
        <w:t xml:space="preserve">  </w:t>
      </w:r>
      <w:r w:rsidRPr="00016A88">
        <w:rPr>
          <w:rFonts w:ascii="Tahoma" w:hAnsi="Tahoma" w:cs="Tahoma"/>
          <w:color w:val="000000"/>
        </w:rPr>
        <w:t xml:space="preserve">y atendiendo a los siguientes:    </w:t>
      </w:r>
    </w:p>
    <w:p w:rsidR="000A2134" w:rsidRPr="009A6493" w:rsidRDefault="000A2134" w:rsidP="000A2134">
      <w:pPr>
        <w:pStyle w:val="Textoindependiente"/>
        <w:widowControl/>
        <w:tabs>
          <w:tab w:val="left" w:pos="540"/>
        </w:tabs>
        <w:suppressAutoHyphens w:val="0"/>
        <w:rPr>
          <w:rFonts w:cs="Tahoma"/>
          <w:sz w:val="20"/>
        </w:rPr>
      </w:pPr>
    </w:p>
    <w:p w:rsidR="000A2134" w:rsidRDefault="000A2134" w:rsidP="000A2134">
      <w:pPr>
        <w:jc w:val="both"/>
        <w:rPr>
          <w:rFonts w:ascii="Tahoma" w:hAnsi="Tahoma" w:cs="Tahoma"/>
          <w:b/>
          <w:shadow/>
        </w:rPr>
      </w:pPr>
      <w:r w:rsidRPr="00016A88">
        <w:rPr>
          <w:rFonts w:ascii="Tahoma" w:hAnsi="Tahoma" w:cs="Tahoma"/>
          <w:b/>
          <w:shadow/>
        </w:rPr>
        <w:t>ANTECEDENTES:</w:t>
      </w:r>
    </w:p>
    <w:p w:rsidR="000A2134" w:rsidRPr="00CD2147" w:rsidRDefault="000A2134" w:rsidP="000A2134">
      <w:pPr>
        <w:pStyle w:val="Textoindependiente"/>
        <w:tabs>
          <w:tab w:val="left" w:pos="-2340"/>
        </w:tabs>
        <w:ind w:right="-315"/>
        <w:rPr>
          <w:rFonts w:cs="Tahoma"/>
          <w:sz w:val="20"/>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 xml:space="preserve">La Primera Brigada de Infantería Reforzada del Ejército del Perú, en lo sucesivo la Entidad, convocó a la Licitación Pública por Subasta Inversa № 001-2007-EP/UO 0804 – Primera Convocatoria,  para la adquisición de alimentos para personas, con un valor referencial ascendente a S/. 820, 023.60 Nuevos Soles.  Como resultado de dicho proceso de selección, el 14 de junio de 2007, se adjudicó la Buena Pro del </w:t>
      </w:r>
      <w:proofErr w:type="spellStart"/>
      <w:r w:rsidRPr="00CD2147">
        <w:rPr>
          <w:rFonts w:ascii="Tahoma" w:hAnsi="Tahoma" w:cs="Tahoma"/>
        </w:rPr>
        <w:t>Item</w:t>
      </w:r>
      <w:proofErr w:type="spellEnd"/>
      <w:r w:rsidRPr="00CD2147">
        <w:rPr>
          <w:rFonts w:ascii="Tahoma" w:hAnsi="Tahoma" w:cs="Tahoma"/>
        </w:rPr>
        <w:t xml:space="preserve"> N</w:t>
      </w:r>
      <w:proofErr w:type="gramStart"/>
      <w:r w:rsidRPr="00CD2147">
        <w:rPr>
          <w:rFonts w:ascii="Tahoma" w:hAnsi="Tahoma" w:cs="Tahoma"/>
        </w:rPr>
        <w:t>.º</w:t>
      </w:r>
      <w:proofErr w:type="gramEnd"/>
      <w:r w:rsidRPr="00CD2147">
        <w:rPr>
          <w:rFonts w:ascii="Tahoma" w:hAnsi="Tahoma" w:cs="Tahoma"/>
        </w:rPr>
        <w:t xml:space="preserve"> 03: Aceite Vegetal, a favor de la empresa REAL PERU TRADING S.A.C., en lo sucesivo el </w:t>
      </w:r>
      <w:r>
        <w:rPr>
          <w:rFonts w:ascii="Tahoma" w:hAnsi="Tahoma" w:cs="Tahoma"/>
        </w:rPr>
        <w:t>Postor</w:t>
      </w:r>
      <w:r w:rsidRPr="00CD2147">
        <w:rPr>
          <w:rFonts w:ascii="Tahoma" w:hAnsi="Tahoma" w:cs="Tahoma"/>
        </w:rPr>
        <w:t>.</w:t>
      </w:r>
    </w:p>
    <w:p w:rsidR="000A2134" w:rsidRPr="00CD2147" w:rsidRDefault="000A2134" w:rsidP="000A2134">
      <w:pPr>
        <w:jc w:val="both"/>
        <w:rPr>
          <w:rFonts w:ascii="Tahoma" w:hAnsi="Tahoma" w:cs="Tahoma"/>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En virtud al otorgamiento realizado, y al no haberse dejado constancia en el acta de otorgamiento de la buena pro, la posible impugnación por parte de alguno de los postores, mediante Oficio N</w:t>
      </w:r>
      <w:proofErr w:type="gramStart"/>
      <w:r w:rsidRPr="00CD2147">
        <w:rPr>
          <w:rFonts w:ascii="Tahoma" w:hAnsi="Tahoma" w:cs="Tahoma"/>
        </w:rPr>
        <w:t>.º</w:t>
      </w:r>
      <w:proofErr w:type="gramEnd"/>
      <w:r w:rsidRPr="00CD2147">
        <w:rPr>
          <w:rFonts w:ascii="Tahoma" w:hAnsi="Tahoma" w:cs="Tahoma"/>
        </w:rPr>
        <w:t xml:space="preserve"> 123 D/ABSTO/1ra Brig. </w:t>
      </w:r>
      <w:proofErr w:type="spellStart"/>
      <w:r w:rsidRPr="00CD2147">
        <w:rPr>
          <w:rFonts w:ascii="Tahoma" w:hAnsi="Tahoma" w:cs="Tahoma"/>
        </w:rPr>
        <w:t>Inf</w:t>
      </w:r>
      <w:proofErr w:type="spellEnd"/>
      <w:r w:rsidRPr="00CD2147">
        <w:rPr>
          <w:rFonts w:ascii="Tahoma" w:hAnsi="Tahoma" w:cs="Tahoma"/>
        </w:rPr>
        <w:t xml:space="preserve">. </w:t>
      </w:r>
      <w:proofErr w:type="spellStart"/>
      <w:r w:rsidRPr="00CD2147">
        <w:rPr>
          <w:rFonts w:ascii="Tahoma" w:hAnsi="Tahoma" w:cs="Tahoma"/>
        </w:rPr>
        <w:t>Rfzada</w:t>
      </w:r>
      <w:proofErr w:type="spellEnd"/>
      <w:r w:rsidRPr="00CD2147">
        <w:rPr>
          <w:rFonts w:ascii="Tahoma" w:hAnsi="Tahoma" w:cs="Tahoma"/>
        </w:rPr>
        <w:t xml:space="preserve">, notificado el 14 de junio de 2007, se le citó al </w:t>
      </w:r>
      <w:r>
        <w:rPr>
          <w:rFonts w:ascii="Tahoma" w:hAnsi="Tahoma" w:cs="Tahoma"/>
        </w:rPr>
        <w:t>Postor</w:t>
      </w:r>
      <w:r w:rsidRPr="00CD2147">
        <w:rPr>
          <w:rFonts w:ascii="Tahoma" w:hAnsi="Tahoma" w:cs="Tahoma"/>
        </w:rPr>
        <w:t xml:space="preserve"> para suscribir el contrato respectivo desde el 15 hasta el 28 de junio de 2007, es decir, dentro de los diez días hábiles posteriores a la notificación realizada.</w:t>
      </w:r>
    </w:p>
    <w:p w:rsidR="000A2134" w:rsidRPr="00CD2147" w:rsidRDefault="000A2134" w:rsidP="000A2134">
      <w:pPr>
        <w:jc w:val="both"/>
        <w:rPr>
          <w:rFonts w:ascii="Tahoma" w:hAnsi="Tahoma" w:cs="Tahoma"/>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Habiéndose vencido el plazo para la suscripción del contrato, sin que el Postor se haya presentado para dichos fines, éste perdió automáticamente la Buen Pro otorgada y, mediante Oficio N</w:t>
      </w:r>
      <w:proofErr w:type="gramStart"/>
      <w:r w:rsidRPr="00CD2147">
        <w:rPr>
          <w:rFonts w:ascii="Tahoma" w:hAnsi="Tahoma" w:cs="Tahoma"/>
        </w:rPr>
        <w:t>.º</w:t>
      </w:r>
      <w:proofErr w:type="gramEnd"/>
      <w:r w:rsidRPr="00CD2147">
        <w:rPr>
          <w:rFonts w:ascii="Tahoma" w:hAnsi="Tahoma" w:cs="Tahoma"/>
        </w:rPr>
        <w:t xml:space="preserve"> 145 1ra Brig. </w:t>
      </w:r>
      <w:proofErr w:type="spellStart"/>
      <w:r w:rsidRPr="00CD2147">
        <w:rPr>
          <w:rFonts w:ascii="Tahoma" w:hAnsi="Tahoma" w:cs="Tahoma"/>
        </w:rPr>
        <w:t>Inf</w:t>
      </w:r>
      <w:proofErr w:type="spellEnd"/>
      <w:r w:rsidRPr="00CD2147">
        <w:rPr>
          <w:rFonts w:ascii="Tahoma" w:hAnsi="Tahoma" w:cs="Tahoma"/>
        </w:rPr>
        <w:t xml:space="preserve">. </w:t>
      </w:r>
      <w:proofErr w:type="spellStart"/>
      <w:r w:rsidRPr="00CD2147">
        <w:rPr>
          <w:rFonts w:ascii="Tahoma" w:hAnsi="Tahoma" w:cs="Tahoma"/>
        </w:rPr>
        <w:t>Rfzada</w:t>
      </w:r>
      <w:proofErr w:type="spellEnd"/>
      <w:r w:rsidRPr="00CD2147">
        <w:rPr>
          <w:rFonts w:ascii="Tahoma" w:hAnsi="Tahoma" w:cs="Tahoma"/>
        </w:rPr>
        <w:t>/09.00 de fecha 12 de julio de 2007 se comunicó los hechos antes descritos al Tribunal de Contrataciones y Adquisiciones del Estado.</w:t>
      </w:r>
    </w:p>
    <w:p w:rsidR="000A2134" w:rsidRPr="00CD2147" w:rsidRDefault="000A2134" w:rsidP="000A2134">
      <w:pPr>
        <w:pStyle w:val="Prrafodelista"/>
        <w:rPr>
          <w:rFonts w:ascii="Tahoma" w:hAnsi="Tahoma" w:cs="Tahoma"/>
          <w:sz w:val="20"/>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 xml:space="preserve">Mediante Decreto de fecha 16 de julio de 2007 se dispuso iniciar el procedimiento administrativo sancionador contra </w:t>
      </w:r>
      <w:r>
        <w:rPr>
          <w:rFonts w:ascii="Tahoma" w:hAnsi="Tahoma" w:cs="Tahoma"/>
        </w:rPr>
        <w:t>el Postor</w:t>
      </w:r>
      <w:r w:rsidRPr="00CD2147">
        <w:rPr>
          <w:rFonts w:ascii="Tahoma" w:hAnsi="Tahoma" w:cs="Tahoma"/>
        </w:rPr>
        <w:t>, por supuesta responsabilidad en la no suscripción injustificada de contrato, derivado de Licitación Pública por Subasta Inversa № 001-2007-EP/UO 0804 – Primera Convocatoria, otorgándoles el plazo de diez días hábiles para que presente sus descargos, bajo apercibimiento de resolver con la documentación obrante en autos.</w:t>
      </w:r>
    </w:p>
    <w:p w:rsidR="000A2134" w:rsidRPr="00CD2147" w:rsidRDefault="000A2134" w:rsidP="000A2134">
      <w:pPr>
        <w:jc w:val="both"/>
        <w:rPr>
          <w:rFonts w:ascii="Tahoma" w:hAnsi="Tahoma" w:cs="Tahoma"/>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 xml:space="preserve">Al no haber cumplido el </w:t>
      </w:r>
      <w:r>
        <w:rPr>
          <w:rFonts w:ascii="Tahoma" w:hAnsi="Tahoma" w:cs="Tahoma"/>
        </w:rPr>
        <w:t>Postor</w:t>
      </w:r>
      <w:r w:rsidRPr="00CD2147">
        <w:rPr>
          <w:rFonts w:ascii="Tahoma" w:hAnsi="Tahoma" w:cs="Tahoma"/>
        </w:rPr>
        <w:t xml:space="preserve"> con presentar sus descargos en el plazo otorgado, mediante decreto de fecha 14 de agosto de 2007 se hizo efectivo el apercibimiento de resolver con la documentación obrante en autos y se remitió el expediente a la Tercera Sala del Tribunal para que emita pronunciamiento.</w:t>
      </w:r>
    </w:p>
    <w:p w:rsidR="000A2134" w:rsidRPr="00CD2147" w:rsidRDefault="000A2134" w:rsidP="000A2134">
      <w:pPr>
        <w:pStyle w:val="Prrafodelista"/>
        <w:rPr>
          <w:rFonts w:ascii="Tahoma" w:hAnsi="Tahoma" w:cs="Tahoma"/>
          <w:sz w:val="20"/>
        </w:rPr>
      </w:pPr>
    </w:p>
    <w:p w:rsidR="000A2134" w:rsidRPr="00CD2147" w:rsidRDefault="000A2134" w:rsidP="000A2134">
      <w:pPr>
        <w:numPr>
          <w:ilvl w:val="0"/>
          <w:numId w:val="4"/>
        </w:numPr>
        <w:tabs>
          <w:tab w:val="num" w:pos="540"/>
        </w:tabs>
        <w:ind w:left="540" w:hanging="540"/>
        <w:jc w:val="both"/>
        <w:rPr>
          <w:rFonts w:ascii="Tahoma" w:hAnsi="Tahoma" w:cs="Tahoma"/>
        </w:rPr>
      </w:pPr>
      <w:r w:rsidRPr="00CD2147">
        <w:rPr>
          <w:rFonts w:ascii="Tahoma" w:hAnsi="Tahoma" w:cs="Tahoma"/>
        </w:rPr>
        <w:t xml:space="preserve">Mediante escrito de fecha 21 de setiembre de 2007, el </w:t>
      </w:r>
      <w:r>
        <w:rPr>
          <w:rFonts w:ascii="Tahoma" w:hAnsi="Tahoma" w:cs="Tahoma"/>
        </w:rPr>
        <w:t xml:space="preserve">Postor </w:t>
      </w:r>
      <w:r w:rsidRPr="00CD2147">
        <w:rPr>
          <w:rFonts w:ascii="Tahoma" w:hAnsi="Tahoma" w:cs="Tahoma"/>
        </w:rPr>
        <w:t xml:space="preserve"> informó que por motivos de fuerza mayor y caso fortuito no se pudo cumplir con la suscripción del contrato, debido a que la salud del gerente general se resquebrajó, por lo tanto, solic</w:t>
      </w:r>
      <w:r>
        <w:rPr>
          <w:rFonts w:ascii="Tahoma" w:hAnsi="Tahoma" w:cs="Tahoma"/>
        </w:rPr>
        <w:t>i</w:t>
      </w:r>
      <w:r w:rsidRPr="00CD2147">
        <w:rPr>
          <w:rFonts w:ascii="Tahoma" w:hAnsi="Tahoma" w:cs="Tahoma"/>
        </w:rPr>
        <w:t>ta se deje sin efecto cualquier sanción administrativa al no haber existido dolo ni mala intención entre las partes</w:t>
      </w:r>
    </w:p>
    <w:p w:rsidR="000A2134" w:rsidRPr="00390AA8" w:rsidRDefault="000A2134" w:rsidP="000A2134">
      <w:pPr>
        <w:jc w:val="both"/>
        <w:rPr>
          <w:rFonts w:ascii="Tahoma" w:hAnsi="Tahoma" w:cs="Tahoma"/>
        </w:rPr>
      </w:pPr>
    </w:p>
    <w:p w:rsidR="000A2134" w:rsidRDefault="000A2134" w:rsidP="000A2134">
      <w:pPr>
        <w:jc w:val="both"/>
        <w:rPr>
          <w:rFonts w:ascii="Tahoma" w:hAnsi="Tahoma" w:cs="Tahoma"/>
          <w:b/>
          <w:shadow/>
        </w:rPr>
      </w:pPr>
      <w:r w:rsidRPr="00016A88">
        <w:rPr>
          <w:rFonts w:ascii="Tahoma" w:hAnsi="Tahoma" w:cs="Tahoma"/>
          <w:b/>
          <w:shadow/>
        </w:rPr>
        <w:t>FUNDAMENTACIÓN:</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 xml:space="preserve">El presente procedimiento está referido a la supuesta responsabilidad de la empresa REAL PERU TRADING S.A.C., </w:t>
      </w:r>
      <w:r w:rsidRPr="00CD2147">
        <w:rPr>
          <w:rFonts w:ascii="Tahoma" w:hAnsi="Tahoma" w:cs="Tahoma"/>
          <w:lang w:val="es-PE"/>
        </w:rPr>
        <w:t xml:space="preserve">por no suscribir injustificadamente el contrato, respecto de los ítems </w:t>
      </w:r>
      <w:proofErr w:type="spellStart"/>
      <w:r w:rsidRPr="00CD2147">
        <w:rPr>
          <w:rFonts w:ascii="Tahoma" w:hAnsi="Tahoma" w:cs="Tahoma"/>
          <w:lang w:val="es-PE"/>
        </w:rPr>
        <w:t>Nros</w:t>
      </w:r>
      <w:proofErr w:type="spellEnd"/>
      <w:r w:rsidRPr="00CD2147">
        <w:rPr>
          <w:rFonts w:ascii="Tahoma" w:hAnsi="Tahoma" w:cs="Tahoma"/>
          <w:lang w:val="es-PE"/>
        </w:rPr>
        <w:t xml:space="preserve"> 1 al 5 de la </w:t>
      </w:r>
      <w:r w:rsidRPr="00CD2147">
        <w:rPr>
          <w:rFonts w:ascii="Tahoma" w:hAnsi="Tahoma" w:cs="Tahoma"/>
        </w:rPr>
        <w:t>Adjudicación Directa Pública N</w:t>
      </w:r>
      <w:proofErr w:type="gramStart"/>
      <w:r w:rsidRPr="00CD2147">
        <w:rPr>
          <w:rFonts w:ascii="Tahoma" w:hAnsi="Tahoma" w:cs="Tahoma"/>
        </w:rPr>
        <w:t>.º</w:t>
      </w:r>
      <w:proofErr w:type="gramEnd"/>
      <w:r w:rsidRPr="00CD2147">
        <w:rPr>
          <w:rFonts w:ascii="Tahoma" w:hAnsi="Tahoma" w:cs="Tahoma"/>
        </w:rPr>
        <w:t xml:space="preserve"> 0018-2006-RTL/PETROPERU, infracción tipificada en el numeral 1) del artículo 294 del Reglamento de la Ley de Contrataciones y Adquisiciones del Estado, aprobado por Decreto Supremo N.° 084-2004-PCM, en adelante el Reglamento, norma vigente al suscitarse los hechos.</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CD2147">
        <w:rPr>
          <w:rFonts w:ascii="Tahoma" w:hAnsi="Tahoma" w:cs="Tahoma"/>
          <w:lang w:val="es-ES_tradnl"/>
        </w:rPr>
        <w:t>el citado dispositivo reglamentario precisa que, e</w:t>
      </w:r>
      <w:r w:rsidRPr="00CD2147">
        <w:rPr>
          <w:rFonts w:ascii="Tahoma" w:hAnsi="Tahoma" w:cs="Tahoma"/>
        </w:rPr>
        <w:t>n caso de que el postor no se presente dentro del plazo otorgado, perderá automáticamente la buena pro, sin perjuicio de la imposición administrativamente aplicable.</w:t>
      </w:r>
    </w:p>
    <w:p w:rsidR="000A2134" w:rsidRPr="00CD2147" w:rsidRDefault="000A2134" w:rsidP="000A2134">
      <w:pPr>
        <w:jc w:val="both"/>
        <w:rPr>
          <w:rFonts w:ascii="Tahoma" w:hAnsi="Tahoma" w:cs="Tahoma"/>
        </w:rPr>
      </w:pPr>
    </w:p>
    <w:p w:rsidR="000A2134" w:rsidRPr="00CD2147" w:rsidRDefault="000A2134" w:rsidP="000A2134">
      <w:pPr>
        <w:ind w:left="540"/>
        <w:jc w:val="both"/>
        <w:rPr>
          <w:rFonts w:ascii="Tahoma" w:hAnsi="Tahoma" w:cs="Tahoma"/>
          <w:lang w:val="es-ES_tradnl"/>
        </w:rPr>
      </w:pPr>
      <w:r w:rsidRPr="00CD2147">
        <w:rPr>
          <w:rFonts w:ascii="Tahoma" w:hAnsi="Tahoma" w:cs="Tahoma"/>
          <w:lang w:val="es-ES_tradnl"/>
        </w:rPr>
        <w:t xml:space="preserve">El cumplimiento de este procedimiento es </w:t>
      </w:r>
      <w:r w:rsidRPr="00CD2147">
        <w:rPr>
          <w:rFonts w:ascii="Tahoma" w:hAnsi="Tahoma" w:cs="Tahoma"/>
          <w:b/>
          <w:i/>
          <w:lang w:val="es-ES_tradnl"/>
        </w:rPr>
        <w:t>condición necesaria</w:t>
      </w:r>
      <w:r w:rsidRPr="00CD2147">
        <w:rPr>
          <w:rFonts w:ascii="Tahoma" w:hAnsi="Tahoma" w:cs="Tahoma"/>
          <w:lang w:val="es-ES_tradnl"/>
        </w:rPr>
        <w:t xml:space="preserve"> para evaluar la existencia de eventuales responsabilidades por la comisión de la infracción tipificada e</w:t>
      </w:r>
      <w:r>
        <w:rPr>
          <w:rFonts w:ascii="Tahoma" w:hAnsi="Tahoma" w:cs="Tahoma"/>
          <w:lang w:val="es-ES_tradnl"/>
        </w:rPr>
        <w:t>n el numeral 1) del artículo 294</w:t>
      </w:r>
      <w:r w:rsidRPr="00CD2147">
        <w:rPr>
          <w:rFonts w:ascii="Tahoma" w:hAnsi="Tahoma" w:cs="Tahoma"/>
          <w:lang w:val="es-ES_tradnl"/>
        </w:rPr>
        <w:t xml:space="preserve"> del Reglamento.</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lang w:val="es-ES_tradnl"/>
        </w:rPr>
      </w:pPr>
      <w:r w:rsidRPr="00CD2147">
        <w:rPr>
          <w:rFonts w:ascii="Tahoma" w:hAnsi="Tahoma" w:cs="Tahoma"/>
          <w:lang w:val="es-ES_tradnl"/>
        </w:rPr>
        <w:t>En ese sentido, corresponde determinar de manera previa, si la Entidad ha seguido el debido procedimiento para suscribir el contrato. En tal sentido, cabe señalar que el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 El artículo 203 del Reglamento es imperativo al otorgar dicho plazo, el cual deber ser respetado por las Entidades, más aún, tratándose de un plazo que ha sido otorgado en beneficio de los administrados.</w:t>
      </w:r>
    </w:p>
    <w:p w:rsidR="000A2134" w:rsidRPr="00CD2147" w:rsidRDefault="000A2134" w:rsidP="000A2134">
      <w:pPr>
        <w:jc w:val="both"/>
        <w:rPr>
          <w:rFonts w:ascii="Tahoma" w:hAnsi="Tahoma" w:cs="Tahoma"/>
          <w:lang w:val="es-ES_tradnl"/>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lang w:val="es-ES_tradnl"/>
        </w:rPr>
        <w:t>En el presente caso, la Entidad señaló que mediante</w:t>
      </w:r>
      <w:r w:rsidRPr="00CD2147">
        <w:rPr>
          <w:rFonts w:ascii="Tahoma" w:hAnsi="Tahoma" w:cs="Tahoma"/>
        </w:rPr>
        <w:t xml:space="preserve"> </w:t>
      </w:r>
      <w:r>
        <w:rPr>
          <w:rFonts w:ascii="Tahoma" w:hAnsi="Tahoma" w:cs="Tahoma"/>
        </w:rPr>
        <w:t>O</w:t>
      </w:r>
      <w:r w:rsidRPr="00CD2147">
        <w:rPr>
          <w:rFonts w:ascii="Tahoma" w:hAnsi="Tahoma" w:cs="Tahoma"/>
        </w:rPr>
        <w:t>ficio N</w:t>
      </w:r>
      <w:proofErr w:type="gramStart"/>
      <w:r w:rsidRPr="00CD2147">
        <w:rPr>
          <w:rFonts w:ascii="Tahoma" w:hAnsi="Tahoma" w:cs="Tahoma"/>
        </w:rPr>
        <w:t>.º</w:t>
      </w:r>
      <w:proofErr w:type="gramEnd"/>
      <w:r w:rsidRPr="00CD2147">
        <w:rPr>
          <w:rFonts w:ascii="Tahoma" w:hAnsi="Tahoma" w:cs="Tahoma"/>
        </w:rPr>
        <w:t xml:space="preserve"> 123 D/ABSTO/1ra Brig. </w:t>
      </w:r>
      <w:proofErr w:type="spellStart"/>
      <w:r w:rsidRPr="00CD2147">
        <w:rPr>
          <w:rFonts w:ascii="Tahoma" w:hAnsi="Tahoma" w:cs="Tahoma"/>
        </w:rPr>
        <w:t>Inf</w:t>
      </w:r>
      <w:proofErr w:type="spellEnd"/>
      <w:r w:rsidRPr="00CD2147">
        <w:rPr>
          <w:rFonts w:ascii="Tahoma" w:hAnsi="Tahoma" w:cs="Tahoma"/>
        </w:rPr>
        <w:t xml:space="preserve">. </w:t>
      </w:r>
      <w:proofErr w:type="spellStart"/>
      <w:r w:rsidRPr="00CD2147">
        <w:rPr>
          <w:rFonts w:ascii="Tahoma" w:hAnsi="Tahoma" w:cs="Tahoma"/>
        </w:rPr>
        <w:t>Rfzada</w:t>
      </w:r>
      <w:proofErr w:type="spellEnd"/>
      <w:r w:rsidRPr="00CD2147">
        <w:rPr>
          <w:rFonts w:ascii="Tahoma" w:hAnsi="Tahoma" w:cs="Tahoma"/>
        </w:rPr>
        <w:t>, notificado el 14 de junio de 2007</w:t>
      </w:r>
      <w:r w:rsidRPr="00CD2147">
        <w:rPr>
          <w:rFonts w:ascii="Tahoma" w:hAnsi="Tahoma" w:cs="Tahoma"/>
          <w:lang w:val="es-ES_tradnl"/>
        </w:rPr>
        <w:t xml:space="preserve">, se citó al Postor para </w:t>
      </w:r>
      <w:r>
        <w:rPr>
          <w:rFonts w:ascii="Tahoma" w:hAnsi="Tahoma" w:cs="Tahoma"/>
          <w:lang w:val="es-ES_tradnl"/>
        </w:rPr>
        <w:t xml:space="preserve">que en el plazo otorgado proceda a </w:t>
      </w:r>
      <w:r w:rsidRPr="00CD2147">
        <w:rPr>
          <w:rFonts w:ascii="Tahoma" w:hAnsi="Tahoma" w:cs="Tahoma"/>
          <w:lang w:val="es-ES_tradnl"/>
        </w:rPr>
        <w:t xml:space="preserve">la respectiva firma del contrato, el cual a pesar de dicha comunicación debidamente diligenciada, no se apersonó para la realización del </w:t>
      </w:r>
      <w:r w:rsidRPr="00CD2147">
        <w:rPr>
          <w:rFonts w:ascii="Tahoma" w:hAnsi="Tahoma" w:cs="Tahoma"/>
        </w:rPr>
        <w:t xml:space="preserve">acto jurídico contractual, por lo que la Entidad le revocó la buena pro. </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 xml:space="preserve">En razón a lo expuesto, habiéndose verificado que la Entidad cumplió las formalidades y procedimientos para la suscripción del contrato, corresponde a este Colegiado determinar si dicha omisión resultó justificada o no, en tanto que solamente la no suscripción que obedece a causas injustificadas atribuibles al Postor es sancionable administrativamente.  </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 xml:space="preserve">Al respecto, este Colegiado se encuentra imposibilitado de evaluar los hechos que puedan justificar la no suscripción del contrato puesto que, el Postor </w:t>
      </w:r>
      <w:r>
        <w:rPr>
          <w:rFonts w:ascii="Tahoma" w:hAnsi="Tahoma" w:cs="Tahoma"/>
        </w:rPr>
        <w:t xml:space="preserve">sólo se ha limitado a presentar como argumento justificante a la no suscripción, que </w:t>
      </w:r>
      <w:r w:rsidRPr="00CD2147">
        <w:rPr>
          <w:rFonts w:ascii="Tahoma" w:hAnsi="Tahoma" w:cs="Tahoma"/>
        </w:rPr>
        <w:t>la salud de</w:t>
      </w:r>
      <w:r>
        <w:rPr>
          <w:rFonts w:ascii="Tahoma" w:hAnsi="Tahoma" w:cs="Tahoma"/>
        </w:rPr>
        <w:t xml:space="preserve"> su</w:t>
      </w:r>
      <w:r w:rsidRPr="00CD2147">
        <w:rPr>
          <w:rFonts w:ascii="Tahoma" w:hAnsi="Tahoma" w:cs="Tahoma"/>
        </w:rPr>
        <w:t xml:space="preserve"> gerente general se resquebrajó</w:t>
      </w:r>
      <w:r>
        <w:rPr>
          <w:rFonts w:ascii="Tahoma" w:hAnsi="Tahoma" w:cs="Tahoma"/>
        </w:rPr>
        <w:t xml:space="preserve">, por tal motivo no asistió a la firma de contrato, sin adjuntar medio probatorio que así lo corrobore, no </w:t>
      </w:r>
      <w:r>
        <w:rPr>
          <w:rFonts w:ascii="Tahoma" w:hAnsi="Tahoma" w:cs="Tahoma"/>
        </w:rPr>
        <w:lastRenderedPageBreak/>
        <w:t>constituyéndose lo alegado como</w:t>
      </w:r>
      <w:r w:rsidRPr="00CD2147">
        <w:rPr>
          <w:rFonts w:ascii="Tahoma" w:hAnsi="Tahoma" w:cs="Tahoma"/>
        </w:rPr>
        <w:t xml:space="preserve"> medio defensa alguno que desvirtúe lo hasta aquí probado, a pesar de haber sido requerido válidamente para dichos fines, en tal sentido, le es aplicable la presunción legal</w:t>
      </w:r>
      <w:r w:rsidRPr="00CD2147">
        <w:rPr>
          <w:rStyle w:val="Refdenotaalpie"/>
          <w:rFonts w:cs="Tahoma"/>
        </w:rPr>
        <w:footnoteReference w:id="2"/>
      </w:r>
      <w:r w:rsidRPr="00CD2147">
        <w:rPr>
          <w:rFonts w:ascii="Tahoma" w:hAnsi="Tahoma" w:cs="Tahoma"/>
        </w:rPr>
        <w:t xml:space="preserve"> de que éste incumplimiento se produjo por la falta de diligencia del postor adjudicado con la buena pro, lo cual implica que es su deber demostrar lo contrario. Es decir, acreditar que, no obstante haber actuado con la diligencia ordinaria le fue imposible suscribir el contrato respectivo debido a factores ajenos a su voluntad por haber mediado caso fortuito o fuerza mayor, situación que no ocurrió en el presente caso.</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Asimismo, a modo de aclaración, es conveniente señalar que el caso fortuito o la fuerza mayor constituyen figuras previstas por el ordenamiento jurídico y son definidas, por lo general, como sucesos o acontecimientos inopinados e imprevistos o cuyo resultado, siendo previsibles, no han podido evitarse o resistirse</w:t>
      </w:r>
      <w:r w:rsidRPr="00CD2147">
        <w:rPr>
          <w:rStyle w:val="Refdenotaalpie"/>
          <w:rFonts w:cs="Tahoma"/>
        </w:rPr>
        <w:footnoteReference w:id="3"/>
      </w:r>
      <w:r>
        <w:rPr>
          <w:rFonts w:ascii="Tahoma" w:hAnsi="Tahoma" w:cs="Tahoma"/>
        </w:rPr>
        <w:t xml:space="preserve"> y que adicionalmente impidan la presencia del postor para la suscripción contractual.</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Teniendo en cuenta lo antes desarrollado, se concluye que el Postor incurrió en responsabilidad administrativa por la comisión de la infracción imputada, al no haber alegado una causa justificada que lo exima de sanción.</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 xml:space="preserve">En relación a la graduación de la sanción imponible, es preciso señalar que el artículo 294 del Reglamento establece que aquellos postores que no suscriban injustificadamente el contrato correspondiente serán sancionados con inhabilitación temporal para contratar con el Estado por un periodo no menor de  un (01) año ni mayor de dos (02) años.  </w:t>
      </w:r>
    </w:p>
    <w:p w:rsidR="000A2134" w:rsidRPr="00CD2147" w:rsidRDefault="000A2134" w:rsidP="000A2134">
      <w:pPr>
        <w:jc w:val="both"/>
        <w:rPr>
          <w:rFonts w:ascii="Tahoma" w:hAnsi="Tahoma" w:cs="Tahoma"/>
        </w:rPr>
      </w:pPr>
    </w:p>
    <w:p w:rsidR="000A2134" w:rsidRPr="00CD2147" w:rsidRDefault="000A2134" w:rsidP="000A2134">
      <w:pPr>
        <w:numPr>
          <w:ilvl w:val="0"/>
          <w:numId w:val="5"/>
        </w:numPr>
        <w:tabs>
          <w:tab w:val="clear" w:pos="360"/>
          <w:tab w:val="num" w:pos="540"/>
        </w:tabs>
        <w:ind w:left="540" w:hanging="540"/>
        <w:jc w:val="both"/>
        <w:rPr>
          <w:rFonts w:ascii="Tahoma" w:hAnsi="Tahoma" w:cs="Tahoma"/>
        </w:rPr>
      </w:pPr>
      <w:r w:rsidRPr="00CD2147">
        <w:rPr>
          <w:rFonts w:ascii="Tahoma" w:hAnsi="Tahoma" w:cs="Tahoma"/>
        </w:rPr>
        <w:t>Sobre el particular, en aplicación a lo dispuesto en el numeral 3 del artículo 230</w:t>
      </w:r>
      <w:r w:rsidRPr="00CD2147">
        <w:rPr>
          <w:rFonts w:ascii="Tahoma" w:hAnsi="Tahoma" w:cs="Tahoma"/>
          <w:vertAlign w:val="superscript"/>
        </w:rPr>
        <w:footnoteReference w:id="4"/>
      </w:r>
      <w:r w:rsidRPr="00CD2147">
        <w:rPr>
          <w:rFonts w:ascii="Tahoma" w:hAnsi="Tahoma" w:cs="Tahoma"/>
        </w:rPr>
        <w:t xml:space="preserve"> de la Ley del Procedimiento Administrativo General, referido al principio de razonabilidad, y en concordancia con el artículo 302 del Reglamento, que establece como factores a ser tomados en cuenta la intencionalidad, </w:t>
      </w:r>
      <w:proofErr w:type="spellStart"/>
      <w:r w:rsidRPr="00CD2147">
        <w:rPr>
          <w:rFonts w:ascii="Tahoma" w:hAnsi="Tahoma" w:cs="Tahoma"/>
        </w:rPr>
        <w:t>reiterancia</w:t>
      </w:r>
      <w:proofErr w:type="spellEnd"/>
      <w:r w:rsidRPr="00CD2147">
        <w:rPr>
          <w:rFonts w:ascii="Tahoma" w:hAnsi="Tahoma" w:cs="Tahoma"/>
        </w:rPr>
        <w:t>, daño causado, circunstancias y conducta procesal del infractor, debe considerarse para este caso, el flagrante incumplimiento por parte del Postor en no su</w:t>
      </w:r>
      <w:r>
        <w:rPr>
          <w:rFonts w:ascii="Tahoma" w:hAnsi="Tahoma" w:cs="Tahoma"/>
        </w:rPr>
        <w:t>scribir el contrato respectivo</w:t>
      </w:r>
      <w:r w:rsidRPr="00CD2147">
        <w:rPr>
          <w:rFonts w:ascii="Tahoma" w:hAnsi="Tahoma" w:cs="Tahoma"/>
        </w:rPr>
        <w:t xml:space="preserve">, así como el perjuicio que dicho incumplimiento causó a la Entidad, al presentarse a un proceso de selección y no cumplir con vincularse contractualmente  en su condición de ganador de la Buena Pro, habiendo sido el único participante en el mencionado proceso. Asimismo, atendiendo a la naturaleza de la infracción cometida, el monto del valor referencial  involucrado en el proceso de selección y el hecho que el Postor carece de antecedentes en lo que respecta a haber sido inhabilitado por contratar con el Estado, este Tribunal considera pertinente imponer dieciséis meses de sanción administrativa.              </w:t>
      </w:r>
    </w:p>
    <w:p w:rsidR="000A2134" w:rsidRDefault="000A2134" w:rsidP="000A2134">
      <w:pPr>
        <w:jc w:val="both"/>
        <w:rPr>
          <w:rFonts w:ascii="Tahoma" w:hAnsi="Tahoma" w:cs="Tahoma"/>
          <w:b/>
          <w:shadow/>
        </w:rPr>
      </w:pPr>
    </w:p>
    <w:p w:rsidR="00B91D71" w:rsidRDefault="00B91D71" w:rsidP="000A2134">
      <w:pPr>
        <w:jc w:val="both"/>
        <w:rPr>
          <w:rFonts w:ascii="Tahoma" w:hAnsi="Tahoma" w:cs="Tahoma"/>
          <w:b/>
          <w:shadow/>
        </w:rPr>
      </w:pPr>
    </w:p>
    <w:p w:rsidR="000A2134" w:rsidRPr="00016A88" w:rsidRDefault="000A2134" w:rsidP="000A2134">
      <w:pPr>
        <w:jc w:val="both"/>
        <w:rPr>
          <w:rFonts w:ascii="Tahoma" w:hAnsi="Tahoma" w:cs="Tahoma"/>
        </w:rPr>
      </w:pPr>
      <w:r w:rsidRPr="00016A88">
        <w:rPr>
          <w:rFonts w:ascii="Tahoma" w:hAnsi="Tahoma" w:cs="Tahoma"/>
        </w:rPr>
        <w:lastRenderedPageBreak/>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la Tercera Sala del Tribunal de Contrataciones y Adquisiciones del Estado, según lo dispuesto en la Resolución N.º 279-2007-CONSUCODE/PRE de fecha 21 de mayo de 2007,</w:t>
      </w:r>
      <w:r>
        <w:rPr>
          <w:rFonts w:ascii="Tahoma" w:hAnsi="Tahoma" w:cs="Tahoma"/>
        </w:rPr>
        <w:t xml:space="preserve"> </w:t>
      </w:r>
      <w:r w:rsidRPr="00016A88">
        <w:rPr>
          <w:rFonts w:ascii="Tahoma" w:hAnsi="Tahoma" w:cs="Tahoma"/>
        </w:rPr>
        <w:t>y de conformidad con las facultades conferidas en los artículos 53, 59 y 61 del Texto Único Ordenado de la Ley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0A2134" w:rsidRDefault="000A2134" w:rsidP="000A2134">
      <w:pPr>
        <w:tabs>
          <w:tab w:val="num" w:pos="360"/>
        </w:tabs>
        <w:jc w:val="both"/>
        <w:rPr>
          <w:rFonts w:ascii="Tahoma" w:hAnsi="Tahoma" w:cs="Tahoma"/>
          <w:b/>
          <w:shadow/>
        </w:rPr>
      </w:pPr>
    </w:p>
    <w:p w:rsidR="000A2134" w:rsidRPr="00016A88" w:rsidRDefault="000A2134" w:rsidP="000A2134">
      <w:pPr>
        <w:tabs>
          <w:tab w:val="num" w:pos="360"/>
        </w:tabs>
        <w:jc w:val="both"/>
        <w:rPr>
          <w:rFonts w:ascii="Tahoma" w:hAnsi="Tahoma" w:cs="Tahoma"/>
          <w:b/>
          <w:shadow/>
        </w:rPr>
      </w:pPr>
    </w:p>
    <w:p w:rsidR="000A2134" w:rsidRDefault="000A2134" w:rsidP="000A2134">
      <w:pPr>
        <w:tabs>
          <w:tab w:val="num" w:pos="360"/>
        </w:tabs>
        <w:ind w:left="-180" w:firstLine="180"/>
        <w:jc w:val="both"/>
        <w:rPr>
          <w:rFonts w:ascii="Tahoma" w:hAnsi="Tahoma" w:cs="Tahoma"/>
          <w:b/>
          <w:shadow/>
        </w:rPr>
      </w:pPr>
      <w:r w:rsidRPr="00016A88">
        <w:rPr>
          <w:rFonts w:ascii="Tahoma" w:hAnsi="Tahoma" w:cs="Tahoma"/>
          <w:b/>
          <w:shadow/>
        </w:rPr>
        <w:t>LA SALA RESUELVE:</w:t>
      </w:r>
    </w:p>
    <w:p w:rsidR="000A2134" w:rsidRPr="00016A88" w:rsidRDefault="000A2134" w:rsidP="000A2134">
      <w:pPr>
        <w:tabs>
          <w:tab w:val="num" w:pos="360"/>
        </w:tabs>
        <w:ind w:left="-180" w:firstLine="180"/>
        <w:jc w:val="both"/>
        <w:rPr>
          <w:rFonts w:ascii="Tahoma" w:hAnsi="Tahoma" w:cs="Tahoma"/>
          <w:b/>
          <w:shadow/>
        </w:rPr>
      </w:pPr>
    </w:p>
    <w:p w:rsidR="000A2134" w:rsidRPr="00CD2147" w:rsidRDefault="000A2134" w:rsidP="000A2134">
      <w:pPr>
        <w:pStyle w:val="Textoindependiente"/>
        <w:widowControl/>
        <w:numPr>
          <w:ilvl w:val="0"/>
          <w:numId w:val="6"/>
        </w:numPr>
        <w:tabs>
          <w:tab w:val="clear" w:pos="720"/>
          <w:tab w:val="num" w:pos="360"/>
        </w:tabs>
        <w:suppressAutoHyphens w:val="0"/>
        <w:ind w:left="540"/>
        <w:rPr>
          <w:rFonts w:cs="Tahoma"/>
          <w:sz w:val="20"/>
        </w:rPr>
      </w:pPr>
      <w:r w:rsidRPr="00CD2147">
        <w:rPr>
          <w:rFonts w:cs="Tahoma"/>
          <w:sz w:val="20"/>
        </w:rPr>
        <w:t xml:space="preserve"> </w:t>
      </w:r>
      <w:r>
        <w:rPr>
          <w:rFonts w:cs="Tahoma"/>
          <w:sz w:val="20"/>
        </w:rPr>
        <w:t xml:space="preserve">  </w:t>
      </w:r>
      <w:r w:rsidRPr="00CD2147">
        <w:rPr>
          <w:rFonts w:cs="Tahoma"/>
          <w:sz w:val="20"/>
        </w:rPr>
        <w:t xml:space="preserve">Sancionar a la empresa </w:t>
      </w:r>
      <w:r w:rsidRPr="001C7BE7">
        <w:rPr>
          <w:rFonts w:cs="Tahoma"/>
          <w:b/>
          <w:sz w:val="20"/>
        </w:rPr>
        <w:t>REAL PERU TRADING S.A.C.</w:t>
      </w:r>
      <w:r>
        <w:rPr>
          <w:rFonts w:cs="Tahoma"/>
          <w:sz w:val="20"/>
        </w:rPr>
        <w:t xml:space="preserve"> </w:t>
      </w:r>
      <w:r w:rsidRPr="00CD2147">
        <w:rPr>
          <w:rFonts w:cs="Tahoma"/>
          <w:sz w:val="20"/>
        </w:rPr>
        <w:t xml:space="preserve">con </w:t>
      </w:r>
      <w:proofErr w:type="spellStart"/>
      <w:r w:rsidRPr="00CD2147">
        <w:rPr>
          <w:rFonts w:cs="Tahoma"/>
          <w:b/>
          <w:sz w:val="20"/>
        </w:rPr>
        <w:t>dieciseis</w:t>
      </w:r>
      <w:proofErr w:type="spellEnd"/>
      <w:r w:rsidRPr="00CD2147">
        <w:rPr>
          <w:rFonts w:cs="Tahoma"/>
          <w:b/>
          <w:sz w:val="20"/>
        </w:rPr>
        <w:t xml:space="preserve"> (16)</w:t>
      </w:r>
      <w:r w:rsidRPr="00CD2147">
        <w:rPr>
          <w:rFonts w:cs="Tahoma"/>
          <w:sz w:val="20"/>
        </w:rPr>
        <w:t xml:space="preserve"> meses de inhabilitación temporal en su derecho de participar en procesos de selección y contratar con el Estado por la comisión de la infracción tipificada en el numeral 1) del artículo 294 del Reglamento de la Ley de Contrataciones y Adquisiciones del Estado, aprobado por Decreto Supremo N.° 084-2004-PCM, sanción que tendrá vigencia a partir del cuarto día hábil siguiente de notificada la presente resolución.</w:t>
      </w:r>
    </w:p>
    <w:p w:rsidR="000A2134" w:rsidRPr="00CD2147" w:rsidRDefault="000A2134" w:rsidP="000A2134">
      <w:pPr>
        <w:pStyle w:val="Textoindependiente"/>
        <w:ind w:left="180"/>
        <w:rPr>
          <w:rFonts w:cs="Tahoma"/>
          <w:sz w:val="20"/>
        </w:rPr>
      </w:pPr>
    </w:p>
    <w:p w:rsidR="000A2134" w:rsidRPr="00CD2147" w:rsidRDefault="000A2134" w:rsidP="000A2134">
      <w:pPr>
        <w:pStyle w:val="Textoindependiente"/>
        <w:widowControl/>
        <w:numPr>
          <w:ilvl w:val="0"/>
          <w:numId w:val="6"/>
        </w:numPr>
        <w:tabs>
          <w:tab w:val="clear" w:pos="720"/>
          <w:tab w:val="num" w:pos="360"/>
        </w:tabs>
        <w:suppressAutoHyphens w:val="0"/>
        <w:ind w:left="540"/>
        <w:rPr>
          <w:rFonts w:cs="Tahoma"/>
          <w:sz w:val="20"/>
        </w:rPr>
      </w:pPr>
      <w:r>
        <w:rPr>
          <w:rFonts w:cs="Tahoma"/>
          <w:sz w:val="20"/>
        </w:rPr>
        <w:t xml:space="preserve">   </w:t>
      </w:r>
      <w:r w:rsidRPr="00CD2147">
        <w:rPr>
          <w:rFonts w:cs="Tahoma"/>
          <w:sz w:val="20"/>
        </w:rPr>
        <w:t>Poner la presente resolución en conocimiento de la Subdirección del Registro Nacional de Proveedores del CONSUCODE para las anotaciones de ley.</w:t>
      </w:r>
    </w:p>
    <w:p w:rsidR="000A2134" w:rsidRPr="000A2134" w:rsidRDefault="000A2134" w:rsidP="000A2134">
      <w:pPr>
        <w:jc w:val="both"/>
        <w:rPr>
          <w:rFonts w:ascii="Tahoma" w:hAnsi="Tahoma" w:cs="Tahoma"/>
          <w:b/>
          <w:shadow/>
          <w:lang w:val="es-ES_tradnl"/>
        </w:rPr>
      </w:pPr>
    </w:p>
    <w:p w:rsidR="000A2134" w:rsidRPr="00016A88" w:rsidRDefault="000A2134" w:rsidP="000A2134">
      <w:pPr>
        <w:pStyle w:val="Textoindependiente21"/>
        <w:rPr>
          <w:rFonts w:cs="Tahoma"/>
          <w:sz w:val="20"/>
        </w:rPr>
      </w:pPr>
      <w:r w:rsidRPr="00016A88">
        <w:rPr>
          <w:rFonts w:cs="Tahoma"/>
          <w:sz w:val="20"/>
        </w:rPr>
        <w:t>Regístrese, comuníquese y publíquese.</w:t>
      </w:r>
    </w:p>
    <w:p w:rsidR="000A2134" w:rsidRPr="00016A88" w:rsidRDefault="000A2134" w:rsidP="000A2134">
      <w:pPr>
        <w:jc w:val="center"/>
        <w:rPr>
          <w:rFonts w:ascii="Tahoma" w:hAnsi="Tahoma" w:cs="Tahoma"/>
          <w:b/>
        </w:rPr>
      </w:pPr>
    </w:p>
    <w:p w:rsidR="000A2134" w:rsidRDefault="000A2134" w:rsidP="000A2134">
      <w:pPr>
        <w:jc w:val="center"/>
        <w:rPr>
          <w:rFonts w:ascii="Tahoma" w:hAnsi="Tahoma" w:cs="Tahoma"/>
          <w:b/>
        </w:rPr>
      </w:pPr>
    </w:p>
    <w:p w:rsidR="000A2134" w:rsidRDefault="000A2134" w:rsidP="000A2134">
      <w:pPr>
        <w:jc w:val="center"/>
        <w:rPr>
          <w:rFonts w:ascii="Tahoma" w:hAnsi="Tahoma" w:cs="Tahoma"/>
          <w:b/>
        </w:rPr>
      </w:pPr>
    </w:p>
    <w:p w:rsidR="000A2134" w:rsidRPr="00016A88" w:rsidRDefault="000A2134" w:rsidP="000A2134">
      <w:pPr>
        <w:jc w:val="center"/>
        <w:rPr>
          <w:rFonts w:ascii="Tahoma" w:hAnsi="Tahoma" w:cs="Tahoma"/>
          <w:b/>
        </w:rPr>
      </w:pPr>
    </w:p>
    <w:p w:rsidR="000A2134" w:rsidRPr="00016A88" w:rsidRDefault="000A2134" w:rsidP="000A2134">
      <w:pPr>
        <w:jc w:val="center"/>
        <w:rPr>
          <w:rFonts w:ascii="Tahoma" w:hAnsi="Tahoma" w:cs="Tahoma"/>
          <w:b/>
          <w:shadow/>
          <w:lang w:val="pt-BR"/>
        </w:rPr>
      </w:pPr>
      <w:r w:rsidRPr="00016A88">
        <w:rPr>
          <w:rFonts w:ascii="Tahoma" w:hAnsi="Tahoma" w:cs="Tahoma"/>
          <w:b/>
          <w:shadow/>
          <w:lang w:val="pt-BR"/>
        </w:rPr>
        <w:t>PRESIDENTE</w:t>
      </w: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jc w:val="center"/>
        <w:rPr>
          <w:rFonts w:ascii="Tahoma" w:hAnsi="Tahoma" w:cs="Tahoma"/>
          <w:b/>
          <w:shadow/>
          <w:lang w:val="pt-BR"/>
        </w:rPr>
      </w:pPr>
    </w:p>
    <w:p w:rsidR="000A2134" w:rsidRPr="00016A88" w:rsidRDefault="000A2134" w:rsidP="000A2134">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0A2134" w:rsidRPr="00016A88" w:rsidRDefault="000A2134" w:rsidP="000A2134">
      <w:pPr>
        <w:ind w:firstLine="708"/>
        <w:rPr>
          <w:rFonts w:ascii="Tahoma" w:hAnsi="Tahoma" w:cs="Tahoma"/>
          <w:b/>
          <w:shadow/>
          <w:lang w:val="pt-BR"/>
        </w:rPr>
      </w:pPr>
    </w:p>
    <w:p w:rsidR="000A2134" w:rsidRPr="00016A88" w:rsidRDefault="000A2134" w:rsidP="000A2134">
      <w:pPr>
        <w:ind w:firstLine="708"/>
        <w:rPr>
          <w:rFonts w:ascii="Tahoma" w:hAnsi="Tahoma" w:cs="Tahoma"/>
          <w:b/>
          <w:shadow/>
          <w:lang w:val="pt-BR"/>
        </w:rPr>
      </w:pPr>
    </w:p>
    <w:p w:rsidR="000A2134" w:rsidRDefault="000A2134" w:rsidP="000A2134">
      <w:pPr>
        <w:ind w:firstLine="708"/>
        <w:rPr>
          <w:rFonts w:ascii="Tahoma" w:hAnsi="Tahoma" w:cs="Tahoma"/>
          <w:b/>
          <w:shadow/>
          <w:lang w:val="pt-BR"/>
        </w:rPr>
      </w:pPr>
    </w:p>
    <w:p w:rsidR="000A2134" w:rsidRPr="00016A88" w:rsidRDefault="000A2134" w:rsidP="000A2134">
      <w:pPr>
        <w:ind w:firstLine="708"/>
        <w:rPr>
          <w:rFonts w:ascii="Tahoma" w:hAnsi="Tahoma" w:cs="Tahoma"/>
          <w:b/>
          <w:shadow/>
          <w:lang w:val="pt-BR"/>
        </w:rPr>
      </w:pPr>
    </w:p>
    <w:p w:rsidR="000A2134" w:rsidRPr="00F43678" w:rsidRDefault="000A2134" w:rsidP="000A2134">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0A2134" w:rsidRPr="00F43678" w:rsidRDefault="000A2134" w:rsidP="000A2134">
      <w:pPr>
        <w:pStyle w:val="Textoindependiente21"/>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0A2134" w:rsidRPr="00F43678" w:rsidRDefault="000A2134" w:rsidP="000A2134">
      <w:pPr>
        <w:pStyle w:val="Textoindependiente21"/>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0A2134" w:rsidRPr="0077107F" w:rsidRDefault="000A2134" w:rsidP="000A2134">
      <w:pPr>
        <w:pStyle w:val="Textoindependiente21"/>
        <w:tabs>
          <w:tab w:val="left" w:pos="7740"/>
        </w:tabs>
        <w:rPr>
          <w:sz w:val="20"/>
        </w:rPr>
      </w:pPr>
      <w:r w:rsidRPr="0077107F">
        <w:rPr>
          <w:sz w:val="20"/>
        </w:rPr>
        <w:t>Navas Rondón.</w:t>
      </w:r>
    </w:p>
    <w:p w:rsidR="000A2134" w:rsidRDefault="000A2134" w:rsidP="000A2134"/>
    <w:p w:rsidR="000A2134" w:rsidRDefault="000A2134" w:rsidP="000A2134"/>
    <w:p w:rsidR="00E33BB7" w:rsidRDefault="00E33BB7"/>
    <w:sectPr w:rsidR="00E33BB7" w:rsidSect="003E1AAE">
      <w:footerReference w:type="even" r:id="rId7"/>
      <w:footerReference w:type="default" r:id="rId8"/>
      <w:pgSz w:w="11907" w:h="16840" w:code="9"/>
      <w:pgMar w:top="3119"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732" w:rsidRDefault="00246732" w:rsidP="000A2134">
      <w:r>
        <w:separator/>
      </w:r>
    </w:p>
  </w:endnote>
  <w:endnote w:type="continuationSeparator" w:id="1">
    <w:p w:rsidR="00246732" w:rsidRDefault="00246732" w:rsidP="000A2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32" w:rsidRDefault="006401AE" w:rsidP="00E33BB7">
    <w:pPr>
      <w:pStyle w:val="Piedepgina"/>
      <w:framePr w:wrap="around" w:vAnchor="text" w:hAnchor="margin" w:xAlign="center" w:y="1"/>
      <w:rPr>
        <w:rStyle w:val="Nmerodepgina"/>
      </w:rPr>
    </w:pPr>
    <w:r>
      <w:rPr>
        <w:rStyle w:val="Nmerodepgina"/>
      </w:rPr>
      <w:fldChar w:fldCharType="begin"/>
    </w:r>
    <w:r w:rsidR="00246732">
      <w:rPr>
        <w:rStyle w:val="Nmerodepgina"/>
      </w:rPr>
      <w:instrText xml:space="preserve">PAGE  </w:instrText>
    </w:r>
    <w:r>
      <w:rPr>
        <w:rStyle w:val="Nmerodepgina"/>
      </w:rPr>
      <w:fldChar w:fldCharType="end"/>
    </w:r>
  </w:p>
  <w:p w:rsidR="00246732" w:rsidRDefault="0024673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32" w:rsidRPr="00864C03" w:rsidRDefault="00246732">
    <w:pPr>
      <w:pStyle w:val="Piedepgina"/>
      <w:framePr w:wrap="around" w:vAnchor="text" w:hAnchor="margin" w:xAlign="center" w:y="1"/>
      <w:rPr>
        <w:rStyle w:val="Nmerodepgina"/>
        <w:i/>
        <w:sz w:val="20"/>
      </w:rPr>
    </w:pPr>
    <w:r w:rsidRPr="00864C03">
      <w:rPr>
        <w:rStyle w:val="Nmerodepgina"/>
        <w:i/>
        <w:sz w:val="20"/>
      </w:rPr>
      <w:t xml:space="preserve">Página </w:t>
    </w:r>
    <w:r w:rsidR="006401AE" w:rsidRPr="00864C03">
      <w:rPr>
        <w:rStyle w:val="Nmerodepgina"/>
        <w:i/>
        <w:sz w:val="20"/>
      </w:rPr>
      <w:fldChar w:fldCharType="begin"/>
    </w:r>
    <w:r w:rsidRPr="00864C03">
      <w:rPr>
        <w:rStyle w:val="Nmerodepgina"/>
        <w:i/>
        <w:sz w:val="20"/>
      </w:rPr>
      <w:instrText xml:space="preserve"> PAGE </w:instrText>
    </w:r>
    <w:r w:rsidR="006401AE" w:rsidRPr="00864C03">
      <w:rPr>
        <w:rStyle w:val="Nmerodepgina"/>
        <w:i/>
        <w:sz w:val="20"/>
      </w:rPr>
      <w:fldChar w:fldCharType="separate"/>
    </w:r>
    <w:r w:rsidR="00745731">
      <w:rPr>
        <w:rStyle w:val="Nmerodepgina"/>
        <w:i/>
        <w:noProof/>
        <w:sz w:val="20"/>
      </w:rPr>
      <w:t>1</w:t>
    </w:r>
    <w:r w:rsidR="006401AE" w:rsidRPr="00864C03">
      <w:rPr>
        <w:rStyle w:val="Nmerodepgina"/>
        <w:i/>
        <w:sz w:val="20"/>
      </w:rPr>
      <w:fldChar w:fldCharType="end"/>
    </w:r>
    <w:r w:rsidRPr="00864C03">
      <w:rPr>
        <w:rStyle w:val="Nmerodepgina"/>
        <w:i/>
        <w:sz w:val="20"/>
      </w:rPr>
      <w:t xml:space="preserve"> de </w:t>
    </w:r>
    <w:r w:rsidR="006401AE" w:rsidRPr="00864C03">
      <w:rPr>
        <w:rStyle w:val="Nmerodepgina"/>
        <w:i/>
        <w:sz w:val="20"/>
      </w:rPr>
      <w:fldChar w:fldCharType="begin"/>
    </w:r>
    <w:r w:rsidRPr="00864C03">
      <w:rPr>
        <w:rStyle w:val="Nmerodepgina"/>
        <w:i/>
        <w:sz w:val="20"/>
      </w:rPr>
      <w:instrText xml:space="preserve"> NUMPAGES </w:instrText>
    </w:r>
    <w:r w:rsidR="006401AE" w:rsidRPr="00864C03">
      <w:rPr>
        <w:rStyle w:val="Nmerodepgina"/>
        <w:i/>
        <w:sz w:val="20"/>
      </w:rPr>
      <w:fldChar w:fldCharType="separate"/>
    </w:r>
    <w:r w:rsidR="00745731">
      <w:rPr>
        <w:rStyle w:val="Nmerodepgina"/>
        <w:i/>
        <w:noProof/>
        <w:sz w:val="20"/>
      </w:rPr>
      <w:t>4</w:t>
    </w:r>
    <w:r w:rsidR="006401AE" w:rsidRPr="00864C03">
      <w:rPr>
        <w:rStyle w:val="Nmerodepgina"/>
        <w:i/>
        <w:sz w:val="20"/>
      </w:rPr>
      <w:fldChar w:fldCharType="end"/>
    </w:r>
  </w:p>
  <w:p w:rsidR="00246732" w:rsidRDefault="0024673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732" w:rsidRDefault="00246732" w:rsidP="000A2134">
      <w:r>
        <w:separator/>
      </w:r>
    </w:p>
  </w:footnote>
  <w:footnote w:type="continuationSeparator" w:id="1">
    <w:p w:rsidR="00246732" w:rsidRDefault="00246732" w:rsidP="000A2134">
      <w:r>
        <w:continuationSeparator/>
      </w:r>
    </w:p>
  </w:footnote>
  <w:footnote w:id="2">
    <w:p w:rsidR="00246732" w:rsidRPr="00C329AC" w:rsidRDefault="00246732" w:rsidP="000A2134">
      <w:pPr>
        <w:pStyle w:val="Textonotapie"/>
        <w:jc w:val="both"/>
        <w:rPr>
          <w:rFonts w:ascii="Tahoma" w:hAnsi="Tahoma" w:cs="Tahoma"/>
          <w:sz w:val="16"/>
          <w:szCs w:val="16"/>
        </w:rPr>
      </w:pPr>
      <w:r w:rsidRPr="00C329AC">
        <w:rPr>
          <w:rStyle w:val="Refdenotaalpie"/>
          <w:rFonts w:cs="Tahoma"/>
          <w:sz w:val="16"/>
          <w:szCs w:val="16"/>
        </w:rPr>
        <w:footnoteRef/>
      </w:r>
      <w:r w:rsidRPr="00C329AC">
        <w:rPr>
          <w:rFonts w:ascii="Tahoma" w:hAnsi="Tahoma" w:cs="Tahoma"/>
          <w:sz w:val="16"/>
          <w:szCs w:val="16"/>
        </w:rPr>
        <w:t xml:space="preserve"> 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lo dispuesto en el artículo 3 del Texto Único Ordenado de la Ley de Contrataciones y Adquisiciones del Estado, aprobado por Decreto Supremo N.° 083-2004-PCM, en adelante la Ley, en concordancia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3">
    <w:p w:rsidR="00246732" w:rsidRPr="00C329AC" w:rsidRDefault="00246732" w:rsidP="000A2134">
      <w:pPr>
        <w:pStyle w:val="Textonotapie"/>
        <w:rPr>
          <w:sz w:val="16"/>
          <w:szCs w:val="16"/>
        </w:rPr>
      </w:pPr>
      <w:r w:rsidRPr="00C329AC">
        <w:rPr>
          <w:rStyle w:val="Refdenotaalpie"/>
          <w:rFonts w:cs="Tahoma"/>
          <w:sz w:val="16"/>
          <w:szCs w:val="16"/>
        </w:rPr>
        <w:footnoteRef/>
      </w:r>
      <w:r w:rsidRPr="00C329AC">
        <w:rPr>
          <w:rFonts w:ascii="Tahoma" w:hAnsi="Tahoma" w:cs="Tahoma"/>
          <w:sz w:val="16"/>
          <w:szCs w:val="16"/>
        </w:rPr>
        <w:t xml:space="preserve"> CABANELLAS, Guillermo. </w:t>
      </w:r>
      <w:r w:rsidRPr="00C329AC">
        <w:rPr>
          <w:rFonts w:ascii="Tahoma" w:hAnsi="Tahoma" w:cs="Tahoma"/>
          <w:b/>
          <w:sz w:val="16"/>
          <w:szCs w:val="16"/>
        </w:rPr>
        <w:t>Diccionario Enciclopédico de Derecho Usual</w:t>
      </w:r>
      <w:r w:rsidRPr="00C329AC">
        <w:rPr>
          <w:rFonts w:ascii="Tahoma" w:hAnsi="Tahoma" w:cs="Tahoma"/>
          <w:sz w:val="16"/>
          <w:szCs w:val="16"/>
        </w:rPr>
        <w:t xml:space="preserve">. 20ª Edición. Buenos Aires: </w:t>
      </w:r>
      <w:proofErr w:type="spellStart"/>
      <w:r w:rsidRPr="00C329AC">
        <w:rPr>
          <w:rFonts w:ascii="Tahoma" w:hAnsi="Tahoma" w:cs="Tahoma"/>
          <w:sz w:val="16"/>
          <w:szCs w:val="16"/>
        </w:rPr>
        <w:t>Heliasta</w:t>
      </w:r>
      <w:proofErr w:type="spellEnd"/>
      <w:r w:rsidRPr="00C329AC">
        <w:rPr>
          <w:rFonts w:ascii="Tahoma" w:hAnsi="Tahoma" w:cs="Tahoma"/>
          <w:sz w:val="16"/>
          <w:szCs w:val="16"/>
        </w:rPr>
        <w:t xml:space="preserve">, 1986. Tomo II pág. 99 y Tomo IV </w:t>
      </w:r>
      <w:proofErr w:type="spellStart"/>
      <w:r w:rsidRPr="00C329AC">
        <w:rPr>
          <w:rFonts w:ascii="Tahoma" w:hAnsi="Tahoma" w:cs="Tahoma"/>
          <w:sz w:val="16"/>
          <w:szCs w:val="16"/>
        </w:rPr>
        <w:t>pág</w:t>
      </w:r>
      <w:proofErr w:type="spellEnd"/>
      <w:r w:rsidRPr="00C329AC">
        <w:rPr>
          <w:rFonts w:ascii="Tahoma" w:hAnsi="Tahoma" w:cs="Tahoma"/>
          <w:sz w:val="16"/>
          <w:szCs w:val="16"/>
        </w:rPr>
        <w:t xml:space="preserve"> 130.</w:t>
      </w:r>
    </w:p>
  </w:footnote>
  <w:footnote w:id="4">
    <w:p w:rsidR="00246732" w:rsidRPr="00C329AC" w:rsidRDefault="00246732" w:rsidP="000A2134">
      <w:pPr>
        <w:pStyle w:val="Textonotapie"/>
        <w:jc w:val="both"/>
        <w:rPr>
          <w:rFonts w:ascii="Tahoma" w:hAnsi="Tahoma" w:cs="Tahoma"/>
          <w:sz w:val="16"/>
          <w:szCs w:val="16"/>
        </w:rPr>
      </w:pPr>
      <w:r w:rsidRPr="00C329AC">
        <w:rPr>
          <w:rStyle w:val="Refdenotaalpie"/>
          <w:rFonts w:cs="Tahoma"/>
          <w:sz w:val="16"/>
          <w:szCs w:val="16"/>
        </w:rPr>
        <w:footnoteRef/>
      </w:r>
      <w:r w:rsidRPr="00C329AC">
        <w:rPr>
          <w:rFonts w:ascii="Tahoma" w:hAnsi="Tahoma" w:cs="Tahoma"/>
          <w:sz w:val="16"/>
          <w:szCs w:val="16"/>
        </w:rPr>
        <w:t xml:space="preserve"> “</w:t>
      </w:r>
      <w:r w:rsidRPr="00C329AC">
        <w:rPr>
          <w:rFonts w:ascii="Tahoma" w:hAnsi="Tahoma" w:cs="Tahoma"/>
          <w:b/>
          <w:sz w:val="16"/>
          <w:szCs w:val="16"/>
        </w:rPr>
        <w:t>Artículo 230°.- Principios de la potestad sancionadora administrativa.</w:t>
      </w:r>
    </w:p>
    <w:p w:rsidR="00246732" w:rsidRPr="00C329AC" w:rsidRDefault="00246732" w:rsidP="000A2134">
      <w:pPr>
        <w:pStyle w:val="Textonotapie"/>
        <w:jc w:val="both"/>
        <w:rPr>
          <w:rFonts w:ascii="Tahoma" w:hAnsi="Tahoma" w:cs="Tahoma"/>
          <w:sz w:val="16"/>
          <w:szCs w:val="16"/>
        </w:rPr>
      </w:pPr>
      <w:r w:rsidRPr="00C329AC">
        <w:rPr>
          <w:rFonts w:ascii="Tahoma" w:hAnsi="Tahoma" w:cs="Tahoma"/>
          <w:sz w:val="16"/>
          <w:szCs w:val="16"/>
        </w:rPr>
        <w:t>La potestad sancionadora de todas las entidades está regida adicionalmente por los siguientes principios especiales:</w:t>
      </w:r>
    </w:p>
    <w:p w:rsidR="00246732" w:rsidRPr="00C329AC" w:rsidRDefault="00246732" w:rsidP="000A2134">
      <w:pPr>
        <w:pStyle w:val="Textonotapie"/>
        <w:jc w:val="both"/>
        <w:rPr>
          <w:rFonts w:ascii="Tahoma" w:hAnsi="Tahoma" w:cs="Tahoma"/>
          <w:sz w:val="16"/>
          <w:szCs w:val="16"/>
        </w:rPr>
      </w:pPr>
      <w:r w:rsidRPr="00C329AC">
        <w:rPr>
          <w:rFonts w:ascii="Tahoma" w:hAnsi="Tahoma" w:cs="Tahoma"/>
          <w:sz w:val="16"/>
          <w:szCs w:val="16"/>
        </w:rPr>
        <w:t>(…)</w:t>
      </w:r>
      <w:r>
        <w:rPr>
          <w:rFonts w:ascii="Tahoma" w:hAnsi="Tahoma" w:cs="Tahoma"/>
          <w:sz w:val="16"/>
          <w:szCs w:val="16"/>
        </w:rPr>
        <w:t xml:space="preserve"> </w:t>
      </w:r>
      <w:r w:rsidRPr="00C329AC">
        <w:rPr>
          <w:rFonts w:ascii="Tahoma" w:hAnsi="Tahoma" w:cs="Tahoma"/>
          <w:b/>
          <w:sz w:val="16"/>
          <w:szCs w:val="16"/>
        </w:rPr>
        <w:t>3. Razonabilidad</w:t>
      </w:r>
      <w:r w:rsidRPr="00C329AC">
        <w:rPr>
          <w:rFonts w:ascii="Tahoma" w:hAnsi="Tahoma" w:cs="Tahoma"/>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infracción.”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D89661A"/>
    <w:multiLevelType w:val="hybridMultilevel"/>
    <w:tmpl w:val="1AC66936"/>
    <w:lvl w:ilvl="0" w:tplc="A008D92E">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3DD25EE"/>
    <w:multiLevelType w:val="singleLevel"/>
    <w:tmpl w:val="D6CE5ABC"/>
    <w:lvl w:ilvl="0">
      <w:start w:val="1"/>
      <w:numFmt w:val="decimal"/>
      <w:lvlText w:val="%1."/>
      <w:lvlJc w:val="left"/>
      <w:pPr>
        <w:tabs>
          <w:tab w:val="num" w:pos="2520"/>
        </w:tabs>
        <w:ind w:left="2520" w:hanging="360"/>
      </w:pPr>
      <w:rPr>
        <w:b/>
        <w:shadow/>
        <w:sz w:val="20"/>
        <w:szCs w:val="20"/>
      </w:rPr>
    </w:lvl>
  </w:abstractNum>
  <w:abstractNum w:abstractNumId="4">
    <w:nsid w:val="52357D87"/>
    <w:multiLevelType w:val="hybridMultilevel"/>
    <w:tmpl w:val="F15A9406"/>
    <w:lvl w:ilvl="0" w:tplc="5A7EEB18">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7AE577FD"/>
    <w:multiLevelType w:val="hybridMultilevel"/>
    <w:tmpl w:val="CE2ABFB2"/>
    <w:lvl w:ilvl="0" w:tplc="9C2CD08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0A2134"/>
    <w:rsid w:val="000A2134"/>
    <w:rsid w:val="001C1D53"/>
    <w:rsid w:val="00246732"/>
    <w:rsid w:val="003E1AAE"/>
    <w:rsid w:val="005F15D1"/>
    <w:rsid w:val="006401AE"/>
    <w:rsid w:val="00651291"/>
    <w:rsid w:val="00745731"/>
    <w:rsid w:val="007762E7"/>
    <w:rsid w:val="00896EE1"/>
    <w:rsid w:val="008A5A36"/>
    <w:rsid w:val="00B91D71"/>
    <w:rsid w:val="00E33BB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134"/>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0A2134"/>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0A2134"/>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0A2134"/>
  </w:style>
  <w:style w:type="paragraph" w:styleId="Textoindependiente">
    <w:name w:val="Body Text"/>
    <w:basedOn w:val="Normal"/>
    <w:link w:val="TextoindependienteCar"/>
    <w:rsid w:val="000A2134"/>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0A2134"/>
    <w:rPr>
      <w:rFonts w:ascii="Tahoma" w:eastAsia="Times New Roman" w:hAnsi="Tahoma" w:cs="Times New Roman"/>
      <w:szCs w:val="20"/>
      <w:lang w:val="es-ES_tradnl" w:eastAsia="es-ES"/>
    </w:rPr>
  </w:style>
  <w:style w:type="paragraph" w:customStyle="1" w:styleId="Textoindependiente21">
    <w:name w:val="Texto independiente 21"/>
    <w:basedOn w:val="Normal"/>
    <w:rsid w:val="000A2134"/>
    <w:pPr>
      <w:jc w:val="both"/>
    </w:pPr>
    <w:rPr>
      <w:rFonts w:ascii="Tahoma" w:hAnsi="Tahoma"/>
      <w:sz w:val="22"/>
    </w:rPr>
  </w:style>
  <w:style w:type="paragraph" w:styleId="Textoindependiente3">
    <w:name w:val="Body Text 3"/>
    <w:basedOn w:val="Normal"/>
    <w:link w:val="Textoindependiente3Car"/>
    <w:rsid w:val="000A2134"/>
    <w:pPr>
      <w:spacing w:after="120"/>
    </w:pPr>
    <w:rPr>
      <w:sz w:val="16"/>
      <w:szCs w:val="16"/>
      <w:lang w:val="es-PE"/>
    </w:rPr>
  </w:style>
  <w:style w:type="character" w:customStyle="1" w:styleId="Textoindependiente3Car">
    <w:name w:val="Texto independiente 3 Car"/>
    <w:basedOn w:val="Fuentedeprrafopredeter"/>
    <w:link w:val="Textoindependiente3"/>
    <w:rsid w:val="000A2134"/>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0A2134"/>
  </w:style>
  <w:style w:type="character" w:customStyle="1" w:styleId="TextonotapieCar">
    <w:name w:val="Texto nota pie Car"/>
    <w:basedOn w:val="Fuentedeprrafopredeter"/>
    <w:link w:val="Textonotapie"/>
    <w:semiHidden/>
    <w:rsid w:val="000A2134"/>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0A2134"/>
    <w:rPr>
      <w:vertAlign w:val="superscript"/>
    </w:rPr>
  </w:style>
  <w:style w:type="paragraph" w:styleId="Prrafodelista">
    <w:name w:val="List Paragraph"/>
    <w:basedOn w:val="Normal"/>
    <w:uiPriority w:val="34"/>
    <w:qFormat/>
    <w:rsid w:val="000A2134"/>
    <w:pPr>
      <w:widowControl w:val="0"/>
      <w:suppressAutoHyphens/>
      <w:ind w:left="720"/>
      <w:contextualSpacing/>
    </w:pPr>
    <w:rPr>
      <w:sz w:val="24"/>
      <w:lang w:val="es-ES_tradnl"/>
    </w:rPr>
  </w:style>
  <w:style w:type="paragraph" w:styleId="Textoindependiente2">
    <w:name w:val="Body Text 2"/>
    <w:basedOn w:val="Normal"/>
    <w:link w:val="Textoindependiente2Car"/>
    <w:uiPriority w:val="99"/>
    <w:semiHidden/>
    <w:unhideWhenUsed/>
    <w:rsid w:val="000A2134"/>
    <w:pPr>
      <w:widowControl w:val="0"/>
      <w:suppressAutoHyphens/>
      <w:spacing w:after="120" w:line="480" w:lineRule="auto"/>
    </w:pPr>
    <w:rPr>
      <w:sz w:val="24"/>
      <w:lang w:val="es-ES_tradnl"/>
    </w:rPr>
  </w:style>
  <w:style w:type="character" w:customStyle="1" w:styleId="Textoindependiente2Car">
    <w:name w:val="Texto independiente 2 Car"/>
    <w:basedOn w:val="Fuentedeprrafopredeter"/>
    <w:link w:val="Textoindependiente2"/>
    <w:uiPriority w:val="99"/>
    <w:semiHidden/>
    <w:rsid w:val="000A2134"/>
    <w:rPr>
      <w:rFonts w:ascii="Times New Roman" w:eastAsia="Times New Roman" w:hAnsi="Times New Roman" w:cs="Times New Roman"/>
      <w:sz w:val="24"/>
      <w:szCs w:val="20"/>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1708</Words>
  <Characters>9400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2177-2007/TC-S3</dc:title>
  <dc:subject>APLICACIÓN DE SANCIÓN CONTRA LA EMPRESA PERU TRADING S.A.C.</dc:subject>
  <dc:creator>TRIBUNAL</dc:creator>
  <cp:keywords>NO SUSCRIBIR CONTRATO</cp:keywords>
  <dc:description/>
  <cp:lastModifiedBy>jcabrera</cp:lastModifiedBy>
  <cp:revision>3</cp:revision>
  <cp:lastPrinted>2007-12-08T22:02:00Z</cp:lastPrinted>
  <dcterms:created xsi:type="dcterms:W3CDTF">2007-12-13T20:28:00Z</dcterms:created>
  <dcterms:modified xsi:type="dcterms:W3CDTF">2007-12-13T20:30:00Z</dcterms:modified>
  <cp:category>RESOLUCION - TRIBUNAL</cp:category>
</cp:coreProperties>
</file>