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08E" w:rsidRDefault="002D308E" w:rsidP="002D308E">
      <w:pPr>
        <w:tabs>
          <w:tab w:val="left" w:pos="2340"/>
          <w:tab w:val="left" w:pos="7380"/>
        </w:tabs>
        <w:ind w:left="2700" w:right="2160" w:hanging="900"/>
        <w:jc w:val="both"/>
        <w:rPr>
          <w:rFonts w:ascii="Tahoma" w:hAnsi="Tahoma" w:cs="Tahoma"/>
          <w:b/>
          <w:i/>
        </w:rPr>
      </w:pPr>
      <w:r>
        <w:rPr>
          <w:rFonts w:ascii="Tahoma" w:hAnsi="Tahoma" w:cs="Tahoma"/>
          <w:b/>
          <w:i/>
        </w:rPr>
        <w:tab/>
        <w:t>RESOLUCIÓN N</w:t>
      </w:r>
      <w:proofErr w:type="gramStart"/>
      <w:r>
        <w:rPr>
          <w:rFonts w:ascii="Tahoma" w:hAnsi="Tahoma" w:cs="Tahoma"/>
          <w:b/>
          <w:i/>
        </w:rPr>
        <w:t>.º</w:t>
      </w:r>
      <w:proofErr w:type="gramEnd"/>
      <w:r>
        <w:rPr>
          <w:rFonts w:ascii="Tahoma" w:hAnsi="Tahoma" w:cs="Tahoma"/>
          <w:b/>
          <w:i/>
        </w:rPr>
        <w:t xml:space="preserve"> 2175-2007/TC-S3</w:t>
      </w:r>
    </w:p>
    <w:p w:rsidR="002D308E" w:rsidRDefault="002D308E" w:rsidP="002D308E">
      <w:pPr>
        <w:tabs>
          <w:tab w:val="left" w:pos="2340"/>
          <w:tab w:val="left" w:pos="7380"/>
        </w:tabs>
        <w:ind w:left="2700" w:right="2160" w:hanging="900"/>
        <w:jc w:val="both"/>
        <w:rPr>
          <w:rFonts w:ascii="Tahoma" w:hAnsi="Tahoma" w:cs="Tahoma"/>
          <w:b/>
          <w:i/>
        </w:rPr>
      </w:pPr>
    </w:p>
    <w:p w:rsidR="002D308E" w:rsidRPr="0002711D" w:rsidRDefault="002D308E" w:rsidP="002D308E">
      <w:pPr>
        <w:tabs>
          <w:tab w:val="left" w:pos="2340"/>
          <w:tab w:val="left" w:pos="7380"/>
        </w:tabs>
        <w:ind w:left="2700" w:right="2160" w:hanging="900"/>
        <w:jc w:val="both"/>
        <w:rPr>
          <w:rFonts w:ascii="Tahoma" w:hAnsi="Tahoma" w:cs="Tahoma"/>
          <w:i/>
        </w:rPr>
      </w:pPr>
      <w:r w:rsidRPr="00016A88">
        <w:rPr>
          <w:rFonts w:ascii="Tahoma" w:hAnsi="Tahoma" w:cs="Tahoma"/>
          <w:b/>
          <w:i/>
        </w:rPr>
        <w:t xml:space="preserve">Sumilla: </w:t>
      </w:r>
      <w:r w:rsidRPr="0002711D">
        <w:rPr>
          <w:rFonts w:ascii="Tahoma" w:hAnsi="Tahoma" w:cs="Tahoma"/>
          <w:i/>
        </w:rPr>
        <w:t>El procedimiento para suscribir el contrato ha sido previsto en el numeral 1) del artículo 203 del Reglamento, el cual dispone que dentro de los cinco (05) días hábiles siguientes al consentimiento de la buena pro, la Entidad deberá citar al postor ganador, otorgándole un plazo de diez (10) días hábiles dentro del cual deberá presentarse a suscribir el contrato con toda la documentación requerida.</w:t>
      </w:r>
    </w:p>
    <w:p w:rsidR="002D308E" w:rsidRPr="000A2134" w:rsidRDefault="002D308E" w:rsidP="002D308E">
      <w:pPr>
        <w:tabs>
          <w:tab w:val="left" w:pos="2340"/>
          <w:tab w:val="left" w:pos="7380"/>
        </w:tabs>
        <w:ind w:left="2700" w:right="2160" w:hanging="900"/>
        <w:jc w:val="both"/>
        <w:rPr>
          <w:rFonts w:ascii="Tahoma" w:hAnsi="Tahoma" w:cs="Tahoma"/>
          <w:i/>
          <w:lang w:val="es-ES_tradnl"/>
        </w:rPr>
      </w:pPr>
    </w:p>
    <w:p w:rsidR="002D308E" w:rsidRDefault="002D308E" w:rsidP="002D308E">
      <w:pPr>
        <w:ind w:left="3060" w:right="2160" w:hanging="1260"/>
        <w:jc w:val="both"/>
        <w:rPr>
          <w:rFonts w:ascii="Tahoma" w:hAnsi="Tahoma" w:cs="Tahoma"/>
          <w:i/>
        </w:rPr>
      </w:pPr>
    </w:p>
    <w:p w:rsidR="002D308E" w:rsidRPr="00016A88" w:rsidRDefault="002D308E" w:rsidP="002D308E">
      <w:pPr>
        <w:pStyle w:val="Textoindependiente3"/>
        <w:ind w:left="4956" w:firstLine="84"/>
        <w:rPr>
          <w:rFonts w:ascii="Tahoma" w:hAnsi="Tahoma" w:cs="Tahoma"/>
          <w:b/>
          <w:sz w:val="20"/>
          <w:szCs w:val="20"/>
        </w:rPr>
      </w:pPr>
      <w:r w:rsidRPr="00016A88">
        <w:rPr>
          <w:rFonts w:ascii="Tahoma" w:hAnsi="Tahoma" w:cs="Tahoma"/>
          <w:b/>
          <w:sz w:val="20"/>
          <w:szCs w:val="20"/>
        </w:rPr>
        <w:t xml:space="preserve">Lima,  </w:t>
      </w:r>
      <w:r>
        <w:rPr>
          <w:rFonts w:ascii="Tahoma" w:hAnsi="Tahoma" w:cs="Tahoma"/>
          <w:b/>
          <w:sz w:val="20"/>
          <w:szCs w:val="20"/>
        </w:rPr>
        <w:t>10 DE DICIEMBRE DE 2007</w:t>
      </w:r>
    </w:p>
    <w:p w:rsidR="002D308E" w:rsidRPr="0002711D" w:rsidRDefault="002D308E" w:rsidP="002D308E">
      <w:pPr>
        <w:pStyle w:val="Textoindependiente"/>
        <w:tabs>
          <w:tab w:val="left" w:pos="540"/>
        </w:tabs>
        <w:rPr>
          <w:rFonts w:cs="Tahoma"/>
          <w:b/>
          <w:sz w:val="20"/>
          <w:lang w:val="es-PE"/>
        </w:rPr>
      </w:pPr>
    </w:p>
    <w:p w:rsidR="002D308E" w:rsidRPr="0002711D" w:rsidRDefault="002D308E" w:rsidP="002D308E">
      <w:pPr>
        <w:jc w:val="both"/>
        <w:rPr>
          <w:rFonts w:ascii="Tahoma" w:hAnsi="Tahoma" w:cs="Tahoma"/>
          <w:bCs/>
          <w:lang w:val="es-ES_tradnl"/>
        </w:rPr>
      </w:pPr>
      <w:r w:rsidRPr="0002711D">
        <w:rPr>
          <w:rFonts w:ascii="Tahoma" w:hAnsi="Tahoma" w:cs="Tahoma"/>
          <w:b/>
        </w:rPr>
        <w:t>Visto</w:t>
      </w:r>
      <w:r w:rsidRPr="0002711D">
        <w:rPr>
          <w:rFonts w:ascii="Tahoma" w:hAnsi="Tahoma" w:cs="Tahoma"/>
        </w:rPr>
        <w:t xml:space="preserve"> en sesión de fecha 05 de diciembre de 2007 de la Tercera Sala del Tribunal de Contrataciones y Adquisiciones del Estado el Expediente N.° 494.2007.TC, sobre el procedimiento de aplicación de sanción </w:t>
      </w:r>
      <w:r w:rsidRPr="0002711D">
        <w:rPr>
          <w:rFonts w:ascii="Tahoma" w:hAnsi="Tahoma" w:cs="Tahoma"/>
          <w:bCs/>
        </w:rPr>
        <w:t xml:space="preserve">al señor Cesar José Avendaño </w:t>
      </w:r>
      <w:proofErr w:type="spellStart"/>
      <w:r w:rsidRPr="0002711D">
        <w:rPr>
          <w:rFonts w:ascii="Tahoma" w:hAnsi="Tahoma" w:cs="Tahoma"/>
          <w:bCs/>
        </w:rPr>
        <w:t>Teccse</w:t>
      </w:r>
      <w:proofErr w:type="spellEnd"/>
      <w:r w:rsidRPr="0002711D">
        <w:rPr>
          <w:rFonts w:ascii="Tahoma" w:hAnsi="Tahoma" w:cs="Tahoma"/>
          <w:b/>
          <w:bCs/>
        </w:rPr>
        <w:t>,</w:t>
      </w:r>
      <w:r w:rsidRPr="0002711D">
        <w:rPr>
          <w:rFonts w:ascii="Tahoma" w:hAnsi="Tahoma" w:cs="Tahoma"/>
          <w:bCs/>
          <w:lang w:val="es-ES_tradnl"/>
        </w:rPr>
        <w:t xml:space="preserve"> por supuesta responsabilidad en la no suscripción injustificada del contrato </w:t>
      </w:r>
      <w:r>
        <w:rPr>
          <w:rFonts w:ascii="Tahoma" w:hAnsi="Tahoma" w:cs="Tahoma"/>
          <w:bCs/>
          <w:lang w:val="es-ES_tradnl"/>
        </w:rPr>
        <w:t xml:space="preserve">respecto del ítem N.º 17 </w:t>
      </w:r>
      <w:r w:rsidRPr="0002711D">
        <w:rPr>
          <w:rFonts w:ascii="Tahoma" w:hAnsi="Tahoma" w:cs="Tahoma"/>
          <w:bCs/>
          <w:lang w:val="es-ES_tradnl"/>
        </w:rPr>
        <w:t xml:space="preserve">de </w:t>
      </w:r>
      <w:r>
        <w:rPr>
          <w:rFonts w:ascii="Tahoma" w:hAnsi="Tahoma" w:cs="Tahoma"/>
          <w:bCs/>
          <w:lang w:val="es-ES_tradnl"/>
        </w:rPr>
        <w:t xml:space="preserve">la </w:t>
      </w:r>
      <w:r w:rsidRPr="0002711D">
        <w:rPr>
          <w:rFonts w:ascii="Tahoma" w:hAnsi="Tahoma" w:cs="Tahoma"/>
        </w:rPr>
        <w:t xml:space="preserve">Licitación Pública por Subasta Inversa Presencial Nº 0011-2006-ED/UE </w:t>
      </w:r>
      <w:r>
        <w:rPr>
          <w:rFonts w:ascii="Tahoma" w:hAnsi="Tahoma" w:cs="Tahoma"/>
        </w:rPr>
        <w:t>108</w:t>
      </w:r>
      <w:r w:rsidRPr="0002711D">
        <w:rPr>
          <w:rFonts w:ascii="Tahoma" w:hAnsi="Tahoma" w:cs="Tahoma"/>
        </w:rPr>
        <w:t>, efectuada por el Ministerio de Educación, para la adquisición de Módulos de Mobiliario Escolar para atención a locales escolares en el marco de Shock de Inversiones</w:t>
      </w:r>
      <w:r w:rsidRPr="0002711D">
        <w:rPr>
          <w:rFonts w:ascii="Tahoma" w:hAnsi="Tahoma" w:cs="Tahoma"/>
          <w:color w:val="000000"/>
        </w:rPr>
        <w:t xml:space="preserve">,  y atendiendo a los siguientes:    </w:t>
      </w:r>
    </w:p>
    <w:p w:rsidR="002D308E" w:rsidRPr="009A6493" w:rsidRDefault="002D308E" w:rsidP="002D308E">
      <w:pPr>
        <w:pStyle w:val="Textoindependiente"/>
        <w:widowControl/>
        <w:tabs>
          <w:tab w:val="left" w:pos="540"/>
        </w:tabs>
        <w:suppressAutoHyphens w:val="0"/>
        <w:rPr>
          <w:rFonts w:cs="Tahoma"/>
          <w:sz w:val="20"/>
        </w:rPr>
      </w:pPr>
    </w:p>
    <w:p w:rsidR="002D308E" w:rsidRDefault="002D308E" w:rsidP="002D308E">
      <w:pPr>
        <w:jc w:val="both"/>
        <w:rPr>
          <w:rFonts w:ascii="Tahoma" w:hAnsi="Tahoma" w:cs="Tahoma"/>
          <w:b/>
          <w:shadow/>
        </w:rPr>
      </w:pPr>
      <w:r w:rsidRPr="00016A88">
        <w:rPr>
          <w:rFonts w:ascii="Tahoma" w:hAnsi="Tahoma" w:cs="Tahoma"/>
          <w:b/>
          <w:shadow/>
        </w:rPr>
        <w:t>ANTECEDENTES:</w:t>
      </w:r>
    </w:p>
    <w:p w:rsidR="002D308E" w:rsidRPr="0028010E" w:rsidRDefault="002D308E" w:rsidP="002D308E">
      <w:pPr>
        <w:jc w:val="both"/>
        <w:rPr>
          <w:rFonts w:ascii="Tahoma" w:hAnsi="Tahoma" w:cs="Tahoma"/>
        </w:rPr>
      </w:pPr>
    </w:p>
    <w:p w:rsidR="002D308E" w:rsidRPr="0028010E" w:rsidRDefault="002D308E" w:rsidP="002D308E">
      <w:pPr>
        <w:pStyle w:val="Textoindependiente"/>
        <w:widowControl/>
        <w:numPr>
          <w:ilvl w:val="0"/>
          <w:numId w:val="1"/>
        </w:numPr>
        <w:tabs>
          <w:tab w:val="left" w:pos="-2340"/>
        </w:tabs>
        <w:suppressAutoHyphens w:val="0"/>
        <w:ind w:hanging="540"/>
        <w:rPr>
          <w:rFonts w:cs="Tahoma"/>
          <w:bCs/>
          <w:sz w:val="20"/>
        </w:rPr>
      </w:pPr>
      <w:r w:rsidRPr="0028010E">
        <w:rPr>
          <w:rFonts w:cs="Tahoma"/>
          <w:sz w:val="20"/>
        </w:rPr>
        <w:t xml:space="preserve">El 07 de noviembre de 2006, el Ministerio de Educación, en adelante la Entidad, convocó a la Licitación Pública por Subasta Inversa </w:t>
      </w:r>
      <w:r>
        <w:rPr>
          <w:rFonts w:cs="Tahoma"/>
          <w:sz w:val="20"/>
        </w:rPr>
        <w:t>Presencial  Nº 0011-2006-ED/UE 108</w:t>
      </w:r>
      <w:r w:rsidRPr="0028010E">
        <w:rPr>
          <w:rFonts w:cs="Tahoma"/>
          <w:sz w:val="20"/>
        </w:rPr>
        <w:t>, para la “Adquisición de Módulos de Mobiliario Escolar para atención a locales escolares en el marco de Shock de Inversiones”, por un valor referencial ascendente a S/. 7’062,007.14 (Siete Millones sesenta y dos mil siete con 14/100 Nuevos Soles,  incluidos los tributos de ley.</w:t>
      </w:r>
    </w:p>
    <w:p w:rsidR="002D308E" w:rsidRPr="0028010E" w:rsidRDefault="002D308E" w:rsidP="002D308E">
      <w:pPr>
        <w:pStyle w:val="Textoindependiente"/>
        <w:tabs>
          <w:tab w:val="left" w:pos="-2340"/>
        </w:tabs>
        <w:rPr>
          <w:rFonts w:cs="Tahoma"/>
          <w:bCs/>
          <w:sz w:val="20"/>
        </w:rPr>
      </w:pPr>
    </w:p>
    <w:p w:rsidR="002D308E" w:rsidRPr="0028010E" w:rsidRDefault="002D308E" w:rsidP="002D308E">
      <w:pPr>
        <w:pStyle w:val="Textoindependiente"/>
        <w:widowControl/>
        <w:numPr>
          <w:ilvl w:val="0"/>
          <w:numId w:val="1"/>
        </w:numPr>
        <w:tabs>
          <w:tab w:val="left" w:pos="-2340"/>
        </w:tabs>
        <w:suppressAutoHyphens w:val="0"/>
        <w:ind w:hanging="540"/>
        <w:rPr>
          <w:rFonts w:cs="Tahoma"/>
          <w:bCs/>
          <w:sz w:val="20"/>
        </w:rPr>
      </w:pPr>
      <w:r w:rsidRPr="0028010E">
        <w:rPr>
          <w:rFonts w:cs="Tahoma"/>
          <w:bCs/>
          <w:sz w:val="20"/>
        </w:rPr>
        <w:t xml:space="preserve">El 22 de noviembre de 2006, en acto público se otorgó la Buena Pro del ítem Nº 17 del referido proceso de selección, al señor Cesar José Avendaño </w:t>
      </w:r>
      <w:proofErr w:type="spellStart"/>
      <w:r w:rsidRPr="0028010E">
        <w:rPr>
          <w:rFonts w:cs="Tahoma"/>
          <w:bCs/>
          <w:sz w:val="20"/>
        </w:rPr>
        <w:t>Teccse</w:t>
      </w:r>
      <w:proofErr w:type="spellEnd"/>
      <w:r w:rsidRPr="0028010E">
        <w:rPr>
          <w:rFonts w:cs="Tahoma"/>
          <w:bCs/>
          <w:sz w:val="20"/>
        </w:rPr>
        <w:t>, en adelante el  Postor.</w:t>
      </w:r>
    </w:p>
    <w:p w:rsidR="002D308E" w:rsidRPr="0028010E" w:rsidRDefault="002D308E" w:rsidP="002D308E">
      <w:pPr>
        <w:pStyle w:val="Textoindependiente"/>
        <w:widowControl/>
        <w:tabs>
          <w:tab w:val="left" w:pos="-2340"/>
        </w:tabs>
        <w:suppressAutoHyphens w:val="0"/>
        <w:rPr>
          <w:rFonts w:cs="Tahoma"/>
          <w:bCs/>
          <w:sz w:val="20"/>
        </w:rPr>
      </w:pPr>
    </w:p>
    <w:p w:rsidR="002D308E" w:rsidRPr="0028010E" w:rsidRDefault="002D308E" w:rsidP="002D308E">
      <w:pPr>
        <w:pStyle w:val="Textoindependiente"/>
        <w:widowControl/>
        <w:numPr>
          <w:ilvl w:val="0"/>
          <w:numId w:val="1"/>
        </w:numPr>
        <w:tabs>
          <w:tab w:val="left" w:pos="-2340"/>
        </w:tabs>
        <w:suppressAutoHyphens w:val="0"/>
        <w:ind w:hanging="540"/>
        <w:rPr>
          <w:rFonts w:cs="Tahoma"/>
          <w:bCs/>
          <w:sz w:val="20"/>
        </w:rPr>
      </w:pPr>
      <w:r w:rsidRPr="0028010E">
        <w:rPr>
          <w:rFonts w:cs="Tahoma"/>
          <w:bCs/>
          <w:sz w:val="20"/>
        </w:rPr>
        <w:t>Mediante Oficio N</w:t>
      </w:r>
      <w:proofErr w:type="gramStart"/>
      <w:r w:rsidRPr="0028010E">
        <w:rPr>
          <w:rFonts w:cs="Tahoma"/>
          <w:bCs/>
          <w:sz w:val="20"/>
        </w:rPr>
        <w:t>.º</w:t>
      </w:r>
      <w:proofErr w:type="gramEnd"/>
      <w:r w:rsidRPr="0028010E">
        <w:rPr>
          <w:rFonts w:cs="Tahoma"/>
          <w:bCs/>
          <w:sz w:val="20"/>
        </w:rPr>
        <w:t xml:space="preserve"> </w:t>
      </w:r>
      <w:r>
        <w:rPr>
          <w:rFonts w:cs="Tahoma"/>
          <w:bCs/>
          <w:sz w:val="20"/>
        </w:rPr>
        <w:t>111</w:t>
      </w:r>
      <w:r w:rsidRPr="0028010E">
        <w:rPr>
          <w:rFonts w:cs="Tahoma"/>
          <w:bCs/>
          <w:sz w:val="20"/>
        </w:rPr>
        <w:t>-200</w:t>
      </w:r>
      <w:r>
        <w:rPr>
          <w:rFonts w:cs="Tahoma"/>
          <w:bCs/>
          <w:sz w:val="20"/>
        </w:rPr>
        <w:t>6</w:t>
      </w:r>
      <w:r w:rsidRPr="0028010E">
        <w:rPr>
          <w:rFonts w:cs="Tahoma"/>
          <w:bCs/>
          <w:sz w:val="20"/>
        </w:rPr>
        <w:t xml:space="preserve">-ME/SG-OGA-UA-APP, de fecha 27 de noviembre de 2006, se comunicó al Postor el consentimiento del otorgamiento de la buena pro, y se le requirió la información respectiva para la firma del contrato, debiendo apersonar </w:t>
      </w:r>
      <w:r w:rsidRPr="0028010E">
        <w:rPr>
          <w:rFonts w:cs="Tahoma"/>
          <w:sz w:val="20"/>
        </w:rPr>
        <w:t>dentro del plazo de diez (10) días, es decir,</w:t>
      </w:r>
      <w:r w:rsidRPr="0028010E">
        <w:rPr>
          <w:rFonts w:cs="Tahoma"/>
          <w:bCs/>
          <w:sz w:val="20"/>
        </w:rPr>
        <w:t xml:space="preserve"> h</w:t>
      </w:r>
      <w:r>
        <w:rPr>
          <w:rFonts w:cs="Tahoma"/>
          <w:bCs/>
          <w:sz w:val="20"/>
        </w:rPr>
        <w:t>asta el 13 de diciembre de 2006, a efectos de suscribir el contrato correspondiente.</w:t>
      </w:r>
    </w:p>
    <w:p w:rsidR="002D308E" w:rsidRPr="0028010E" w:rsidRDefault="002D308E" w:rsidP="002D308E">
      <w:pPr>
        <w:pStyle w:val="Textoindependiente"/>
        <w:tabs>
          <w:tab w:val="left" w:pos="-2340"/>
        </w:tabs>
        <w:rPr>
          <w:rFonts w:cs="Tahoma"/>
          <w:bCs/>
          <w:sz w:val="20"/>
        </w:rPr>
      </w:pPr>
    </w:p>
    <w:p w:rsidR="002D308E" w:rsidRPr="0028010E" w:rsidRDefault="002D308E" w:rsidP="002D308E">
      <w:pPr>
        <w:pStyle w:val="Textoindependiente"/>
        <w:widowControl/>
        <w:numPr>
          <w:ilvl w:val="0"/>
          <w:numId w:val="1"/>
        </w:numPr>
        <w:tabs>
          <w:tab w:val="left" w:pos="-2340"/>
        </w:tabs>
        <w:suppressAutoHyphens w:val="0"/>
        <w:ind w:hanging="540"/>
        <w:rPr>
          <w:rFonts w:cs="Tahoma"/>
          <w:bCs/>
          <w:sz w:val="20"/>
        </w:rPr>
      </w:pPr>
      <w:r w:rsidRPr="0028010E">
        <w:rPr>
          <w:rFonts w:cs="Tahoma"/>
          <w:sz w:val="20"/>
        </w:rPr>
        <w:t xml:space="preserve"> Mediante Oficio Nº 007-2007-ME/SG-OGA-UA-APP del 04 de enero de 2007, la Entidad revocó el otorgamiento de la buena pro a favor del Postor, al no haberse apersonado a suscribir el contrato dentro de los plazos otorgados y le comunicó a la empresa que ocupó el segundo lugar, que se apersone para la suscripción del contrato</w:t>
      </w:r>
    </w:p>
    <w:p w:rsidR="002D308E" w:rsidRPr="0028010E" w:rsidRDefault="002D308E" w:rsidP="002D308E">
      <w:pPr>
        <w:pStyle w:val="Textoindependiente"/>
        <w:tabs>
          <w:tab w:val="left" w:pos="-2340"/>
        </w:tabs>
        <w:rPr>
          <w:rFonts w:cs="Tahoma"/>
          <w:bCs/>
          <w:sz w:val="20"/>
        </w:rPr>
      </w:pPr>
    </w:p>
    <w:p w:rsidR="002D308E" w:rsidRPr="0028010E" w:rsidRDefault="002D308E" w:rsidP="002D308E">
      <w:pPr>
        <w:pStyle w:val="Textoindependiente"/>
        <w:widowControl/>
        <w:numPr>
          <w:ilvl w:val="0"/>
          <w:numId w:val="1"/>
        </w:numPr>
        <w:tabs>
          <w:tab w:val="left" w:pos="-2340"/>
        </w:tabs>
        <w:suppressAutoHyphens w:val="0"/>
        <w:ind w:hanging="540"/>
        <w:rPr>
          <w:rFonts w:cs="Tahoma"/>
          <w:bCs/>
          <w:sz w:val="20"/>
        </w:rPr>
      </w:pPr>
      <w:r w:rsidRPr="0028010E">
        <w:rPr>
          <w:rFonts w:cs="Tahoma"/>
          <w:bCs/>
          <w:sz w:val="20"/>
        </w:rPr>
        <w:t>Mediante Oficio N.° 388-2005-ME/SG, recibido el 23 de marzo de 2007, la Entidad denunció al Postor ante el Tribunal de Contrataciones y Adquisiciones del Estado, en adelante el Tribunal, por su supuesta responsabilidad en la no suscripción injustificada del contrato.</w:t>
      </w:r>
    </w:p>
    <w:p w:rsidR="002D308E" w:rsidRPr="0028010E" w:rsidRDefault="002D308E" w:rsidP="002D308E">
      <w:pPr>
        <w:pStyle w:val="Textoindependiente"/>
        <w:tabs>
          <w:tab w:val="left" w:pos="-2340"/>
        </w:tabs>
        <w:rPr>
          <w:rFonts w:cs="Tahoma"/>
          <w:bCs/>
          <w:sz w:val="20"/>
        </w:rPr>
      </w:pPr>
    </w:p>
    <w:p w:rsidR="002D308E" w:rsidRPr="0028010E" w:rsidRDefault="002D308E" w:rsidP="002D308E">
      <w:pPr>
        <w:pStyle w:val="Textoindependiente"/>
        <w:widowControl/>
        <w:numPr>
          <w:ilvl w:val="0"/>
          <w:numId w:val="1"/>
        </w:numPr>
        <w:tabs>
          <w:tab w:val="left" w:pos="-2340"/>
        </w:tabs>
        <w:suppressAutoHyphens w:val="0"/>
        <w:ind w:hanging="540"/>
        <w:rPr>
          <w:rFonts w:cs="Tahoma"/>
          <w:sz w:val="20"/>
        </w:rPr>
      </w:pPr>
      <w:r w:rsidRPr="0028010E">
        <w:rPr>
          <w:rFonts w:cs="Tahoma"/>
          <w:bCs/>
          <w:sz w:val="20"/>
        </w:rPr>
        <w:t xml:space="preserve"> El 27 de marzo de 2007, el Tribunal dispuso el inicio del procedimiento administrativo sancionador contra el Postor por supuesta responsabilidad en la no suscripción injustificada del contrato y lo emplazo para que dentro del plazo de ley cumpla con presentar sus descargos, bajo apercibimiento de resolverse con la documentación obrante en autos.</w:t>
      </w:r>
    </w:p>
    <w:p w:rsidR="002D308E" w:rsidRPr="0028010E" w:rsidRDefault="002D308E" w:rsidP="002D308E">
      <w:pPr>
        <w:pStyle w:val="Prrafodelista"/>
        <w:rPr>
          <w:rFonts w:ascii="Tahoma" w:hAnsi="Tahoma" w:cs="Tahoma"/>
        </w:rPr>
      </w:pPr>
    </w:p>
    <w:p w:rsidR="002D308E" w:rsidRPr="0028010E" w:rsidRDefault="002D308E" w:rsidP="002D308E">
      <w:pPr>
        <w:pStyle w:val="Textoindependiente"/>
        <w:widowControl/>
        <w:numPr>
          <w:ilvl w:val="0"/>
          <w:numId w:val="1"/>
        </w:numPr>
        <w:tabs>
          <w:tab w:val="left" w:pos="-2340"/>
        </w:tabs>
        <w:suppressAutoHyphens w:val="0"/>
        <w:ind w:hanging="540"/>
        <w:rPr>
          <w:rFonts w:cs="Tahoma"/>
          <w:sz w:val="20"/>
        </w:rPr>
      </w:pPr>
      <w:r w:rsidRPr="0028010E">
        <w:rPr>
          <w:rFonts w:cs="Tahoma"/>
          <w:sz w:val="20"/>
        </w:rPr>
        <w:t>Habiéndose verificado que la cédula de notificación N</w:t>
      </w:r>
      <w:proofErr w:type="gramStart"/>
      <w:r w:rsidRPr="0028010E">
        <w:rPr>
          <w:rFonts w:cs="Tahoma"/>
          <w:sz w:val="20"/>
        </w:rPr>
        <w:t>.º</w:t>
      </w:r>
      <w:proofErr w:type="gramEnd"/>
      <w:r w:rsidRPr="0028010E">
        <w:rPr>
          <w:rFonts w:cs="Tahoma"/>
          <w:sz w:val="20"/>
        </w:rPr>
        <w:t xml:space="preserve"> 7965/2007.TC, cursada al Postor, no pudo ser diligenciada por desconocerse domicilio cierto para la respectiva comunicación, con decreto de fecha 03 de mayo de 2007, se dispuso notificar vía publicación en el Diario Oficial el Peruano el decreto de fecha 27 de marzo de 2007, a fin que cumpla con presentar sus descargos y haga efectivo su derecho de defensa.</w:t>
      </w:r>
    </w:p>
    <w:p w:rsidR="002D308E" w:rsidRPr="0028010E" w:rsidRDefault="002D308E" w:rsidP="002D308E">
      <w:pPr>
        <w:pStyle w:val="Prrafodelista"/>
        <w:rPr>
          <w:rFonts w:ascii="Tahoma" w:hAnsi="Tahoma" w:cs="Tahoma"/>
        </w:rPr>
      </w:pPr>
    </w:p>
    <w:p w:rsidR="002D308E" w:rsidRPr="0028010E" w:rsidRDefault="002D308E" w:rsidP="002D308E">
      <w:pPr>
        <w:pStyle w:val="Textoindependiente"/>
        <w:widowControl/>
        <w:numPr>
          <w:ilvl w:val="0"/>
          <w:numId w:val="1"/>
        </w:numPr>
        <w:tabs>
          <w:tab w:val="left" w:pos="-2340"/>
        </w:tabs>
        <w:suppressAutoHyphens w:val="0"/>
        <w:ind w:hanging="540"/>
        <w:rPr>
          <w:rFonts w:cs="Tahoma"/>
          <w:sz w:val="20"/>
        </w:rPr>
      </w:pPr>
      <w:r w:rsidRPr="0028010E">
        <w:rPr>
          <w:rFonts w:cs="Tahoma"/>
          <w:sz w:val="20"/>
        </w:rPr>
        <w:t>Mediante escrito de fecha 08 de mayo de 2007, la Entidad remitió de manera completa los antecedentes administrativos.</w:t>
      </w:r>
    </w:p>
    <w:p w:rsidR="002D308E" w:rsidRPr="0028010E" w:rsidRDefault="002D308E" w:rsidP="002D308E">
      <w:pPr>
        <w:pStyle w:val="Textoindependiente"/>
        <w:tabs>
          <w:tab w:val="left" w:pos="-2340"/>
        </w:tabs>
        <w:rPr>
          <w:rFonts w:cs="Tahoma"/>
          <w:sz w:val="20"/>
        </w:rPr>
      </w:pPr>
    </w:p>
    <w:p w:rsidR="002D308E" w:rsidRPr="0028010E" w:rsidRDefault="002D308E" w:rsidP="002D308E">
      <w:pPr>
        <w:pStyle w:val="Textoindependiente"/>
        <w:widowControl/>
        <w:numPr>
          <w:ilvl w:val="0"/>
          <w:numId w:val="1"/>
        </w:numPr>
        <w:tabs>
          <w:tab w:val="left" w:pos="-2340"/>
        </w:tabs>
        <w:suppressAutoHyphens w:val="0"/>
        <w:ind w:hanging="540"/>
        <w:rPr>
          <w:rFonts w:cs="Tahoma"/>
          <w:sz w:val="20"/>
        </w:rPr>
      </w:pPr>
      <w:r w:rsidRPr="0028010E">
        <w:rPr>
          <w:rFonts w:cs="Tahoma"/>
          <w:bCs/>
          <w:sz w:val="20"/>
        </w:rPr>
        <w:t xml:space="preserve">Con Decreto de fecha 01 de junio de 2007, el Tribunal previa razón de secretaría hizo efectivo el apercibimiento decretado y remitió el expediente a la Tercera Sala del Tribunal para que resuelva. </w:t>
      </w:r>
    </w:p>
    <w:p w:rsidR="002D308E" w:rsidRPr="00390AA8" w:rsidRDefault="002D308E" w:rsidP="002D308E">
      <w:pPr>
        <w:jc w:val="both"/>
        <w:rPr>
          <w:rFonts w:ascii="Tahoma" w:hAnsi="Tahoma" w:cs="Tahoma"/>
        </w:rPr>
      </w:pPr>
    </w:p>
    <w:p w:rsidR="002D308E" w:rsidRDefault="002D308E" w:rsidP="002D308E">
      <w:pPr>
        <w:jc w:val="both"/>
        <w:rPr>
          <w:rFonts w:ascii="Tahoma" w:hAnsi="Tahoma" w:cs="Tahoma"/>
          <w:b/>
          <w:shadow/>
        </w:rPr>
      </w:pPr>
      <w:r w:rsidRPr="00016A88">
        <w:rPr>
          <w:rFonts w:ascii="Tahoma" w:hAnsi="Tahoma" w:cs="Tahoma"/>
          <w:b/>
          <w:shadow/>
        </w:rPr>
        <w:t>FUNDAMENTACIÓN:</w:t>
      </w:r>
    </w:p>
    <w:p w:rsidR="002D308E" w:rsidRPr="0028010E" w:rsidRDefault="002D308E" w:rsidP="002D308E">
      <w:pPr>
        <w:jc w:val="both"/>
        <w:rPr>
          <w:rFonts w:ascii="Tahoma" w:hAnsi="Tahoma" w:cs="Tahoma"/>
        </w:rPr>
      </w:pPr>
    </w:p>
    <w:p w:rsidR="002D308E" w:rsidRPr="002B595D" w:rsidRDefault="002D308E" w:rsidP="002D308E">
      <w:pPr>
        <w:numPr>
          <w:ilvl w:val="0"/>
          <w:numId w:val="2"/>
        </w:numPr>
        <w:tabs>
          <w:tab w:val="clear" w:pos="360"/>
          <w:tab w:val="num" w:pos="540"/>
        </w:tabs>
        <w:ind w:left="540" w:hanging="540"/>
        <w:jc w:val="both"/>
        <w:rPr>
          <w:rFonts w:ascii="Tahoma" w:hAnsi="Tahoma" w:cs="Tahoma"/>
        </w:rPr>
      </w:pPr>
      <w:r w:rsidRPr="002B595D">
        <w:rPr>
          <w:rFonts w:ascii="Tahoma" w:hAnsi="Tahoma" w:cs="Tahoma"/>
          <w:lang w:val="es-PE"/>
        </w:rPr>
        <w:t xml:space="preserve">El presente procedimiento administrativo está referido a la supuesta responsabilidad del </w:t>
      </w:r>
      <w:r w:rsidRPr="002B595D">
        <w:rPr>
          <w:rFonts w:ascii="Tahoma" w:hAnsi="Tahoma" w:cs="Tahoma"/>
          <w:bCs/>
        </w:rPr>
        <w:t xml:space="preserve">señor Cesar José Avendaño </w:t>
      </w:r>
      <w:proofErr w:type="spellStart"/>
      <w:r w:rsidRPr="002B595D">
        <w:rPr>
          <w:rFonts w:ascii="Tahoma" w:hAnsi="Tahoma" w:cs="Tahoma"/>
          <w:bCs/>
        </w:rPr>
        <w:t>Teccse</w:t>
      </w:r>
      <w:proofErr w:type="spellEnd"/>
      <w:r w:rsidRPr="002B595D">
        <w:rPr>
          <w:rFonts w:ascii="Tahoma" w:hAnsi="Tahoma" w:cs="Tahoma"/>
          <w:lang w:val="es-PE"/>
        </w:rPr>
        <w:t xml:space="preserve"> por no suscribir injustificadamente el contrato, respecto del ítem 17 en la Licitación Pública por Subasta Inversa Presencial Nº 0011-2006-ED/UE 108, infracción</w:t>
      </w:r>
      <w:r w:rsidRPr="002B595D">
        <w:rPr>
          <w:rFonts w:ascii="Tahoma" w:hAnsi="Tahoma" w:cs="Tahoma"/>
        </w:rPr>
        <w:t xml:space="preserve"> tipificada en el numeral 1) del artículo 294 del Reglamento de la Ley de Contrataciones y Adquisiciones del Estado, aprobado por Decreto Supremo N.° 084-2004-PCM, en adelante el Reglamento, norma vigente al suscitarse los hechos.</w:t>
      </w:r>
    </w:p>
    <w:p w:rsidR="002D308E" w:rsidRPr="0028010E" w:rsidRDefault="002D308E" w:rsidP="002D308E">
      <w:pPr>
        <w:jc w:val="both"/>
        <w:rPr>
          <w:rFonts w:ascii="Tahoma" w:hAnsi="Tahoma" w:cs="Tahoma"/>
        </w:rPr>
      </w:pPr>
    </w:p>
    <w:p w:rsidR="002D308E" w:rsidRPr="0028010E" w:rsidRDefault="002D308E" w:rsidP="002D308E">
      <w:pPr>
        <w:numPr>
          <w:ilvl w:val="0"/>
          <w:numId w:val="2"/>
        </w:numPr>
        <w:tabs>
          <w:tab w:val="clear" w:pos="360"/>
          <w:tab w:val="num" w:pos="540"/>
        </w:tabs>
        <w:ind w:left="540" w:hanging="540"/>
        <w:jc w:val="both"/>
        <w:rPr>
          <w:rFonts w:ascii="Tahoma" w:hAnsi="Tahoma" w:cs="Tahoma"/>
        </w:rPr>
      </w:pPr>
      <w:r w:rsidRPr="0028010E">
        <w:rPr>
          <w:rFonts w:ascii="Tahoma" w:hAnsi="Tahoma" w:cs="Tahoma"/>
        </w:rPr>
        <w:t xml:space="preserve">El procedimiento para suscribir el contrato ha sido previsto en el numeral 1) del artículo 203 del Reglamento, el cual dispone que dentro de los cinco (05) días hábiles siguientes al consentimiento de la buena pro, la Entidad deberá citar al postor ganador, otorgándole un plazo de diez (10) días hábiles dentro del cual deberá presentarse a suscribir el contrato con toda la documentación requerida.  Asimismo, </w:t>
      </w:r>
      <w:r w:rsidRPr="0028010E">
        <w:rPr>
          <w:rFonts w:ascii="Tahoma" w:hAnsi="Tahoma" w:cs="Tahoma"/>
          <w:lang w:val="es-ES_tradnl"/>
        </w:rPr>
        <w:t>el citado dispositivo reglamentario precisa que, e</w:t>
      </w:r>
      <w:r w:rsidRPr="0028010E">
        <w:rPr>
          <w:rFonts w:ascii="Tahoma" w:hAnsi="Tahoma" w:cs="Tahoma"/>
        </w:rPr>
        <w:t>n caso de que el postor no se presente dentro del plazo otorgado, perderá automáticamente la buena pro, sin perjuicio de la imposición administrativamente aplicable.</w:t>
      </w:r>
    </w:p>
    <w:p w:rsidR="002D308E" w:rsidRPr="0028010E" w:rsidRDefault="002D308E" w:rsidP="002D308E">
      <w:pPr>
        <w:jc w:val="both"/>
        <w:rPr>
          <w:rFonts w:ascii="Tahoma" w:hAnsi="Tahoma" w:cs="Tahoma"/>
        </w:rPr>
      </w:pPr>
    </w:p>
    <w:p w:rsidR="002D308E" w:rsidRPr="0028010E" w:rsidRDefault="002D308E" w:rsidP="002D308E">
      <w:pPr>
        <w:ind w:left="540"/>
        <w:jc w:val="both"/>
        <w:rPr>
          <w:rFonts w:ascii="Tahoma" w:hAnsi="Tahoma" w:cs="Tahoma"/>
        </w:rPr>
      </w:pPr>
      <w:r w:rsidRPr="0028010E">
        <w:rPr>
          <w:rFonts w:ascii="Tahoma" w:hAnsi="Tahoma" w:cs="Tahoma"/>
          <w:lang w:val="es-ES_tradnl"/>
        </w:rPr>
        <w:t xml:space="preserve">El cumplimiento de este procedimiento es </w:t>
      </w:r>
      <w:r w:rsidRPr="0028010E">
        <w:rPr>
          <w:rFonts w:ascii="Tahoma" w:hAnsi="Tahoma" w:cs="Tahoma"/>
          <w:b/>
          <w:i/>
          <w:lang w:val="es-ES_tradnl"/>
        </w:rPr>
        <w:t>condición necesaria</w:t>
      </w:r>
      <w:r w:rsidRPr="0028010E">
        <w:rPr>
          <w:rFonts w:ascii="Tahoma" w:hAnsi="Tahoma" w:cs="Tahoma"/>
          <w:lang w:val="es-ES_tradnl"/>
        </w:rPr>
        <w:t xml:space="preserve"> para evaluar la existencia de eventuales responsabilidades por la comisión de la infracción tipificada en el numeral 1) del artículo 205 del Reglamento.</w:t>
      </w:r>
    </w:p>
    <w:p w:rsidR="002D308E" w:rsidRPr="0028010E" w:rsidRDefault="002D308E" w:rsidP="002D308E">
      <w:pPr>
        <w:jc w:val="both"/>
        <w:rPr>
          <w:rFonts w:ascii="Tahoma" w:hAnsi="Tahoma" w:cs="Tahoma"/>
        </w:rPr>
      </w:pPr>
    </w:p>
    <w:p w:rsidR="002D308E" w:rsidRPr="0028010E" w:rsidRDefault="002D308E" w:rsidP="002D308E">
      <w:pPr>
        <w:numPr>
          <w:ilvl w:val="0"/>
          <w:numId w:val="2"/>
        </w:numPr>
        <w:tabs>
          <w:tab w:val="clear" w:pos="360"/>
          <w:tab w:val="num" w:pos="540"/>
        </w:tabs>
        <w:ind w:left="540" w:hanging="540"/>
        <w:jc w:val="both"/>
        <w:rPr>
          <w:rFonts w:ascii="Tahoma" w:hAnsi="Tahoma" w:cs="Tahoma"/>
        </w:rPr>
      </w:pPr>
      <w:r w:rsidRPr="0028010E">
        <w:rPr>
          <w:rFonts w:ascii="Tahoma" w:hAnsi="Tahoma" w:cs="Tahoma"/>
        </w:rPr>
        <w:t>De la revisión de los antecedentes administrativos se apreci</w:t>
      </w:r>
      <w:r>
        <w:rPr>
          <w:rFonts w:ascii="Tahoma" w:hAnsi="Tahoma" w:cs="Tahoma"/>
        </w:rPr>
        <w:t>a que, a través del Oficio N.° 111</w:t>
      </w:r>
      <w:r w:rsidRPr="0028010E">
        <w:rPr>
          <w:rFonts w:ascii="Tahoma" w:hAnsi="Tahoma" w:cs="Tahoma"/>
        </w:rPr>
        <w:t>-2006-ME/SG-OGA-UA-APP del 27 de noviembre de 2006,  la Entidad citó al Postor para que suscriba el contrato el 13 de diciembre de 2006. Transcurrido el plazo legal otorgado, el Postor no se apersonó a celebrar el acto jurídico contractual, por lo que la Entidad le revocó la buena pro mediante Oficio Nº 007-2007-ME/SG-OGA-UA-APP de fecha 04 de enero de 2007, citando al postor que ocupo el segundo lugar para la suscripción del contrato.</w:t>
      </w:r>
    </w:p>
    <w:p w:rsidR="002D308E" w:rsidRPr="0028010E" w:rsidRDefault="002D308E" w:rsidP="002D308E">
      <w:pPr>
        <w:jc w:val="both"/>
        <w:rPr>
          <w:rFonts w:ascii="Tahoma" w:hAnsi="Tahoma" w:cs="Tahoma"/>
        </w:rPr>
      </w:pPr>
    </w:p>
    <w:p w:rsidR="002D308E" w:rsidRPr="0028010E" w:rsidRDefault="002D308E" w:rsidP="002D308E">
      <w:pPr>
        <w:numPr>
          <w:ilvl w:val="0"/>
          <w:numId w:val="2"/>
        </w:numPr>
        <w:tabs>
          <w:tab w:val="clear" w:pos="360"/>
          <w:tab w:val="num" w:pos="540"/>
        </w:tabs>
        <w:ind w:left="540" w:hanging="540"/>
        <w:jc w:val="both"/>
        <w:rPr>
          <w:rFonts w:ascii="Tahoma" w:hAnsi="Tahoma" w:cs="Tahoma"/>
        </w:rPr>
      </w:pPr>
      <w:r w:rsidRPr="0028010E">
        <w:rPr>
          <w:rFonts w:ascii="Tahoma" w:hAnsi="Tahoma" w:cs="Tahoma"/>
          <w:lang w:val="es-ES_tradnl"/>
        </w:rPr>
        <w:t xml:space="preserve">En razón a lo expuesto, habiéndose verificado que la </w:t>
      </w:r>
      <w:r w:rsidRPr="0028010E">
        <w:rPr>
          <w:rFonts w:ascii="Tahoma" w:hAnsi="Tahoma" w:cs="Tahoma"/>
        </w:rPr>
        <w:t xml:space="preserve">Entidad cumplió las formalidades y procedimientos para la suscripción del contrato, </w:t>
      </w:r>
      <w:r w:rsidRPr="0028010E">
        <w:rPr>
          <w:rFonts w:ascii="Tahoma" w:hAnsi="Tahoma" w:cs="Tahoma"/>
          <w:lang w:val="es-ES_tradnl"/>
        </w:rPr>
        <w:t xml:space="preserve">corresponde a este colegiado determinar si dicha omisión resultó justificada o no, en tanto que solamente la no suscripción que obedece a causas injustificadas atribuibles al Postor es sancionable administrativamente. </w:t>
      </w:r>
    </w:p>
    <w:p w:rsidR="002D308E" w:rsidRPr="0028010E" w:rsidRDefault="002D308E" w:rsidP="002D308E">
      <w:pPr>
        <w:jc w:val="both"/>
        <w:rPr>
          <w:rFonts w:ascii="Tahoma" w:hAnsi="Tahoma" w:cs="Tahoma"/>
        </w:rPr>
      </w:pPr>
    </w:p>
    <w:p w:rsidR="002D308E" w:rsidRPr="00B84E07" w:rsidRDefault="002D308E" w:rsidP="002D308E">
      <w:pPr>
        <w:numPr>
          <w:ilvl w:val="0"/>
          <w:numId w:val="2"/>
        </w:numPr>
        <w:tabs>
          <w:tab w:val="clear" w:pos="360"/>
          <w:tab w:val="num" w:pos="540"/>
        </w:tabs>
        <w:ind w:left="540" w:hanging="540"/>
        <w:jc w:val="both"/>
        <w:rPr>
          <w:rFonts w:ascii="Tahoma" w:hAnsi="Tahoma" w:cs="Tahoma"/>
        </w:rPr>
      </w:pPr>
      <w:r w:rsidRPr="0028010E">
        <w:rPr>
          <w:rFonts w:ascii="Tahoma" w:hAnsi="Tahoma" w:cs="Tahoma"/>
          <w:lang w:val="es-ES_tradnl"/>
        </w:rPr>
        <w:t xml:space="preserve">Sobre los hechos materia de análisis, </w:t>
      </w:r>
      <w:r w:rsidRPr="0028010E">
        <w:rPr>
          <w:rFonts w:ascii="Tahoma" w:hAnsi="Tahoma" w:cs="Tahoma"/>
        </w:rPr>
        <w:t xml:space="preserve">El Postor no ha cumplido con formular sus descargos, a pesar de haber sido válidamente notificado </w:t>
      </w:r>
      <w:r>
        <w:rPr>
          <w:rFonts w:ascii="Tahoma" w:hAnsi="Tahoma" w:cs="Tahoma"/>
        </w:rPr>
        <w:t>mediante publicación el Diario oficial el Peruano el 16</w:t>
      </w:r>
      <w:r w:rsidRPr="0028010E">
        <w:rPr>
          <w:rFonts w:ascii="Tahoma" w:hAnsi="Tahoma" w:cs="Tahoma"/>
        </w:rPr>
        <w:t xml:space="preserve"> de </w:t>
      </w:r>
      <w:r>
        <w:rPr>
          <w:rFonts w:ascii="Tahoma" w:hAnsi="Tahoma" w:cs="Tahoma"/>
        </w:rPr>
        <w:t>mayo de</w:t>
      </w:r>
      <w:r w:rsidRPr="0028010E">
        <w:rPr>
          <w:rFonts w:ascii="Tahoma" w:hAnsi="Tahoma" w:cs="Tahoma"/>
        </w:rPr>
        <w:t xml:space="preserve"> 2007</w:t>
      </w:r>
      <w:r w:rsidRPr="0028010E">
        <w:rPr>
          <w:rStyle w:val="Refdenotaalpie"/>
          <w:rFonts w:ascii="Tahoma" w:hAnsi="Tahoma" w:cs="Tahoma"/>
        </w:rPr>
        <w:footnoteReference w:id="2"/>
      </w:r>
      <w:r w:rsidRPr="0028010E">
        <w:rPr>
          <w:rFonts w:ascii="Tahoma" w:hAnsi="Tahoma" w:cs="Tahoma"/>
        </w:rPr>
        <w:t>.</w:t>
      </w:r>
      <w:r w:rsidRPr="0028010E">
        <w:rPr>
          <w:rFonts w:ascii="Tahoma" w:hAnsi="Tahoma" w:cs="Tahoma"/>
          <w:b/>
        </w:rPr>
        <w:t xml:space="preserve">  </w:t>
      </w:r>
      <w:r w:rsidRPr="0028010E">
        <w:rPr>
          <w:rFonts w:ascii="Tahoma" w:hAnsi="Tahoma" w:cs="Tahoma"/>
        </w:rPr>
        <w:t>No desvirtuando lo aquí probado</w:t>
      </w:r>
      <w:r w:rsidRPr="0028010E">
        <w:rPr>
          <w:rFonts w:ascii="Tahoma" w:hAnsi="Tahoma" w:cs="Tahoma"/>
          <w:b/>
        </w:rPr>
        <w:t>.</w:t>
      </w:r>
    </w:p>
    <w:p w:rsidR="002D308E" w:rsidRDefault="002D308E" w:rsidP="002D308E">
      <w:pPr>
        <w:pStyle w:val="Prrafodelista"/>
        <w:rPr>
          <w:rFonts w:ascii="Tahoma" w:hAnsi="Tahoma" w:cs="Tahoma"/>
        </w:rPr>
      </w:pPr>
    </w:p>
    <w:p w:rsidR="002D308E" w:rsidRPr="00F26BDC" w:rsidRDefault="002D308E" w:rsidP="002D308E">
      <w:pPr>
        <w:ind w:left="540"/>
        <w:jc w:val="both"/>
        <w:rPr>
          <w:rFonts w:ascii="Tahoma" w:hAnsi="Tahoma" w:cs="Tahoma"/>
        </w:rPr>
      </w:pPr>
      <w:r>
        <w:rPr>
          <w:rFonts w:ascii="Tahoma" w:hAnsi="Tahoma" w:cs="Tahoma"/>
        </w:rPr>
        <w:t xml:space="preserve">En virtud a ello, </w:t>
      </w:r>
      <w:r w:rsidRPr="00F26BDC">
        <w:rPr>
          <w:rFonts w:ascii="Tahoma" w:hAnsi="Tahoma" w:cs="Tahoma"/>
        </w:rPr>
        <w:t xml:space="preserve"> </w:t>
      </w:r>
      <w:r>
        <w:rPr>
          <w:rFonts w:ascii="Tahoma" w:hAnsi="Tahoma" w:cs="Tahoma"/>
        </w:rPr>
        <w:t>se aplica</w:t>
      </w:r>
      <w:r w:rsidRPr="00F26BDC">
        <w:rPr>
          <w:rFonts w:ascii="Tahoma" w:hAnsi="Tahoma" w:cs="Tahoma"/>
        </w:rPr>
        <w:t xml:space="preserve"> válidamente la presunción legal</w:t>
      </w:r>
      <w:r w:rsidRPr="00F26BDC">
        <w:rPr>
          <w:rStyle w:val="Refdenotaalpie"/>
          <w:rFonts w:ascii="Tahoma" w:hAnsi="Tahoma" w:cs="Tahoma"/>
        </w:rPr>
        <w:footnoteReference w:id="3"/>
      </w:r>
      <w:r w:rsidRPr="00F26BDC">
        <w:rPr>
          <w:rFonts w:ascii="Tahoma" w:hAnsi="Tahoma" w:cs="Tahoma"/>
        </w:rPr>
        <w:t xml:space="preserve"> establecida en el artículo 1329 del Código Civil,  que supone el incumplimiento de obligaciones o su cumplimiento parcial, tardío o defectuoso, como atribuible a la parte que debió ejecutarlas, salvo que ésta demuestre que el incumplimiento se produjo a pesar de haber actuado con la diligencia ordinaria exigida por la naturaleza de la prestación, o que la causa de ella fue un caso fortuito o fuerza mayor.  De esta manera queda configurada la causal invocada.</w:t>
      </w:r>
    </w:p>
    <w:p w:rsidR="002D308E" w:rsidRPr="0028010E" w:rsidRDefault="002D308E" w:rsidP="002D308E">
      <w:pPr>
        <w:jc w:val="both"/>
        <w:rPr>
          <w:rFonts w:ascii="Tahoma" w:hAnsi="Tahoma" w:cs="Tahoma"/>
        </w:rPr>
      </w:pPr>
    </w:p>
    <w:p w:rsidR="002D308E" w:rsidRPr="0028010E" w:rsidRDefault="002D308E" w:rsidP="002D308E">
      <w:pPr>
        <w:numPr>
          <w:ilvl w:val="0"/>
          <w:numId w:val="2"/>
        </w:numPr>
        <w:tabs>
          <w:tab w:val="clear" w:pos="360"/>
          <w:tab w:val="num" w:pos="540"/>
        </w:tabs>
        <w:ind w:left="540" w:hanging="540"/>
        <w:jc w:val="both"/>
        <w:rPr>
          <w:rFonts w:ascii="Tahoma" w:hAnsi="Tahoma" w:cs="Tahoma"/>
        </w:rPr>
      </w:pPr>
      <w:r w:rsidRPr="0028010E">
        <w:rPr>
          <w:rFonts w:ascii="Tahoma" w:hAnsi="Tahoma" w:cs="Tahoma"/>
        </w:rPr>
        <w:t xml:space="preserve">Por lo tanto, y, en consideración a los fundamentos antes expuestos, este Colegiado concluye que en éste procedimiento administrativo de sanción, se ha acreditado que el Postor ha incurrido en el supuesto de infracción tipificada en el numeral 1) del artículo 294 del Reglamento, aprobado por Decreto Supremo 084-2004-PCM,  el </w:t>
      </w:r>
      <w:proofErr w:type="spellStart"/>
      <w:r w:rsidRPr="0028010E">
        <w:rPr>
          <w:rFonts w:ascii="Tahoma" w:hAnsi="Tahoma" w:cs="Tahoma"/>
        </w:rPr>
        <w:t>cuál</w:t>
      </w:r>
      <w:proofErr w:type="spellEnd"/>
      <w:r w:rsidRPr="0028010E">
        <w:rPr>
          <w:rFonts w:ascii="Tahoma" w:hAnsi="Tahoma" w:cs="Tahoma"/>
        </w:rPr>
        <w:t xml:space="preserve"> establece una sanción administrativa de inhabilitación al infractor, en su derecho para contratar con el Estado y participar en procesos de selección, por un período no menor de uno ni mayor a dos años. </w:t>
      </w:r>
    </w:p>
    <w:p w:rsidR="002D308E" w:rsidRPr="0028010E" w:rsidRDefault="002D308E" w:rsidP="002D308E">
      <w:pPr>
        <w:jc w:val="both"/>
        <w:rPr>
          <w:rFonts w:ascii="Tahoma" w:hAnsi="Tahoma" w:cs="Tahoma"/>
        </w:rPr>
      </w:pPr>
    </w:p>
    <w:p w:rsidR="002D308E" w:rsidRPr="0028010E" w:rsidRDefault="002D308E" w:rsidP="002D308E">
      <w:pPr>
        <w:numPr>
          <w:ilvl w:val="0"/>
          <w:numId w:val="2"/>
        </w:numPr>
        <w:tabs>
          <w:tab w:val="clear" w:pos="360"/>
          <w:tab w:val="num" w:pos="540"/>
        </w:tabs>
        <w:ind w:left="540" w:hanging="540"/>
        <w:jc w:val="both"/>
        <w:rPr>
          <w:rFonts w:ascii="Tahoma" w:hAnsi="Tahoma" w:cs="Tahoma"/>
        </w:rPr>
      </w:pPr>
      <w:r w:rsidRPr="0028010E">
        <w:rPr>
          <w:rFonts w:ascii="Tahoma" w:hAnsi="Tahoma" w:cs="Tahoma"/>
        </w:rPr>
        <w:t>En cuanto a la graduación de la sanción imponible,  debe tenerse en cuenta que entre los factores previstos en el artículo 302 del Reglamento, se establece la intencionalidad, la cual ha sido acreditada en el presente procedimiento,  puesto que el Postor no ha esgrimido argumento alguno que justifique el incumplimiento  a la no suscripción de contrato. A ello debe agregarse que no ha formulado sus descargos respectivos; mostrando total desinterés en el presente procedimiento sancionador.</w:t>
      </w:r>
    </w:p>
    <w:p w:rsidR="002D308E" w:rsidRPr="0028010E" w:rsidRDefault="002D308E" w:rsidP="002D308E">
      <w:pPr>
        <w:jc w:val="both"/>
        <w:rPr>
          <w:rFonts w:ascii="Tahoma" w:hAnsi="Tahoma" w:cs="Tahoma"/>
        </w:rPr>
      </w:pPr>
    </w:p>
    <w:p w:rsidR="002D308E" w:rsidRPr="0028010E" w:rsidRDefault="002D308E" w:rsidP="002D308E">
      <w:pPr>
        <w:numPr>
          <w:ilvl w:val="0"/>
          <w:numId w:val="2"/>
        </w:numPr>
        <w:tabs>
          <w:tab w:val="clear" w:pos="360"/>
          <w:tab w:val="num" w:pos="540"/>
        </w:tabs>
        <w:ind w:left="540" w:hanging="540"/>
        <w:jc w:val="both"/>
        <w:rPr>
          <w:rFonts w:ascii="Tahoma" w:hAnsi="Tahoma" w:cs="Tahoma"/>
        </w:rPr>
      </w:pPr>
      <w:r w:rsidRPr="0028010E">
        <w:rPr>
          <w:rFonts w:ascii="Tahoma" w:hAnsi="Tahoma" w:cs="Tahoma"/>
        </w:rPr>
        <w:t xml:space="preserve">Sobre el particular, </w:t>
      </w:r>
      <w:r w:rsidRPr="0028010E">
        <w:rPr>
          <w:rFonts w:ascii="Tahoma" w:hAnsi="Tahoma" w:cs="Tahoma"/>
          <w:lang w:val="es-PE"/>
        </w:rPr>
        <w:t>en aplicación a lo dispuesto en el numeral 3 del artículo 230</w:t>
      </w:r>
      <w:r w:rsidRPr="0028010E">
        <w:rPr>
          <w:rStyle w:val="Refdenotaalpie"/>
          <w:rFonts w:ascii="Tahoma" w:hAnsi="Tahoma" w:cs="Tahoma"/>
          <w:lang w:val="es-PE"/>
        </w:rPr>
        <w:footnoteReference w:id="4"/>
      </w:r>
      <w:r w:rsidRPr="0028010E">
        <w:rPr>
          <w:rFonts w:ascii="Tahoma" w:hAnsi="Tahoma" w:cs="Tahoma"/>
          <w:lang w:val="es-PE"/>
        </w:rPr>
        <w:t xml:space="preserve"> de la Ley del Procedimiento Administrativo General, referido al principio de razonabilidad</w:t>
      </w:r>
      <w:r w:rsidRPr="0028010E">
        <w:rPr>
          <w:rStyle w:val="Refdenotaalpie"/>
          <w:rFonts w:ascii="Tahoma" w:hAnsi="Tahoma" w:cs="Tahoma"/>
          <w:lang w:val="es-PE"/>
        </w:rPr>
        <w:footnoteReference w:id="5"/>
      </w:r>
      <w:r w:rsidRPr="0028010E">
        <w:rPr>
          <w:rFonts w:ascii="Tahoma" w:hAnsi="Tahoma" w:cs="Tahoma"/>
          <w:lang w:val="es-PE"/>
        </w:rPr>
        <w:t>, éste Tribunal considera pertinente imponer die</w:t>
      </w:r>
      <w:r>
        <w:rPr>
          <w:rFonts w:ascii="Tahoma" w:hAnsi="Tahoma" w:cs="Tahoma"/>
          <w:lang w:val="es-PE"/>
        </w:rPr>
        <w:t>ciséis</w:t>
      </w:r>
      <w:r w:rsidRPr="0028010E">
        <w:rPr>
          <w:rFonts w:ascii="Tahoma" w:hAnsi="Tahoma" w:cs="Tahoma"/>
          <w:lang w:val="es-PE"/>
        </w:rPr>
        <w:t xml:space="preserve"> (1</w:t>
      </w:r>
      <w:r>
        <w:rPr>
          <w:rFonts w:ascii="Tahoma" w:hAnsi="Tahoma" w:cs="Tahoma"/>
          <w:lang w:val="es-PE"/>
        </w:rPr>
        <w:t>6</w:t>
      </w:r>
      <w:r w:rsidRPr="0028010E">
        <w:rPr>
          <w:rFonts w:ascii="Tahoma" w:hAnsi="Tahoma" w:cs="Tahoma"/>
          <w:lang w:val="es-PE"/>
        </w:rPr>
        <w:t xml:space="preserve">)  meses de inhabilitación temporal al Contratista, en razón a la naturaleza de la infracción cometida, al monto involucrado en el proceso de selección de la referencia, y a las condiciones del infractor, quien no ha sido anteriormente sancionado </w:t>
      </w:r>
      <w:r w:rsidRPr="0028010E">
        <w:rPr>
          <w:rFonts w:ascii="Tahoma" w:hAnsi="Tahoma" w:cs="Tahoma"/>
        </w:rPr>
        <w:t>ni es objeto de algún procedimiento sancionador por alguna conducta tipificada como sancionable.</w:t>
      </w:r>
    </w:p>
    <w:p w:rsidR="002D308E" w:rsidRPr="000A2134" w:rsidRDefault="002D308E" w:rsidP="002D308E">
      <w:pPr>
        <w:jc w:val="both"/>
        <w:rPr>
          <w:rFonts w:ascii="Tahoma" w:hAnsi="Tahoma" w:cs="Tahoma"/>
          <w:b/>
          <w:shadow/>
        </w:rPr>
      </w:pPr>
    </w:p>
    <w:p w:rsidR="002D308E" w:rsidRPr="00016A88" w:rsidRDefault="002D308E" w:rsidP="002D308E">
      <w:pPr>
        <w:jc w:val="both"/>
        <w:rPr>
          <w:rFonts w:ascii="Tahoma" w:hAnsi="Tahoma" w:cs="Tahoma"/>
        </w:rPr>
      </w:pPr>
      <w:r w:rsidRPr="00016A88">
        <w:rPr>
          <w:rFonts w:ascii="Tahoma" w:hAnsi="Tahoma" w:cs="Tahoma"/>
        </w:rPr>
        <w:t xml:space="preserve">Por estos fundamentos, de conformidad con el informe de la Vocal Ponente doctora </w:t>
      </w:r>
      <w:proofErr w:type="spellStart"/>
      <w:r w:rsidRPr="00016A88">
        <w:rPr>
          <w:rFonts w:ascii="Tahoma" w:hAnsi="Tahoma" w:cs="Tahoma"/>
        </w:rPr>
        <w:t>Janette</w:t>
      </w:r>
      <w:proofErr w:type="spellEnd"/>
      <w:r w:rsidRPr="00016A88">
        <w:rPr>
          <w:rFonts w:ascii="Tahoma" w:hAnsi="Tahoma" w:cs="Tahoma"/>
        </w:rPr>
        <w:t xml:space="preserve"> </w:t>
      </w:r>
      <w:proofErr w:type="spellStart"/>
      <w:r w:rsidRPr="00016A88">
        <w:rPr>
          <w:rFonts w:ascii="Tahoma" w:hAnsi="Tahoma" w:cs="Tahoma"/>
        </w:rPr>
        <w:t>Elke</w:t>
      </w:r>
      <w:proofErr w:type="spellEnd"/>
      <w:r w:rsidRPr="00016A88">
        <w:rPr>
          <w:rFonts w:ascii="Tahoma" w:hAnsi="Tahoma" w:cs="Tahoma"/>
        </w:rPr>
        <w:t xml:space="preserve"> Ramírez </w:t>
      </w:r>
      <w:proofErr w:type="spellStart"/>
      <w:r w:rsidRPr="00016A88">
        <w:rPr>
          <w:rFonts w:ascii="Tahoma" w:hAnsi="Tahoma" w:cs="Tahoma"/>
        </w:rPr>
        <w:t>Maynetto</w:t>
      </w:r>
      <w:proofErr w:type="spellEnd"/>
      <w:r w:rsidRPr="00016A88">
        <w:rPr>
          <w:rFonts w:ascii="Tahoma" w:hAnsi="Tahoma" w:cs="Tahoma"/>
        </w:rPr>
        <w:t xml:space="preserve">, con la intervención de los doctores Juan Carlos Valdivia </w:t>
      </w:r>
      <w:proofErr w:type="spellStart"/>
      <w:r w:rsidRPr="00016A88">
        <w:rPr>
          <w:rFonts w:ascii="Tahoma" w:hAnsi="Tahoma" w:cs="Tahoma"/>
        </w:rPr>
        <w:t>Huaringa</w:t>
      </w:r>
      <w:proofErr w:type="spellEnd"/>
      <w:r w:rsidRPr="00016A88">
        <w:rPr>
          <w:rFonts w:ascii="Tahoma" w:hAnsi="Tahoma" w:cs="Tahoma"/>
        </w:rPr>
        <w:t xml:space="preserve"> y Carlos Vicente Navas Rondón, atendiendo a la </w:t>
      </w:r>
      <w:proofErr w:type="spellStart"/>
      <w:r w:rsidRPr="00016A88">
        <w:rPr>
          <w:rFonts w:ascii="Tahoma" w:hAnsi="Tahoma" w:cs="Tahoma"/>
        </w:rPr>
        <w:t>reconformación</w:t>
      </w:r>
      <w:proofErr w:type="spellEnd"/>
      <w:r w:rsidRPr="00016A88">
        <w:rPr>
          <w:rFonts w:ascii="Tahoma" w:hAnsi="Tahoma" w:cs="Tahoma"/>
        </w:rPr>
        <w:t xml:space="preserve"> de la Tercera Sala del Tribunal de Contrataciones y Adquisiciones del Estado, según lo dispuesto en la Resolución N.º 279-2007-CONSUCODE/PRE de fecha 21 de mayo de 2007,</w:t>
      </w:r>
      <w:r>
        <w:rPr>
          <w:rFonts w:ascii="Tahoma" w:hAnsi="Tahoma" w:cs="Tahoma"/>
        </w:rPr>
        <w:t xml:space="preserve"> </w:t>
      </w:r>
      <w:r w:rsidRPr="00016A88">
        <w:rPr>
          <w:rFonts w:ascii="Tahoma" w:hAnsi="Tahoma" w:cs="Tahoma"/>
        </w:rPr>
        <w:t>y de conformidad con las facultades conferidas en los artículos 53, 59 y 61 del Texto Único Ordenado de la Ley de Contrataciones y Adquisiciones del Estado, aprobado por Decreto Supremo N.º 083-2004-PCM, su Reglamento, aprobado por De</w:t>
      </w:r>
      <w:r>
        <w:rPr>
          <w:rFonts w:ascii="Tahoma" w:hAnsi="Tahoma" w:cs="Tahoma"/>
        </w:rPr>
        <w:t>creto Supremo N.º 084-2004-PCM</w:t>
      </w:r>
      <w:r w:rsidRPr="00016A88">
        <w:rPr>
          <w:rFonts w:ascii="Tahoma" w:hAnsi="Tahoma" w:cs="Tahoma"/>
          <w:lang w:val="es-ES_tradnl"/>
        </w:rPr>
        <w:t>,</w:t>
      </w:r>
      <w:r w:rsidRPr="00016A88">
        <w:rPr>
          <w:rFonts w:ascii="Tahoma" w:hAnsi="Tahoma" w:cs="Tahoma"/>
        </w:rPr>
        <w:t xml:space="preserve"> y los artículos 17 y 18 del Reglamento de Organización y Funciones del CONSUCOD</w:t>
      </w:r>
      <w:r>
        <w:rPr>
          <w:rFonts w:ascii="Tahoma" w:hAnsi="Tahoma" w:cs="Tahoma"/>
        </w:rPr>
        <w:t>E, aprobado por Decreto Supremo</w:t>
      </w:r>
      <w:r w:rsidRPr="00016A88">
        <w:rPr>
          <w:rFonts w:ascii="Tahoma" w:hAnsi="Tahoma" w:cs="Tahoma"/>
        </w:rPr>
        <w:t xml:space="preserve"> N.º 054-2007-EF; analizados los antecedentes y luego de agotado el correspondiente debate, por unanimidad;</w:t>
      </w:r>
    </w:p>
    <w:p w:rsidR="002D308E" w:rsidRDefault="002D308E" w:rsidP="002D308E">
      <w:pPr>
        <w:tabs>
          <w:tab w:val="num" w:pos="360"/>
        </w:tabs>
        <w:jc w:val="both"/>
        <w:rPr>
          <w:rFonts w:ascii="Tahoma" w:hAnsi="Tahoma" w:cs="Tahoma"/>
          <w:b/>
          <w:shadow/>
        </w:rPr>
      </w:pPr>
    </w:p>
    <w:p w:rsidR="002D308E" w:rsidRPr="00016A88" w:rsidRDefault="002D308E" w:rsidP="002D308E">
      <w:pPr>
        <w:tabs>
          <w:tab w:val="num" w:pos="360"/>
        </w:tabs>
        <w:jc w:val="both"/>
        <w:rPr>
          <w:rFonts w:ascii="Tahoma" w:hAnsi="Tahoma" w:cs="Tahoma"/>
          <w:b/>
          <w:shadow/>
        </w:rPr>
      </w:pPr>
    </w:p>
    <w:p w:rsidR="002D308E" w:rsidRDefault="002D308E" w:rsidP="002D308E">
      <w:pPr>
        <w:tabs>
          <w:tab w:val="num" w:pos="360"/>
        </w:tabs>
        <w:ind w:left="-180" w:firstLine="180"/>
        <w:jc w:val="both"/>
        <w:rPr>
          <w:rFonts w:ascii="Tahoma" w:hAnsi="Tahoma" w:cs="Tahoma"/>
          <w:b/>
          <w:shadow/>
        </w:rPr>
      </w:pPr>
      <w:r w:rsidRPr="00016A88">
        <w:rPr>
          <w:rFonts w:ascii="Tahoma" w:hAnsi="Tahoma" w:cs="Tahoma"/>
          <w:b/>
          <w:shadow/>
        </w:rPr>
        <w:t>LA SALA RESUELVE:</w:t>
      </w:r>
    </w:p>
    <w:p w:rsidR="002D308E" w:rsidRPr="0028010E" w:rsidRDefault="002D308E" w:rsidP="002D308E">
      <w:pPr>
        <w:jc w:val="both"/>
        <w:rPr>
          <w:rFonts w:ascii="Tahoma" w:hAnsi="Tahoma" w:cs="Tahoma"/>
          <w:b/>
          <w:shadow/>
        </w:rPr>
      </w:pPr>
    </w:p>
    <w:p w:rsidR="002D308E" w:rsidRPr="0028010E" w:rsidRDefault="002D308E" w:rsidP="002D308E">
      <w:pPr>
        <w:numPr>
          <w:ilvl w:val="0"/>
          <w:numId w:val="3"/>
        </w:numPr>
        <w:tabs>
          <w:tab w:val="num" w:pos="360"/>
        </w:tabs>
        <w:ind w:left="360"/>
        <w:jc w:val="both"/>
        <w:rPr>
          <w:rFonts w:ascii="Tahoma" w:hAnsi="Tahoma" w:cs="Tahoma"/>
        </w:rPr>
      </w:pPr>
      <w:r w:rsidRPr="0028010E">
        <w:rPr>
          <w:rFonts w:ascii="Tahoma" w:hAnsi="Tahoma" w:cs="Tahoma"/>
        </w:rPr>
        <w:t>Sancionar a</w:t>
      </w:r>
      <w:r>
        <w:rPr>
          <w:rFonts w:ascii="Tahoma" w:hAnsi="Tahoma" w:cs="Tahoma"/>
        </w:rPr>
        <w:t>l</w:t>
      </w:r>
      <w:r w:rsidRPr="0028010E">
        <w:rPr>
          <w:rFonts w:ascii="Tahoma" w:hAnsi="Tahoma" w:cs="Tahoma"/>
        </w:rPr>
        <w:t xml:space="preserve"> </w:t>
      </w:r>
      <w:r w:rsidRPr="002B595D">
        <w:rPr>
          <w:rFonts w:ascii="Tahoma" w:hAnsi="Tahoma" w:cs="Tahoma"/>
          <w:bCs/>
        </w:rPr>
        <w:t xml:space="preserve">señor Cesar José Avendaño </w:t>
      </w:r>
      <w:proofErr w:type="spellStart"/>
      <w:r w:rsidRPr="002B595D">
        <w:rPr>
          <w:rFonts w:ascii="Tahoma" w:hAnsi="Tahoma" w:cs="Tahoma"/>
          <w:bCs/>
        </w:rPr>
        <w:t>Teccse</w:t>
      </w:r>
      <w:proofErr w:type="spellEnd"/>
      <w:r w:rsidRPr="0028010E">
        <w:rPr>
          <w:rFonts w:ascii="Tahoma" w:hAnsi="Tahoma" w:cs="Tahoma"/>
        </w:rPr>
        <w:t xml:space="preserve"> con </w:t>
      </w:r>
      <w:r>
        <w:rPr>
          <w:rFonts w:ascii="Tahoma" w:hAnsi="Tahoma" w:cs="Tahoma"/>
        </w:rPr>
        <w:t>dieciséis</w:t>
      </w:r>
      <w:r w:rsidRPr="0028010E">
        <w:rPr>
          <w:rFonts w:ascii="Tahoma" w:hAnsi="Tahoma" w:cs="Tahoma"/>
          <w:b/>
        </w:rPr>
        <w:t xml:space="preserve"> (1</w:t>
      </w:r>
      <w:r>
        <w:rPr>
          <w:rFonts w:ascii="Tahoma" w:hAnsi="Tahoma" w:cs="Tahoma"/>
          <w:b/>
        </w:rPr>
        <w:t>6</w:t>
      </w:r>
      <w:r w:rsidRPr="0028010E">
        <w:rPr>
          <w:rFonts w:ascii="Tahoma" w:hAnsi="Tahoma" w:cs="Tahoma"/>
          <w:b/>
        </w:rPr>
        <w:t xml:space="preserve">) meses de inhabilitación temporal </w:t>
      </w:r>
      <w:r w:rsidRPr="0028010E">
        <w:rPr>
          <w:rFonts w:ascii="Tahoma" w:hAnsi="Tahoma" w:cs="Tahoma"/>
        </w:rPr>
        <w:t xml:space="preserve">en su derecho de participar en procesos de selección y contratar con el Estado, sanción que tendrá vigencia a partir del cuarto día hábil siguiente de </w:t>
      </w:r>
      <w:r>
        <w:rPr>
          <w:rFonts w:ascii="Tahoma" w:hAnsi="Tahoma" w:cs="Tahoma"/>
        </w:rPr>
        <w:t>publicada</w:t>
      </w:r>
      <w:r w:rsidRPr="0028010E">
        <w:rPr>
          <w:rFonts w:ascii="Tahoma" w:hAnsi="Tahoma" w:cs="Tahoma"/>
        </w:rPr>
        <w:t xml:space="preserve"> la presente resolución.</w:t>
      </w:r>
    </w:p>
    <w:p w:rsidR="002D308E" w:rsidRPr="0028010E" w:rsidRDefault="002D308E" w:rsidP="002D308E">
      <w:pPr>
        <w:jc w:val="both"/>
        <w:rPr>
          <w:rFonts w:ascii="Tahoma" w:hAnsi="Tahoma" w:cs="Tahoma"/>
        </w:rPr>
      </w:pPr>
    </w:p>
    <w:p w:rsidR="002D308E" w:rsidRPr="0028010E" w:rsidRDefault="002D308E" w:rsidP="002D308E">
      <w:pPr>
        <w:numPr>
          <w:ilvl w:val="0"/>
          <w:numId w:val="3"/>
        </w:numPr>
        <w:tabs>
          <w:tab w:val="num" w:pos="360"/>
        </w:tabs>
        <w:ind w:left="360"/>
        <w:jc w:val="both"/>
        <w:rPr>
          <w:rFonts w:ascii="Tahoma" w:hAnsi="Tahoma" w:cs="Tahoma"/>
          <w:b/>
          <w:shadow/>
          <w:lang w:val="pt-BR"/>
        </w:rPr>
      </w:pPr>
      <w:r w:rsidRPr="0028010E">
        <w:rPr>
          <w:rFonts w:ascii="Tahoma" w:hAnsi="Tahoma" w:cs="Tahoma"/>
        </w:rPr>
        <w:t xml:space="preserve">Poner la presente resolución en conocimiento a la </w:t>
      </w:r>
      <w:r>
        <w:rPr>
          <w:rFonts w:ascii="Tahoma" w:hAnsi="Tahoma" w:cs="Tahoma"/>
        </w:rPr>
        <w:t xml:space="preserve">Subdirección </w:t>
      </w:r>
      <w:r w:rsidRPr="0028010E">
        <w:rPr>
          <w:rFonts w:ascii="Tahoma" w:hAnsi="Tahoma" w:cs="Tahoma"/>
        </w:rPr>
        <w:t>de Registros del  CONSUCODE para las anotaciones de ley.</w:t>
      </w:r>
    </w:p>
    <w:p w:rsidR="002D308E" w:rsidRPr="0028010E" w:rsidRDefault="002D308E" w:rsidP="002D308E">
      <w:pPr>
        <w:jc w:val="both"/>
        <w:rPr>
          <w:rFonts w:ascii="Tahoma" w:hAnsi="Tahoma" w:cs="Tahoma"/>
          <w:b/>
          <w:shadow/>
          <w:lang w:val="pt-BR"/>
        </w:rPr>
      </w:pPr>
    </w:p>
    <w:p w:rsidR="002D308E" w:rsidRPr="000A2134" w:rsidRDefault="002D308E" w:rsidP="002D308E">
      <w:pPr>
        <w:jc w:val="both"/>
        <w:rPr>
          <w:rFonts w:ascii="Tahoma" w:hAnsi="Tahoma" w:cs="Tahoma"/>
          <w:b/>
          <w:shadow/>
          <w:lang w:val="es-ES_tradnl"/>
        </w:rPr>
      </w:pPr>
    </w:p>
    <w:p w:rsidR="002D308E" w:rsidRPr="00016A88" w:rsidRDefault="002D308E" w:rsidP="002D308E">
      <w:pPr>
        <w:pStyle w:val="Textoindependiente21"/>
        <w:rPr>
          <w:rFonts w:cs="Tahoma"/>
          <w:sz w:val="20"/>
        </w:rPr>
      </w:pPr>
      <w:r w:rsidRPr="00016A88">
        <w:rPr>
          <w:rFonts w:cs="Tahoma"/>
          <w:sz w:val="20"/>
        </w:rPr>
        <w:t>Regístrese, comuníquese y publíquese.</w:t>
      </w:r>
    </w:p>
    <w:p w:rsidR="002D308E" w:rsidRPr="00016A88" w:rsidRDefault="002D308E" w:rsidP="002D308E">
      <w:pPr>
        <w:jc w:val="center"/>
        <w:rPr>
          <w:rFonts w:ascii="Tahoma" w:hAnsi="Tahoma" w:cs="Tahoma"/>
          <w:b/>
        </w:rPr>
      </w:pPr>
    </w:p>
    <w:p w:rsidR="002D308E" w:rsidRDefault="002D308E" w:rsidP="002D308E">
      <w:pPr>
        <w:jc w:val="center"/>
        <w:rPr>
          <w:rFonts w:ascii="Tahoma" w:hAnsi="Tahoma" w:cs="Tahoma"/>
          <w:b/>
        </w:rPr>
      </w:pPr>
    </w:p>
    <w:p w:rsidR="002D308E" w:rsidRDefault="002D308E" w:rsidP="002D308E">
      <w:pPr>
        <w:jc w:val="center"/>
        <w:rPr>
          <w:rFonts w:ascii="Tahoma" w:hAnsi="Tahoma" w:cs="Tahoma"/>
          <w:b/>
        </w:rPr>
      </w:pPr>
    </w:p>
    <w:p w:rsidR="002D308E" w:rsidRPr="00016A88" w:rsidRDefault="002D308E" w:rsidP="002D308E">
      <w:pPr>
        <w:jc w:val="center"/>
        <w:rPr>
          <w:rFonts w:ascii="Tahoma" w:hAnsi="Tahoma" w:cs="Tahoma"/>
          <w:b/>
        </w:rPr>
      </w:pPr>
    </w:p>
    <w:p w:rsidR="002D308E" w:rsidRPr="00016A88" w:rsidRDefault="002D308E" w:rsidP="002D308E">
      <w:pPr>
        <w:jc w:val="center"/>
        <w:rPr>
          <w:rFonts w:ascii="Tahoma" w:hAnsi="Tahoma" w:cs="Tahoma"/>
          <w:b/>
          <w:shadow/>
          <w:lang w:val="pt-BR"/>
        </w:rPr>
      </w:pPr>
      <w:r w:rsidRPr="00016A88">
        <w:rPr>
          <w:rFonts w:ascii="Tahoma" w:hAnsi="Tahoma" w:cs="Tahoma"/>
          <w:b/>
          <w:shadow/>
          <w:lang w:val="pt-BR"/>
        </w:rPr>
        <w:t>PRESIDENTE</w:t>
      </w:r>
    </w:p>
    <w:p w:rsidR="002D308E" w:rsidRPr="00016A88" w:rsidRDefault="002D308E" w:rsidP="002D308E">
      <w:pPr>
        <w:jc w:val="center"/>
        <w:rPr>
          <w:rFonts w:ascii="Tahoma" w:hAnsi="Tahoma" w:cs="Tahoma"/>
          <w:b/>
          <w:shadow/>
          <w:lang w:val="pt-BR"/>
        </w:rPr>
      </w:pPr>
    </w:p>
    <w:p w:rsidR="002D308E" w:rsidRPr="00016A88" w:rsidRDefault="002D308E" w:rsidP="002D308E">
      <w:pPr>
        <w:jc w:val="center"/>
        <w:rPr>
          <w:rFonts w:ascii="Tahoma" w:hAnsi="Tahoma" w:cs="Tahoma"/>
          <w:b/>
          <w:shadow/>
          <w:lang w:val="pt-BR"/>
        </w:rPr>
      </w:pPr>
    </w:p>
    <w:p w:rsidR="002D308E" w:rsidRPr="00016A88" w:rsidRDefault="002D308E" w:rsidP="002D308E">
      <w:pPr>
        <w:jc w:val="center"/>
        <w:rPr>
          <w:rFonts w:ascii="Tahoma" w:hAnsi="Tahoma" w:cs="Tahoma"/>
          <w:b/>
          <w:shadow/>
          <w:lang w:val="pt-BR"/>
        </w:rPr>
      </w:pPr>
    </w:p>
    <w:p w:rsidR="002D308E" w:rsidRPr="00016A88" w:rsidRDefault="002D308E" w:rsidP="002D308E">
      <w:pPr>
        <w:jc w:val="center"/>
        <w:rPr>
          <w:rFonts w:ascii="Tahoma" w:hAnsi="Tahoma" w:cs="Tahoma"/>
          <w:b/>
          <w:shadow/>
          <w:lang w:val="pt-BR"/>
        </w:rPr>
      </w:pPr>
    </w:p>
    <w:p w:rsidR="002D308E" w:rsidRPr="00016A88" w:rsidRDefault="002D308E" w:rsidP="002D308E">
      <w:pPr>
        <w:jc w:val="center"/>
        <w:rPr>
          <w:rFonts w:ascii="Tahoma" w:hAnsi="Tahoma" w:cs="Tahoma"/>
          <w:b/>
          <w:shadow/>
          <w:lang w:val="pt-BR"/>
        </w:rPr>
      </w:pPr>
    </w:p>
    <w:p w:rsidR="002D308E" w:rsidRPr="00016A88" w:rsidRDefault="002D308E" w:rsidP="002D308E">
      <w:pPr>
        <w:jc w:val="center"/>
        <w:rPr>
          <w:rFonts w:ascii="Tahoma" w:hAnsi="Tahoma" w:cs="Tahoma"/>
          <w:b/>
          <w:shadow/>
          <w:lang w:val="pt-BR"/>
        </w:rPr>
      </w:pPr>
    </w:p>
    <w:p w:rsidR="002D308E" w:rsidRPr="00016A88" w:rsidRDefault="002D308E" w:rsidP="002D308E">
      <w:pPr>
        <w:jc w:val="center"/>
        <w:rPr>
          <w:rFonts w:ascii="Tahoma" w:hAnsi="Tahoma" w:cs="Tahoma"/>
          <w:b/>
          <w:shadow/>
          <w:lang w:val="pt-BR"/>
        </w:rPr>
      </w:pPr>
    </w:p>
    <w:p w:rsidR="002D308E" w:rsidRPr="00016A88" w:rsidRDefault="002D308E" w:rsidP="002D308E">
      <w:pPr>
        <w:jc w:val="center"/>
        <w:rPr>
          <w:rFonts w:ascii="Tahoma" w:hAnsi="Tahoma" w:cs="Tahoma"/>
          <w:b/>
          <w:shadow/>
          <w:lang w:val="pt-BR"/>
        </w:rPr>
      </w:pPr>
    </w:p>
    <w:p w:rsidR="002D308E" w:rsidRPr="00016A88" w:rsidRDefault="002D308E" w:rsidP="002D308E">
      <w:pPr>
        <w:ind w:left="708" w:firstLine="708"/>
        <w:jc w:val="both"/>
        <w:rPr>
          <w:rFonts w:ascii="Tahoma" w:hAnsi="Tahoma" w:cs="Tahoma"/>
          <w:b/>
          <w:shadow/>
          <w:lang w:val="pt-BR"/>
        </w:rPr>
      </w:pPr>
      <w:r w:rsidRPr="00016A88">
        <w:rPr>
          <w:rFonts w:ascii="Tahoma" w:hAnsi="Tahoma" w:cs="Tahoma"/>
          <w:b/>
          <w:shadow/>
          <w:lang w:val="pt-BR"/>
        </w:rPr>
        <w:t xml:space="preserve"> VOCAL           </w:t>
      </w:r>
      <w:r w:rsidRPr="00016A88">
        <w:rPr>
          <w:rFonts w:ascii="Tahoma" w:hAnsi="Tahoma" w:cs="Tahoma"/>
          <w:b/>
          <w:shadow/>
          <w:lang w:val="pt-BR"/>
        </w:rPr>
        <w:tab/>
      </w:r>
      <w:r w:rsidRPr="00016A88">
        <w:rPr>
          <w:rFonts w:ascii="Tahoma" w:hAnsi="Tahoma" w:cs="Tahoma"/>
          <w:b/>
          <w:shadow/>
          <w:lang w:val="pt-BR"/>
        </w:rPr>
        <w:tab/>
        <w:t xml:space="preserve">                                                                            VOCAL</w:t>
      </w:r>
    </w:p>
    <w:p w:rsidR="002D308E" w:rsidRPr="00016A88" w:rsidRDefault="002D308E" w:rsidP="002D308E">
      <w:pPr>
        <w:ind w:firstLine="708"/>
        <w:rPr>
          <w:rFonts w:ascii="Tahoma" w:hAnsi="Tahoma" w:cs="Tahoma"/>
          <w:b/>
          <w:shadow/>
          <w:lang w:val="pt-BR"/>
        </w:rPr>
      </w:pPr>
    </w:p>
    <w:p w:rsidR="002D308E" w:rsidRPr="00016A88" w:rsidRDefault="002D308E" w:rsidP="002D308E">
      <w:pPr>
        <w:ind w:firstLine="708"/>
        <w:rPr>
          <w:rFonts w:ascii="Tahoma" w:hAnsi="Tahoma" w:cs="Tahoma"/>
          <w:b/>
          <w:shadow/>
          <w:lang w:val="pt-BR"/>
        </w:rPr>
      </w:pPr>
    </w:p>
    <w:p w:rsidR="002D308E" w:rsidRDefault="002D308E" w:rsidP="002D308E">
      <w:pPr>
        <w:ind w:firstLine="708"/>
        <w:rPr>
          <w:rFonts w:ascii="Tahoma" w:hAnsi="Tahoma" w:cs="Tahoma"/>
          <w:b/>
          <w:shadow/>
          <w:lang w:val="pt-BR"/>
        </w:rPr>
      </w:pPr>
    </w:p>
    <w:p w:rsidR="002D308E" w:rsidRDefault="002D308E" w:rsidP="002D308E">
      <w:pPr>
        <w:ind w:firstLine="708"/>
        <w:rPr>
          <w:rFonts w:ascii="Tahoma" w:hAnsi="Tahoma" w:cs="Tahoma"/>
          <w:b/>
          <w:shadow/>
          <w:lang w:val="pt-BR"/>
        </w:rPr>
      </w:pPr>
    </w:p>
    <w:p w:rsidR="002D308E" w:rsidRDefault="002D308E" w:rsidP="002D308E">
      <w:pPr>
        <w:ind w:firstLine="708"/>
        <w:rPr>
          <w:rFonts w:ascii="Tahoma" w:hAnsi="Tahoma" w:cs="Tahoma"/>
          <w:b/>
          <w:shadow/>
          <w:lang w:val="pt-BR"/>
        </w:rPr>
      </w:pPr>
    </w:p>
    <w:p w:rsidR="002D308E" w:rsidRPr="0002711D" w:rsidRDefault="002D308E" w:rsidP="002D308E">
      <w:pPr>
        <w:ind w:firstLine="708"/>
        <w:rPr>
          <w:rFonts w:ascii="Tahoma" w:hAnsi="Tahoma" w:cs="Tahoma"/>
          <w:b/>
          <w:shadow/>
          <w:sz w:val="18"/>
          <w:szCs w:val="18"/>
          <w:lang w:val="pt-BR"/>
        </w:rPr>
      </w:pPr>
    </w:p>
    <w:p w:rsidR="002D308E" w:rsidRPr="0002711D" w:rsidRDefault="002D308E" w:rsidP="002D308E">
      <w:pPr>
        <w:jc w:val="both"/>
        <w:rPr>
          <w:rFonts w:ascii="Tahoma" w:hAnsi="Tahoma" w:cs="Tahoma"/>
          <w:sz w:val="18"/>
          <w:szCs w:val="18"/>
          <w:lang w:val="pt-BR"/>
        </w:rPr>
      </w:pPr>
      <w:proofErr w:type="gramStart"/>
      <w:r w:rsidRPr="0002711D">
        <w:rPr>
          <w:rFonts w:ascii="Tahoma" w:hAnsi="Tahoma" w:cs="Tahoma"/>
          <w:sz w:val="18"/>
          <w:szCs w:val="18"/>
          <w:lang w:val="pt-BR"/>
        </w:rPr>
        <w:t>ss.</w:t>
      </w:r>
      <w:proofErr w:type="gramEnd"/>
    </w:p>
    <w:p w:rsidR="002D308E" w:rsidRPr="0002711D" w:rsidRDefault="002D308E" w:rsidP="002D308E">
      <w:pPr>
        <w:pStyle w:val="Textoindependiente21"/>
        <w:rPr>
          <w:rFonts w:cs="Tahoma"/>
          <w:sz w:val="18"/>
          <w:szCs w:val="18"/>
          <w:lang w:val="pt-BR"/>
        </w:rPr>
      </w:pPr>
      <w:proofErr w:type="spellStart"/>
      <w:r w:rsidRPr="0002711D">
        <w:rPr>
          <w:rFonts w:cs="Tahoma"/>
          <w:sz w:val="18"/>
          <w:szCs w:val="18"/>
          <w:lang w:val="pt-BR"/>
        </w:rPr>
        <w:t>Valdivia</w:t>
      </w:r>
      <w:proofErr w:type="spellEnd"/>
      <w:r w:rsidRPr="0002711D">
        <w:rPr>
          <w:rFonts w:cs="Tahoma"/>
          <w:sz w:val="18"/>
          <w:szCs w:val="18"/>
          <w:lang w:val="pt-BR"/>
        </w:rPr>
        <w:t xml:space="preserve"> </w:t>
      </w:r>
      <w:proofErr w:type="spellStart"/>
      <w:r w:rsidRPr="0002711D">
        <w:rPr>
          <w:rFonts w:cs="Tahoma"/>
          <w:sz w:val="18"/>
          <w:szCs w:val="18"/>
          <w:lang w:val="pt-BR"/>
        </w:rPr>
        <w:t>Huaringa</w:t>
      </w:r>
      <w:proofErr w:type="spellEnd"/>
      <w:r w:rsidRPr="0002711D">
        <w:rPr>
          <w:rFonts w:cs="Tahoma"/>
          <w:sz w:val="18"/>
          <w:szCs w:val="18"/>
          <w:lang w:val="pt-BR"/>
        </w:rPr>
        <w:t>.</w:t>
      </w:r>
    </w:p>
    <w:p w:rsidR="002D308E" w:rsidRPr="0002711D" w:rsidRDefault="002D308E" w:rsidP="002D308E">
      <w:pPr>
        <w:pStyle w:val="Textoindependiente21"/>
        <w:rPr>
          <w:rFonts w:cs="Tahoma"/>
          <w:sz w:val="18"/>
          <w:szCs w:val="18"/>
        </w:rPr>
      </w:pPr>
      <w:r w:rsidRPr="0002711D">
        <w:rPr>
          <w:rFonts w:cs="Tahoma"/>
          <w:sz w:val="18"/>
          <w:szCs w:val="18"/>
        </w:rPr>
        <w:t xml:space="preserve">Ramírez </w:t>
      </w:r>
      <w:proofErr w:type="spellStart"/>
      <w:r w:rsidRPr="0002711D">
        <w:rPr>
          <w:rFonts w:cs="Tahoma"/>
          <w:sz w:val="18"/>
          <w:szCs w:val="18"/>
        </w:rPr>
        <w:t>Maynetto</w:t>
      </w:r>
      <w:proofErr w:type="spellEnd"/>
      <w:r w:rsidRPr="0002711D">
        <w:rPr>
          <w:rFonts w:cs="Tahoma"/>
          <w:sz w:val="18"/>
          <w:szCs w:val="18"/>
        </w:rPr>
        <w:t>.</w:t>
      </w:r>
    </w:p>
    <w:p w:rsidR="002D308E" w:rsidRPr="0002711D" w:rsidRDefault="002D308E" w:rsidP="002D308E">
      <w:pPr>
        <w:pStyle w:val="Textoindependiente21"/>
        <w:tabs>
          <w:tab w:val="left" w:pos="7740"/>
        </w:tabs>
        <w:rPr>
          <w:sz w:val="18"/>
          <w:szCs w:val="18"/>
        </w:rPr>
      </w:pPr>
      <w:r w:rsidRPr="0002711D">
        <w:rPr>
          <w:sz w:val="18"/>
          <w:szCs w:val="18"/>
        </w:rPr>
        <w:t>Navas Rondón.</w:t>
      </w:r>
    </w:p>
    <w:p w:rsidR="002D308E" w:rsidRPr="0002711D" w:rsidRDefault="002D308E" w:rsidP="002D308E">
      <w:pPr>
        <w:rPr>
          <w:sz w:val="18"/>
          <w:szCs w:val="18"/>
        </w:rPr>
      </w:pPr>
    </w:p>
    <w:p w:rsidR="002D308E" w:rsidRPr="0002711D" w:rsidRDefault="002D308E" w:rsidP="002D308E">
      <w:pPr>
        <w:rPr>
          <w:sz w:val="18"/>
          <w:szCs w:val="18"/>
        </w:rPr>
      </w:pPr>
    </w:p>
    <w:p w:rsidR="002D308E" w:rsidRDefault="002D308E" w:rsidP="002D308E"/>
    <w:p w:rsidR="002D308E" w:rsidRDefault="002D308E" w:rsidP="002D308E"/>
    <w:p w:rsidR="00DD5730" w:rsidRDefault="002D308E"/>
    <w:sectPr w:rsidR="00DD5730" w:rsidSect="00A80330">
      <w:footerReference w:type="even" r:id="rId7"/>
      <w:footerReference w:type="default" r:id="rId8"/>
      <w:pgSz w:w="11907" w:h="16840" w:code="9"/>
      <w:pgMar w:top="2835" w:right="1107" w:bottom="1438" w:left="1440"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308E" w:rsidRDefault="002D308E" w:rsidP="002D308E">
      <w:r>
        <w:separator/>
      </w:r>
    </w:p>
  </w:endnote>
  <w:endnote w:type="continuationSeparator" w:id="1">
    <w:p w:rsidR="002D308E" w:rsidRDefault="002D308E" w:rsidP="002D30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32" w:rsidRDefault="002D308E" w:rsidP="00E33BB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246732" w:rsidRDefault="002D308E">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6732" w:rsidRPr="00864C03" w:rsidRDefault="002D308E">
    <w:pPr>
      <w:pStyle w:val="Piedepgina"/>
      <w:framePr w:wrap="around" w:vAnchor="text" w:hAnchor="margin" w:xAlign="center" w:y="1"/>
      <w:rPr>
        <w:rStyle w:val="Nmerodepgina"/>
        <w:i/>
        <w:sz w:val="20"/>
      </w:rPr>
    </w:pPr>
    <w:r w:rsidRPr="00864C03">
      <w:rPr>
        <w:rStyle w:val="Nmerodepgina"/>
        <w:i/>
        <w:sz w:val="20"/>
      </w:rPr>
      <w:t xml:space="preserve">Página </w:t>
    </w:r>
    <w:r w:rsidRPr="00864C03">
      <w:rPr>
        <w:rStyle w:val="Nmerodepgina"/>
        <w:i/>
        <w:sz w:val="20"/>
      </w:rPr>
      <w:fldChar w:fldCharType="begin"/>
    </w:r>
    <w:r w:rsidRPr="00864C03">
      <w:rPr>
        <w:rStyle w:val="Nmerodepgina"/>
        <w:i/>
        <w:sz w:val="20"/>
      </w:rPr>
      <w:instrText xml:space="preserve"> PAGE </w:instrText>
    </w:r>
    <w:r w:rsidRPr="00864C03">
      <w:rPr>
        <w:rStyle w:val="Nmerodepgina"/>
        <w:i/>
        <w:sz w:val="20"/>
      </w:rPr>
      <w:fldChar w:fldCharType="separate"/>
    </w:r>
    <w:r>
      <w:rPr>
        <w:rStyle w:val="Nmerodepgina"/>
        <w:i/>
        <w:noProof/>
        <w:sz w:val="20"/>
      </w:rPr>
      <w:t>1</w:t>
    </w:r>
    <w:r w:rsidRPr="00864C03">
      <w:rPr>
        <w:rStyle w:val="Nmerodepgina"/>
        <w:i/>
        <w:sz w:val="20"/>
      </w:rPr>
      <w:fldChar w:fldCharType="end"/>
    </w:r>
    <w:r w:rsidRPr="00864C03">
      <w:rPr>
        <w:rStyle w:val="Nmerodepgina"/>
        <w:i/>
        <w:sz w:val="20"/>
      </w:rPr>
      <w:t xml:space="preserve"> de </w:t>
    </w:r>
    <w:r w:rsidRPr="00864C03">
      <w:rPr>
        <w:rStyle w:val="Nmerodepgina"/>
        <w:i/>
        <w:sz w:val="20"/>
      </w:rPr>
      <w:fldChar w:fldCharType="begin"/>
    </w:r>
    <w:r w:rsidRPr="00864C03">
      <w:rPr>
        <w:rStyle w:val="Nmerodepgina"/>
        <w:i/>
        <w:sz w:val="20"/>
      </w:rPr>
      <w:instrText xml:space="preserve"> NUMPAGES </w:instrText>
    </w:r>
    <w:r w:rsidRPr="00864C03">
      <w:rPr>
        <w:rStyle w:val="Nmerodepgina"/>
        <w:i/>
        <w:sz w:val="20"/>
      </w:rPr>
      <w:fldChar w:fldCharType="separate"/>
    </w:r>
    <w:r>
      <w:rPr>
        <w:rStyle w:val="Nmerodepgina"/>
        <w:i/>
        <w:noProof/>
        <w:sz w:val="20"/>
      </w:rPr>
      <w:t>4</w:t>
    </w:r>
    <w:r w:rsidRPr="00864C03">
      <w:rPr>
        <w:rStyle w:val="Nmerodepgina"/>
        <w:i/>
        <w:sz w:val="20"/>
      </w:rPr>
      <w:fldChar w:fldCharType="end"/>
    </w:r>
  </w:p>
  <w:p w:rsidR="00246732" w:rsidRDefault="002D308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308E" w:rsidRDefault="002D308E" w:rsidP="002D308E">
      <w:r>
        <w:separator/>
      </w:r>
    </w:p>
  </w:footnote>
  <w:footnote w:type="continuationSeparator" w:id="1">
    <w:p w:rsidR="002D308E" w:rsidRDefault="002D308E" w:rsidP="002D308E">
      <w:r>
        <w:continuationSeparator/>
      </w:r>
    </w:p>
  </w:footnote>
  <w:footnote w:id="2">
    <w:p w:rsidR="002D308E" w:rsidRDefault="002D308E" w:rsidP="002D308E">
      <w:pPr>
        <w:pStyle w:val="Textonotapie"/>
        <w:rPr>
          <w:rFonts w:ascii="Tahoma" w:hAnsi="Tahoma" w:cs="Tahoma"/>
          <w:sz w:val="16"/>
          <w:szCs w:val="16"/>
        </w:rPr>
      </w:pPr>
      <w:r>
        <w:rPr>
          <w:rStyle w:val="Refdenotaalpie"/>
          <w:rFonts w:ascii="Tahoma" w:hAnsi="Tahoma" w:cs="Tahoma"/>
          <w:sz w:val="16"/>
          <w:szCs w:val="16"/>
        </w:rPr>
        <w:footnoteRef/>
      </w:r>
      <w:r>
        <w:rPr>
          <w:rFonts w:ascii="Tahoma" w:hAnsi="Tahoma" w:cs="Tahoma"/>
          <w:sz w:val="16"/>
          <w:szCs w:val="16"/>
        </w:rPr>
        <w:t xml:space="preserve"> Documento obrante a fojas 111 del expediente administrativo.</w:t>
      </w:r>
    </w:p>
  </w:footnote>
  <w:footnote w:id="3">
    <w:p w:rsidR="002D308E" w:rsidRPr="002D21D8" w:rsidRDefault="002D308E" w:rsidP="002D308E">
      <w:pPr>
        <w:pStyle w:val="Textonotapie"/>
        <w:jc w:val="both"/>
        <w:rPr>
          <w:rFonts w:ascii="Tahoma" w:hAnsi="Tahoma" w:cs="Tahoma"/>
          <w:sz w:val="16"/>
          <w:szCs w:val="16"/>
        </w:rPr>
      </w:pPr>
      <w:r w:rsidRPr="002D21D8">
        <w:rPr>
          <w:rStyle w:val="Refdenotaalpie"/>
          <w:rFonts w:ascii="Tahoma" w:hAnsi="Tahoma" w:cs="Tahoma"/>
          <w:i/>
          <w:sz w:val="16"/>
          <w:szCs w:val="16"/>
        </w:rPr>
        <w:footnoteRef/>
      </w:r>
      <w:r w:rsidRPr="002D21D8">
        <w:rPr>
          <w:rFonts w:ascii="Tahoma" w:hAnsi="Tahoma" w:cs="Tahoma"/>
          <w:i/>
          <w:sz w:val="16"/>
          <w:szCs w:val="16"/>
        </w:rPr>
        <w:t xml:space="preserve"> </w:t>
      </w:r>
      <w:r w:rsidRPr="002D21D8">
        <w:rPr>
          <w:rFonts w:ascii="Tahoma" w:hAnsi="Tahoma" w:cs="Tahoma"/>
          <w:sz w:val="16"/>
          <w:szCs w:val="16"/>
        </w:rPr>
        <w:t>La anotada presunción legal se sustenta en el artículo 1329 del Código Civil, el cual establece que “se presume que la inejecución de la obligación, o su cumplimiento parcial, tardío o defectuoso, obedece a culpa leve del deudor”, artículo aplicable al presente caso de conformidad con el artículo IX, del Título Preliminar del mismo cuerpo normativo: “Las disposiciones del Código Civil se aplican supletoriamente a las relaciones y situaciones jurídicas reguladas por otras leyes, siempre que no sean incompatibles con su naturaleza”.</w:t>
      </w:r>
    </w:p>
  </w:footnote>
  <w:footnote w:id="4">
    <w:p w:rsidR="002D308E" w:rsidRDefault="002D308E" w:rsidP="002D308E">
      <w:pPr>
        <w:pStyle w:val="Textonotapie"/>
        <w:jc w:val="both"/>
        <w:rPr>
          <w:rFonts w:ascii="Tahoma" w:hAnsi="Tahoma" w:cs="Tahoma"/>
          <w:sz w:val="16"/>
          <w:szCs w:val="16"/>
          <w:lang w:val="es-PE"/>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val="es-PE"/>
        </w:rPr>
        <w:t>“</w:t>
      </w:r>
      <w:r>
        <w:rPr>
          <w:rFonts w:ascii="Tahoma" w:hAnsi="Tahoma" w:cs="Tahoma"/>
          <w:b/>
          <w:sz w:val="16"/>
          <w:szCs w:val="16"/>
          <w:lang w:val="es-PE"/>
        </w:rPr>
        <w:t>Artículo 230°.- Principios de la potestad sancionadora administrativa.</w:t>
      </w:r>
    </w:p>
    <w:p w:rsidR="002D308E" w:rsidRDefault="002D308E" w:rsidP="002D308E">
      <w:pPr>
        <w:pStyle w:val="Textonotapie"/>
        <w:jc w:val="both"/>
        <w:rPr>
          <w:rFonts w:ascii="Tahoma" w:hAnsi="Tahoma" w:cs="Tahoma"/>
          <w:sz w:val="16"/>
          <w:szCs w:val="16"/>
          <w:lang w:val="es-PE"/>
        </w:rPr>
      </w:pPr>
      <w:r>
        <w:rPr>
          <w:rFonts w:ascii="Tahoma" w:hAnsi="Tahoma" w:cs="Tahoma"/>
          <w:sz w:val="16"/>
          <w:szCs w:val="16"/>
          <w:lang w:val="es-PE"/>
        </w:rPr>
        <w:t>La potestad sancionadora de todas las entidades está regida adicionalmente por los siguientes principios especiales:</w:t>
      </w:r>
    </w:p>
    <w:p w:rsidR="002D308E" w:rsidRDefault="002D308E" w:rsidP="002D308E">
      <w:pPr>
        <w:pStyle w:val="Textonotapie"/>
        <w:jc w:val="both"/>
        <w:rPr>
          <w:rFonts w:ascii="Tahoma" w:hAnsi="Tahoma" w:cs="Tahoma"/>
          <w:sz w:val="16"/>
          <w:szCs w:val="16"/>
          <w:lang w:val="es-PE"/>
        </w:rPr>
      </w:pPr>
      <w:r>
        <w:rPr>
          <w:rFonts w:ascii="Tahoma" w:hAnsi="Tahoma" w:cs="Tahoma"/>
          <w:sz w:val="16"/>
          <w:szCs w:val="16"/>
          <w:lang w:val="es-PE"/>
        </w:rPr>
        <w:t xml:space="preserve">(…) </w:t>
      </w:r>
    </w:p>
  </w:footnote>
  <w:footnote w:id="5">
    <w:p w:rsidR="002D308E" w:rsidRDefault="002D308E" w:rsidP="002D308E">
      <w:pPr>
        <w:pStyle w:val="Textonotapie"/>
        <w:jc w:val="both"/>
        <w:rPr>
          <w:rFonts w:ascii="Tahoma" w:hAnsi="Tahoma" w:cs="Tahoma"/>
          <w:sz w:val="16"/>
          <w:szCs w:val="16"/>
          <w:lang w:val="es-PE"/>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lang w:val="es-PE"/>
        </w:rPr>
        <w:t>Razonabilidad</w:t>
      </w:r>
      <w:r>
        <w:rPr>
          <w:rFonts w:ascii="Tahoma" w:hAnsi="Tahoma" w:cs="Tahoma"/>
          <w:sz w:val="16"/>
          <w:szCs w:val="16"/>
          <w:lang w:val="es-PE"/>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infracción.”</w:t>
      </w:r>
    </w:p>
    <w:p w:rsidR="002D308E" w:rsidRDefault="002D308E" w:rsidP="002D308E">
      <w:pPr>
        <w:pStyle w:val="Textonotapie"/>
        <w:rPr>
          <w:rFonts w:ascii="Tahoma" w:hAnsi="Tahoma" w:cs="Tahoma"/>
          <w:lang w:val="es-PE"/>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24358"/>
    <w:multiLevelType w:val="hybridMultilevel"/>
    <w:tmpl w:val="D13A2FE8"/>
    <w:lvl w:ilvl="0" w:tplc="48845794">
      <w:start w:val="1"/>
      <w:numFmt w:val="decimal"/>
      <w:lvlText w:val="%1."/>
      <w:lvlJc w:val="left"/>
      <w:pPr>
        <w:tabs>
          <w:tab w:val="num" w:pos="720"/>
        </w:tabs>
        <w:ind w:left="720" w:hanging="360"/>
      </w:pPr>
      <w:rPr>
        <w:rFonts w:hint="default"/>
        <w:b w:val="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2198099B"/>
    <w:multiLevelType w:val="hybridMultilevel"/>
    <w:tmpl w:val="248A1E08"/>
    <w:lvl w:ilvl="0" w:tplc="AFB2B48A">
      <w:start w:val="1"/>
      <w:numFmt w:val="decimal"/>
      <w:lvlText w:val="%1."/>
      <w:lvlJc w:val="left"/>
      <w:pPr>
        <w:tabs>
          <w:tab w:val="num" w:pos="540"/>
        </w:tabs>
        <w:ind w:left="540" w:hanging="360"/>
      </w:pPr>
      <w:rPr>
        <w:rFonts w:hint="default"/>
        <w:b/>
        <w:i w:val="0"/>
      </w:rPr>
    </w:lvl>
    <w:lvl w:ilvl="1" w:tplc="9F10B11E">
      <w:start w:val="1"/>
      <w:numFmt w:val="lowerLetter"/>
      <w:lvlText w:val="%2."/>
      <w:lvlJc w:val="left"/>
      <w:pPr>
        <w:tabs>
          <w:tab w:val="num" w:pos="900"/>
        </w:tabs>
        <w:ind w:left="900" w:hanging="360"/>
      </w:pPr>
      <w:rPr>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52357D87"/>
    <w:multiLevelType w:val="hybridMultilevel"/>
    <w:tmpl w:val="F15A9406"/>
    <w:lvl w:ilvl="0" w:tplc="5A7EEB18">
      <w:start w:val="1"/>
      <w:numFmt w:val="decimal"/>
      <w:lvlText w:val="%1."/>
      <w:lvlJc w:val="left"/>
      <w:pPr>
        <w:tabs>
          <w:tab w:val="num" w:pos="360"/>
        </w:tabs>
        <w:ind w:left="360" w:hanging="360"/>
      </w:pPr>
      <w:rPr>
        <w:rFonts w:hint="default"/>
        <w:b/>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0"/>
    <w:footnote w:id="1"/>
  </w:footnotePr>
  <w:endnotePr>
    <w:endnote w:id="0"/>
    <w:endnote w:id="1"/>
  </w:endnotePr>
  <w:compat/>
  <w:rsids>
    <w:rsidRoot w:val="002D308E"/>
    <w:rsid w:val="002D308E"/>
    <w:rsid w:val="005F15D1"/>
    <w:rsid w:val="00896EE1"/>
    <w:rsid w:val="00F05D2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08E"/>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2D308E"/>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2D308E"/>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2D308E"/>
  </w:style>
  <w:style w:type="paragraph" w:styleId="Textoindependiente">
    <w:name w:val="Body Text"/>
    <w:basedOn w:val="Normal"/>
    <w:link w:val="TextoindependienteCar"/>
    <w:rsid w:val="002D308E"/>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2D308E"/>
    <w:rPr>
      <w:rFonts w:ascii="Tahoma" w:eastAsia="Times New Roman" w:hAnsi="Tahoma" w:cs="Times New Roman"/>
      <w:szCs w:val="20"/>
      <w:lang w:val="es-ES_tradnl" w:eastAsia="es-ES"/>
    </w:rPr>
  </w:style>
  <w:style w:type="paragraph" w:customStyle="1" w:styleId="Textoindependiente21">
    <w:name w:val="Texto independiente 21"/>
    <w:basedOn w:val="Normal"/>
    <w:rsid w:val="002D308E"/>
    <w:pPr>
      <w:jc w:val="both"/>
    </w:pPr>
    <w:rPr>
      <w:rFonts w:ascii="Tahoma" w:hAnsi="Tahoma"/>
      <w:sz w:val="22"/>
    </w:rPr>
  </w:style>
  <w:style w:type="paragraph" w:styleId="Textoindependiente3">
    <w:name w:val="Body Text 3"/>
    <w:basedOn w:val="Normal"/>
    <w:link w:val="Textoindependiente3Car"/>
    <w:rsid w:val="002D308E"/>
    <w:pPr>
      <w:spacing w:after="120"/>
    </w:pPr>
    <w:rPr>
      <w:sz w:val="16"/>
      <w:szCs w:val="16"/>
      <w:lang w:val="es-PE"/>
    </w:rPr>
  </w:style>
  <w:style w:type="character" w:customStyle="1" w:styleId="Textoindependiente3Car">
    <w:name w:val="Texto independiente 3 Car"/>
    <w:basedOn w:val="Fuentedeprrafopredeter"/>
    <w:link w:val="Textoindependiente3"/>
    <w:rsid w:val="002D308E"/>
    <w:rPr>
      <w:rFonts w:ascii="Times New Roman" w:eastAsia="Times New Roman" w:hAnsi="Times New Roman" w:cs="Times New Roman"/>
      <w:sz w:val="16"/>
      <w:szCs w:val="16"/>
      <w:lang w:val="es-PE" w:eastAsia="es-ES"/>
    </w:rPr>
  </w:style>
  <w:style w:type="paragraph" w:styleId="Textonotapie">
    <w:name w:val="footnote text"/>
    <w:basedOn w:val="Normal"/>
    <w:link w:val="TextonotapieCar"/>
    <w:semiHidden/>
    <w:rsid w:val="002D308E"/>
  </w:style>
  <w:style w:type="character" w:customStyle="1" w:styleId="TextonotapieCar">
    <w:name w:val="Texto nota pie Car"/>
    <w:basedOn w:val="Fuentedeprrafopredeter"/>
    <w:link w:val="Textonotapie"/>
    <w:semiHidden/>
    <w:rsid w:val="002D308E"/>
    <w:rPr>
      <w:rFonts w:ascii="Times New Roman" w:eastAsia="Times New Roman" w:hAnsi="Times New Roman" w:cs="Times New Roman"/>
      <w:sz w:val="20"/>
      <w:szCs w:val="20"/>
      <w:lang w:eastAsia="es-ES"/>
    </w:rPr>
  </w:style>
  <w:style w:type="character" w:styleId="Refdenotaalpie">
    <w:name w:val="footnote reference"/>
    <w:basedOn w:val="Fuentedeprrafopredeter"/>
    <w:semiHidden/>
    <w:rsid w:val="002D308E"/>
    <w:rPr>
      <w:vertAlign w:val="superscript"/>
    </w:rPr>
  </w:style>
  <w:style w:type="paragraph" w:styleId="Prrafodelista">
    <w:name w:val="List Paragraph"/>
    <w:basedOn w:val="Normal"/>
    <w:uiPriority w:val="34"/>
    <w:qFormat/>
    <w:rsid w:val="002D308E"/>
    <w:pPr>
      <w:widowControl w:val="0"/>
      <w:suppressAutoHyphens/>
      <w:ind w:left="720"/>
      <w:contextualSpacing/>
    </w:pPr>
    <w:rPr>
      <w:sz w:val="24"/>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1538</Words>
  <Characters>8461</Characters>
  <Application>Microsoft Office Word</Application>
  <DocSecurity>0</DocSecurity>
  <Lines>70</Lines>
  <Paragraphs>19</Paragraphs>
  <ScaleCrop>false</ScaleCrop>
  <Company/>
  <LinksUpToDate>false</LinksUpToDate>
  <CharactersWithSpaces>9980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2175-2007/TC-S3</dc:title>
  <dc:subject>APLICACIÓN DE SACNIÓN CONTRA  EL SEÑOR CESAR AVENDAÑO TECCSE</dc:subject>
  <dc:creator>TRIBUNAL</dc:creator>
  <cp:keywords>SUSCRIBIR EL CONTRATO</cp:keywords>
  <dc:description/>
  <cp:lastModifiedBy>jcabrera</cp:lastModifiedBy>
  <cp:revision>1</cp:revision>
  <dcterms:created xsi:type="dcterms:W3CDTF">2007-12-13T20:23:00Z</dcterms:created>
  <dcterms:modified xsi:type="dcterms:W3CDTF">2007-12-13T20:25:00Z</dcterms:modified>
  <cp:category>RESOLUCION - TRIBUNAL</cp:category>
</cp:coreProperties>
</file>