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7A2" w:rsidRDefault="006E37A2" w:rsidP="006E37A2">
      <w:pPr>
        <w:tabs>
          <w:tab w:val="left" w:pos="2520"/>
        </w:tabs>
        <w:ind w:left="2520" w:right="765" w:hanging="1102"/>
        <w:jc w:val="center"/>
        <w:rPr>
          <w:rFonts w:ascii="Tahoma" w:hAnsi="Tahoma" w:cs="Tahoma"/>
          <w:b/>
          <w:sz w:val="24"/>
          <w:szCs w:val="24"/>
        </w:rPr>
      </w:pPr>
      <w:r>
        <w:rPr>
          <w:rFonts w:ascii="Tahoma" w:hAnsi="Tahoma" w:cs="Tahoma"/>
          <w:b/>
          <w:sz w:val="24"/>
          <w:szCs w:val="24"/>
        </w:rPr>
        <w:t>Resolución N. º 2116-2007/TC-S3</w:t>
      </w:r>
    </w:p>
    <w:p w:rsidR="006E37A2" w:rsidRDefault="006E37A2" w:rsidP="00B55340">
      <w:pPr>
        <w:tabs>
          <w:tab w:val="left" w:pos="2520"/>
        </w:tabs>
        <w:ind w:left="2520" w:right="765" w:hanging="1102"/>
        <w:jc w:val="both"/>
        <w:rPr>
          <w:rFonts w:ascii="Tahoma" w:hAnsi="Tahoma" w:cs="Tahoma"/>
          <w:b/>
        </w:rPr>
      </w:pPr>
    </w:p>
    <w:p w:rsidR="006E37A2" w:rsidRDefault="006E37A2" w:rsidP="00B55340">
      <w:pPr>
        <w:tabs>
          <w:tab w:val="left" w:pos="2520"/>
        </w:tabs>
        <w:ind w:left="2520" w:right="765" w:hanging="1102"/>
        <w:jc w:val="both"/>
        <w:rPr>
          <w:rFonts w:ascii="Tahoma" w:hAnsi="Tahoma" w:cs="Tahoma"/>
          <w:b/>
        </w:rPr>
      </w:pPr>
    </w:p>
    <w:p w:rsidR="006E37A2" w:rsidRDefault="006E37A2" w:rsidP="00B55340">
      <w:pPr>
        <w:tabs>
          <w:tab w:val="left" w:pos="2520"/>
        </w:tabs>
        <w:ind w:left="2520" w:right="765" w:hanging="1102"/>
        <w:jc w:val="both"/>
        <w:rPr>
          <w:rFonts w:ascii="Tahoma" w:hAnsi="Tahoma" w:cs="Tahoma"/>
          <w:b/>
        </w:rPr>
      </w:pPr>
    </w:p>
    <w:p w:rsidR="00B55340" w:rsidRPr="00710598" w:rsidRDefault="00B55340" w:rsidP="00B55340">
      <w:pPr>
        <w:tabs>
          <w:tab w:val="left" w:pos="2520"/>
        </w:tabs>
        <w:ind w:left="2520" w:right="765" w:hanging="1102"/>
        <w:jc w:val="both"/>
        <w:rPr>
          <w:rFonts w:ascii="Tahoma" w:hAnsi="Tahoma" w:cs="Tahoma"/>
          <w:lang w:val="es-PE"/>
        </w:rPr>
      </w:pPr>
      <w:r w:rsidRPr="00710598">
        <w:rPr>
          <w:rFonts w:ascii="Tahoma" w:hAnsi="Tahoma" w:cs="Tahoma"/>
          <w:b/>
        </w:rPr>
        <w:t>Sumilla</w:t>
      </w:r>
      <w:r w:rsidRPr="00710598">
        <w:rPr>
          <w:rFonts w:ascii="Tahoma" w:hAnsi="Tahoma" w:cs="Tahoma"/>
        </w:rPr>
        <w:t xml:space="preserve">:  </w:t>
      </w:r>
      <w:r w:rsidRPr="00710598">
        <w:rPr>
          <w:rFonts w:ascii="Tahoma" w:hAnsi="Tahoma" w:cs="Tahoma"/>
        </w:rPr>
        <w:tab/>
      </w:r>
      <w:r w:rsidR="00710598" w:rsidRPr="00710598">
        <w:rPr>
          <w:rFonts w:ascii="Tahoma" w:hAnsi="Tahoma" w:cs="Tahoma"/>
        </w:rPr>
        <w:t xml:space="preserve">Sancionar a la empresa </w:t>
      </w:r>
      <w:proofErr w:type="spellStart"/>
      <w:r w:rsidR="00710598" w:rsidRPr="00710598">
        <w:rPr>
          <w:rFonts w:ascii="Tahoma" w:hAnsi="Tahoma" w:cs="Tahoma"/>
        </w:rPr>
        <w:t>Montrealex</w:t>
      </w:r>
      <w:proofErr w:type="spellEnd"/>
      <w:r w:rsidR="00710598" w:rsidRPr="00710598">
        <w:rPr>
          <w:rFonts w:ascii="Tahoma" w:hAnsi="Tahoma" w:cs="Tahoma"/>
        </w:rPr>
        <w:t xml:space="preserve"> S.A.C. Perú con </w:t>
      </w:r>
      <w:r w:rsidR="00710598" w:rsidRPr="00710598">
        <w:rPr>
          <w:rFonts w:ascii="Tahoma" w:hAnsi="Tahoma" w:cs="Tahoma"/>
          <w:b/>
        </w:rPr>
        <w:t xml:space="preserve">diez (10) meses de inhabilitación temporal </w:t>
      </w:r>
      <w:r w:rsidR="00710598" w:rsidRPr="00710598">
        <w:rPr>
          <w:rFonts w:ascii="Tahoma" w:hAnsi="Tahoma" w:cs="Tahoma"/>
        </w:rPr>
        <w:t>en su derecho de participar en procesos de selección y contratar con el Estado, por haber incurrido en la infracción tipificada en el numera 9) del artículo 294 del Reglamento de la Ley de Contrataciones y Adquisiciones del Estado, aprobado por Decreto Supremo N.° 084-2004-PCM</w:t>
      </w:r>
      <w:r w:rsidRPr="00710598">
        <w:rPr>
          <w:rFonts w:ascii="Tahoma" w:hAnsi="Tahoma" w:cs="Tahoma"/>
        </w:rPr>
        <w:t>.</w:t>
      </w:r>
    </w:p>
    <w:p w:rsidR="00B55340" w:rsidRPr="00710598" w:rsidRDefault="00B55340" w:rsidP="00B55340">
      <w:pPr>
        <w:ind w:left="3540" w:firstLine="708"/>
        <w:jc w:val="center"/>
        <w:rPr>
          <w:rFonts w:ascii="Tahoma" w:hAnsi="Tahoma" w:cs="Tahoma"/>
          <w:lang w:val="es-PE"/>
        </w:rPr>
      </w:pPr>
    </w:p>
    <w:p w:rsidR="00B55340" w:rsidRPr="00710598" w:rsidRDefault="00B55340" w:rsidP="00B55340">
      <w:pPr>
        <w:ind w:left="3540" w:firstLine="708"/>
        <w:jc w:val="center"/>
        <w:rPr>
          <w:rFonts w:ascii="Tahoma" w:hAnsi="Tahoma" w:cs="Tahoma"/>
          <w:lang w:val="es-PE"/>
        </w:rPr>
      </w:pPr>
      <w:r w:rsidRPr="00710598">
        <w:rPr>
          <w:rFonts w:ascii="Tahoma" w:hAnsi="Tahoma" w:cs="Tahoma"/>
          <w:lang w:val="es-PE"/>
        </w:rPr>
        <w:t xml:space="preserve">Lima, </w:t>
      </w:r>
      <w:r w:rsidR="006E37A2">
        <w:rPr>
          <w:rFonts w:ascii="Tahoma" w:hAnsi="Tahoma" w:cs="Tahoma"/>
          <w:lang w:val="es-PE"/>
        </w:rPr>
        <w:t>30 de noviembre de 2007</w:t>
      </w:r>
    </w:p>
    <w:p w:rsidR="00B55340" w:rsidRPr="00710598" w:rsidRDefault="00B55340" w:rsidP="00B55340">
      <w:pPr>
        <w:ind w:right="-136"/>
        <w:jc w:val="both"/>
        <w:rPr>
          <w:rFonts w:ascii="Tahoma" w:hAnsi="Tahoma" w:cs="Tahoma"/>
          <w:lang w:val="es-PE"/>
        </w:rPr>
      </w:pPr>
    </w:p>
    <w:p w:rsidR="00B55340" w:rsidRDefault="00B55340" w:rsidP="00B55340">
      <w:pPr>
        <w:pStyle w:val="Textoindependiente"/>
        <w:tabs>
          <w:tab w:val="left" w:pos="5400"/>
        </w:tabs>
        <w:rPr>
          <w:rFonts w:ascii="Tahoma" w:hAnsi="Tahoma" w:cs="Tahoma"/>
          <w:sz w:val="20"/>
        </w:rPr>
      </w:pPr>
      <w:r w:rsidRPr="00710598">
        <w:rPr>
          <w:rFonts w:ascii="Tahoma" w:hAnsi="Tahoma" w:cs="Tahoma"/>
          <w:sz w:val="20"/>
        </w:rPr>
        <w:t xml:space="preserve">Visto, en sesión de fecha 28.11.2007 de la Tercera Sala del Tribunal de Contrataciones y Adquisiciones del Estado el Expediente N.º 0455/2007.TC sobre la aplicación de sanción iniciado a la empresa </w:t>
      </w:r>
      <w:r w:rsidR="00710598" w:rsidRPr="00710598">
        <w:rPr>
          <w:rFonts w:ascii="Tahoma" w:hAnsi="Tahoma" w:cs="Tahoma"/>
          <w:sz w:val="20"/>
        </w:rPr>
        <w:t xml:space="preserve">Consorcio Lago Titicaca integrado por las empresas J &amp; M Servicios Generales S.A., </w:t>
      </w:r>
      <w:proofErr w:type="spellStart"/>
      <w:r w:rsidR="00710598" w:rsidRPr="00710598">
        <w:rPr>
          <w:rFonts w:ascii="Tahoma" w:hAnsi="Tahoma" w:cs="Tahoma"/>
          <w:sz w:val="20"/>
        </w:rPr>
        <w:t>Montrealex</w:t>
      </w:r>
      <w:proofErr w:type="spellEnd"/>
      <w:r w:rsidR="00710598" w:rsidRPr="00710598">
        <w:rPr>
          <w:rFonts w:ascii="Tahoma" w:hAnsi="Tahoma" w:cs="Tahoma"/>
          <w:sz w:val="20"/>
        </w:rPr>
        <w:t xml:space="preserve">  S.A.C. Perú e INDIGESA</w:t>
      </w:r>
      <w:r w:rsidRPr="00710598">
        <w:rPr>
          <w:rFonts w:ascii="Tahoma" w:hAnsi="Tahoma" w:cs="Tahoma"/>
          <w:sz w:val="20"/>
        </w:rPr>
        <w:t xml:space="preserve">, por supuesta responsabilidad en la presentación de documentos falsos o </w:t>
      </w:r>
      <w:r w:rsidR="00710598" w:rsidRPr="00710598">
        <w:rPr>
          <w:rFonts w:ascii="Tahoma" w:hAnsi="Tahoma" w:cs="Tahoma"/>
          <w:sz w:val="20"/>
        </w:rPr>
        <w:t>inexactos</w:t>
      </w:r>
      <w:r w:rsidRPr="00710598">
        <w:rPr>
          <w:rFonts w:ascii="Tahoma" w:hAnsi="Tahoma" w:cs="Tahoma"/>
          <w:sz w:val="20"/>
        </w:rPr>
        <w:t xml:space="preserve">, </w:t>
      </w:r>
      <w:r w:rsidR="00710598" w:rsidRPr="00710598">
        <w:rPr>
          <w:rFonts w:ascii="Tahoma" w:hAnsi="Tahoma" w:cs="Tahoma"/>
          <w:sz w:val="20"/>
        </w:rPr>
        <w:t xml:space="preserve">durante </w:t>
      </w:r>
      <w:r w:rsidRPr="00710598">
        <w:rPr>
          <w:rFonts w:ascii="Tahoma" w:hAnsi="Tahoma" w:cs="Tahoma"/>
          <w:sz w:val="20"/>
        </w:rPr>
        <w:t xml:space="preserve">la </w:t>
      </w:r>
      <w:r w:rsidR="00710598" w:rsidRPr="00710598">
        <w:rPr>
          <w:rFonts w:ascii="Tahoma" w:hAnsi="Tahoma" w:cs="Tahoma"/>
          <w:sz w:val="20"/>
        </w:rPr>
        <w:t>Licitación Pública N.º 002-2006/ELPU (Primera Convocatoria) para la ejecución  de la Obra: “Ampliación del Tercer Grupo en la Central Hidroeléctrica de Sandia”, llevada a cabo por la Empresa de Servicios Públicos de Electricidad Puno  S.A.A. (ELECTRO PUNO S.A.A.)</w:t>
      </w:r>
      <w:r w:rsidRPr="00710598">
        <w:rPr>
          <w:rFonts w:ascii="Tahoma" w:hAnsi="Tahoma" w:cs="Tahoma"/>
          <w:sz w:val="20"/>
        </w:rPr>
        <w:t xml:space="preserve">; y atendiendo a los siguientes:   </w:t>
      </w:r>
      <w:r w:rsidRPr="00710598">
        <w:rPr>
          <w:rFonts w:ascii="Tahoma" w:hAnsi="Tahoma" w:cs="Tahoma"/>
          <w:sz w:val="20"/>
        </w:rPr>
        <w:tab/>
      </w:r>
    </w:p>
    <w:p w:rsidR="00710598" w:rsidRPr="00710598" w:rsidRDefault="00710598" w:rsidP="00B55340">
      <w:pPr>
        <w:pStyle w:val="Textoindependiente"/>
        <w:tabs>
          <w:tab w:val="left" w:pos="5400"/>
        </w:tabs>
        <w:rPr>
          <w:rFonts w:ascii="Tahoma" w:hAnsi="Tahoma" w:cs="Tahoma"/>
          <w:sz w:val="20"/>
        </w:rPr>
      </w:pPr>
    </w:p>
    <w:p w:rsidR="00B55340" w:rsidRPr="00710598" w:rsidRDefault="00B55340" w:rsidP="00B55340">
      <w:pPr>
        <w:jc w:val="both"/>
        <w:rPr>
          <w:rFonts w:ascii="Tahoma" w:hAnsi="Tahoma" w:cs="Tahoma"/>
          <w:b/>
          <w:shadow/>
        </w:rPr>
      </w:pPr>
      <w:r w:rsidRPr="00710598">
        <w:rPr>
          <w:rFonts w:ascii="Tahoma" w:hAnsi="Tahoma" w:cs="Tahoma"/>
          <w:b/>
          <w:shadow/>
        </w:rPr>
        <w:t>ANTECEDENTES</w:t>
      </w:r>
    </w:p>
    <w:p w:rsidR="00B55340" w:rsidRPr="00710598" w:rsidRDefault="00B55340" w:rsidP="00B55340">
      <w:pPr>
        <w:jc w:val="both"/>
        <w:rPr>
          <w:rFonts w:ascii="Tahoma" w:hAnsi="Tahoma" w:cs="Tahoma"/>
          <w:b/>
          <w:shadow/>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Mediante publicación realizada el 14 de noviembre de 2006 en el Sistema Electrónico de Contrataciones y Adquisiciones del Estado (SEACE), la Empresa de Servicios Públicos de Electricidad Puno  S.A.A. (ELECTRO PUNO S.A.A.), en adelante la Entidad, convocó la Licitación Pública N</w:t>
      </w:r>
      <w:proofErr w:type="gramStart"/>
      <w:r w:rsidRPr="00710598">
        <w:rPr>
          <w:rFonts w:ascii="Tahoma" w:hAnsi="Tahoma" w:cs="Tahoma"/>
          <w:sz w:val="20"/>
        </w:rPr>
        <w:t>.º</w:t>
      </w:r>
      <w:proofErr w:type="gramEnd"/>
      <w:r w:rsidRPr="00710598">
        <w:rPr>
          <w:rFonts w:ascii="Tahoma" w:hAnsi="Tahoma" w:cs="Tahoma"/>
          <w:sz w:val="20"/>
        </w:rPr>
        <w:t xml:space="preserve"> 002-2006/ELPU (Primera Convocatoria) para la ejecución  de la Obra: “Ampliación del Tercer Grupo en la Central Hidroeléctrica de Sandia”, con un valor referencial equivalente a S/. 7 627 546,07 (Siete Millones Seiscientos Veintisiete Mil Quinientos Cuarenta y Seis con 07/100 nuevos soles).</w:t>
      </w:r>
    </w:p>
    <w:p w:rsidR="00B55340" w:rsidRPr="00710598" w:rsidRDefault="00B55340" w:rsidP="00B55340">
      <w:pPr>
        <w:pStyle w:val="Textoindependiente"/>
        <w:tabs>
          <w:tab w:val="left" w:pos="5400"/>
        </w:tabs>
        <w:ind w:left="720"/>
        <w:rPr>
          <w:rFonts w:ascii="Tahoma" w:hAnsi="Tahoma" w:cs="Tahoma"/>
          <w:sz w:val="20"/>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El 21 de diciembre de 2006 se llevó a cabo el acto público de presentación de propuestas y apertura de sobres que contenían las propuestas técnicas. El Comité Especial efectuó la Calificación de las propuestas de los postores hábiles y realizó la evaluación total, con los siguientes resultados.</w:t>
      </w:r>
    </w:p>
    <w:p w:rsidR="00B55340" w:rsidRPr="00710598" w:rsidRDefault="00B55340" w:rsidP="00B55340">
      <w:pPr>
        <w:pStyle w:val="Prrafodelista"/>
        <w:rPr>
          <w:rFonts w:ascii="Tahoma" w:hAnsi="Tahoma" w:cs="Tahoma"/>
        </w:rPr>
      </w:pPr>
    </w:p>
    <w:tbl>
      <w:tblPr>
        <w:tblW w:w="7680" w:type="dxa"/>
        <w:tblInd w:w="839" w:type="dxa"/>
        <w:tblCellMar>
          <w:left w:w="70" w:type="dxa"/>
          <w:right w:w="70" w:type="dxa"/>
        </w:tblCellMar>
        <w:tblLook w:val="04A0"/>
      </w:tblPr>
      <w:tblGrid>
        <w:gridCol w:w="3085"/>
        <w:gridCol w:w="1058"/>
        <w:gridCol w:w="1422"/>
        <w:gridCol w:w="1056"/>
        <w:gridCol w:w="1059"/>
      </w:tblGrid>
      <w:tr w:rsidR="00B55340" w:rsidRPr="00710598" w:rsidTr="00F94E58">
        <w:trPr>
          <w:trHeight w:val="600"/>
        </w:trPr>
        <w:tc>
          <w:tcPr>
            <w:tcW w:w="3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b/>
                <w:bCs/>
                <w:color w:val="000000"/>
              </w:rPr>
            </w:pPr>
            <w:r w:rsidRPr="00710598">
              <w:rPr>
                <w:rFonts w:ascii="Tahoma" w:hAnsi="Tahoma" w:cs="Tahoma"/>
                <w:b/>
                <w:bCs/>
                <w:color w:val="000000"/>
              </w:rPr>
              <w:t>POSTOR</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b/>
                <w:bCs/>
                <w:color w:val="000000"/>
              </w:rPr>
            </w:pPr>
            <w:r w:rsidRPr="00710598">
              <w:rPr>
                <w:rFonts w:ascii="Tahoma" w:hAnsi="Tahoma" w:cs="Tahoma"/>
                <w:b/>
                <w:bCs/>
                <w:color w:val="000000"/>
              </w:rPr>
              <w:t>PUNTAJE TECNICO</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b/>
                <w:bCs/>
                <w:color w:val="000000"/>
              </w:rPr>
            </w:pPr>
            <w:r w:rsidRPr="00710598">
              <w:rPr>
                <w:rFonts w:ascii="Tahoma" w:hAnsi="Tahoma" w:cs="Tahoma"/>
                <w:b/>
                <w:bCs/>
                <w:color w:val="000000"/>
              </w:rPr>
              <w:t>PUNTAJE ECONOMICO</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b/>
                <w:bCs/>
                <w:color w:val="000000"/>
              </w:rPr>
            </w:pPr>
            <w:r w:rsidRPr="00710598">
              <w:rPr>
                <w:rFonts w:ascii="Tahoma" w:hAnsi="Tahoma" w:cs="Tahoma"/>
                <w:b/>
                <w:bCs/>
                <w:color w:val="000000"/>
              </w:rPr>
              <w:t xml:space="preserve">PUNTAJE FINAL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b/>
                <w:bCs/>
                <w:color w:val="000000"/>
              </w:rPr>
            </w:pPr>
            <w:r w:rsidRPr="00710598">
              <w:rPr>
                <w:rFonts w:ascii="Tahoma" w:hAnsi="Tahoma" w:cs="Tahoma"/>
                <w:b/>
                <w:bCs/>
                <w:color w:val="000000"/>
              </w:rPr>
              <w:t>ORDEN DE MERITO</w:t>
            </w:r>
          </w:p>
        </w:tc>
      </w:tr>
      <w:tr w:rsidR="00B55340" w:rsidRPr="00710598" w:rsidTr="00F94E58">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55340" w:rsidRPr="00710598" w:rsidRDefault="00B55340" w:rsidP="00F94E58">
            <w:pPr>
              <w:rPr>
                <w:rFonts w:ascii="Tahoma" w:hAnsi="Tahoma" w:cs="Tahoma"/>
                <w:color w:val="000000"/>
              </w:rPr>
            </w:pPr>
            <w:r w:rsidRPr="00710598">
              <w:rPr>
                <w:rFonts w:ascii="Tahoma" w:hAnsi="Tahoma" w:cs="Tahoma"/>
                <w:color w:val="000000"/>
              </w:rPr>
              <w:t xml:space="preserve">CONSORCIO PROYEC </w:t>
            </w:r>
          </w:p>
        </w:tc>
        <w:tc>
          <w:tcPr>
            <w:tcW w:w="1000"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97,60</w:t>
            </w:r>
          </w:p>
        </w:tc>
        <w:tc>
          <w:tcPr>
            <w:tcW w:w="1323"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100,00</w:t>
            </w:r>
          </w:p>
        </w:tc>
        <w:tc>
          <w:tcPr>
            <w:tcW w:w="1000"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98,56</w:t>
            </w:r>
          </w:p>
        </w:tc>
        <w:tc>
          <w:tcPr>
            <w:tcW w:w="1077"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1º</w:t>
            </w:r>
          </w:p>
        </w:tc>
      </w:tr>
      <w:tr w:rsidR="00B55340" w:rsidRPr="00710598" w:rsidTr="00F94E58">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55340" w:rsidRPr="00710598" w:rsidRDefault="00B55340" w:rsidP="00F94E58">
            <w:pPr>
              <w:rPr>
                <w:rFonts w:ascii="Tahoma" w:hAnsi="Tahoma" w:cs="Tahoma"/>
                <w:color w:val="000000"/>
              </w:rPr>
            </w:pPr>
            <w:r w:rsidRPr="00710598">
              <w:rPr>
                <w:rFonts w:ascii="Tahoma" w:hAnsi="Tahoma" w:cs="Tahoma"/>
                <w:color w:val="000000"/>
              </w:rPr>
              <w:t>CONSORCIO LAGO TITICACA</w:t>
            </w:r>
          </w:p>
        </w:tc>
        <w:tc>
          <w:tcPr>
            <w:tcW w:w="1000"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97,13</w:t>
            </w:r>
          </w:p>
        </w:tc>
        <w:tc>
          <w:tcPr>
            <w:tcW w:w="1323"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82,57</w:t>
            </w:r>
          </w:p>
        </w:tc>
        <w:tc>
          <w:tcPr>
            <w:tcW w:w="1000"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91,31</w:t>
            </w:r>
          </w:p>
        </w:tc>
        <w:tc>
          <w:tcPr>
            <w:tcW w:w="1077"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2º</w:t>
            </w:r>
          </w:p>
        </w:tc>
      </w:tr>
      <w:tr w:rsidR="00B55340" w:rsidRPr="00710598" w:rsidTr="00F94E58">
        <w:trPr>
          <w:trHeight w:val="9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55340" w:rsidRPr="00710598" w:rsidRDefault="00B55340" w:rsidP="00F94E58">
            <w:pPr>
              <w:rPr>
                <w:rFonts w:ascii="Tahoma" w:hAnsi="Tahoma" w:cs="Tahoma"/>
                <w:color w:val="000000"/>
              </w:rPr>
            </w:pPr>
            <w:r w:rsidRPr="00710598">
              <w:rPr>
                <w:rFonts w:ascii="Tahoma" w:hAnsi="Tahoma" w:cs="Tahoma"/>
                <w:color w:val="000000"/>
              </w:rPr>
              <w:t>CONSORCIO CONSTRUCCIONES ELECTROMECANICAS DELCROSA S.A. Y MANFER S.R.L. ASOCIADOS</w:t>
            </w:r>
          </w:p>
        </w:tc>
        <w:tc>
          <w:tcPr>
            <w:tcW w:w="1000"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83,88</w:t>
            </w:r>
          </w:p>
        </w:tc>
        <w:tc>
          <w:tcPr>
            <w:tcW w:w="1323"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82,72</w:t>
            </w:r>
          </w:p>
        </w:tc>
        <w:tc>
          <w:tcPr>
            <w:tcW w:w="1000"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83,42</w:t>
            </w:r>
          </w:p>
        </w:tc>
        <w:tc>
          <w:tcPr>
            <w:tcW w:w="1077" w:type="dxa"/>
            <w:tcBorders>
              <w:top w:val="nil"/>
              <w:left w:val="nil"/>
              <w:bottom w:val="single" w:sz="4" w:space="0" w:color="auto"/>
              <w:right w:val="single" w:sz="4" w:space="0" w:color="auto"/>
            </w:tcBorders>
            <w:shd w:val="clear" w:color="auto" w:fill="auto"/>
            <w:vAlign w:val="center"/>
            <w:hideMark/>
          </w:tcPr>
          <w:p w:rsidR="00B55340" w:rsidRPr="00710598" w:rsidRDefault="00B55340" w:rsidP="00F94E58">
            <w:pPr>
              <w:jc w:val="center"/>
              <w:rPr>
                <w:rFonts w:ascii="Tahoma" w:hAnsi="Tahoma" w:cs="Tahoma"/>
                <w:color w:val="000000"/>
              </w:rPr>
            </w:pPr>
            <w:r w:rsidRPr="00710598">
              <w:rPr>
                <w:rFonts w:ascii="Tahoma" w:hAnsi="Tahoma" w:cs="Tahoma"/>
                <w:color w:val="000000"/>
              </w:rPr>
              <w:t>3º</w:t>
            </w:r>
          </w:p>
        </w:tc>
      </w:tr>
    </w:tbl>
    <w:p w:rsidR="00B55340" w:rsidRPr="00710598" w:rsidRDefault="00B55340" w:rsidP="00B55340">
      <w:pPr>
        <w:pStyle w:val="Prrafodelista"/>
        <w:rPr>
          <w:rFonts w:ascii="Tahoma" w:hAnsi="Tahoma" w:cs="Tahoma"/>
        </w:rPr>
      </w:pPr>
    </w:p>
    <w:p w:rsidR="00B55340" w:rsidRPr="00710598" w:rsidRDefault="00B55340" w:rsidP="00B55340">
      <w:pPr>
        <w:pStyle w:val="Textoindependiente"/>
        <w:tabs>
          <w:tab w:val="left" w:pos="5400"/>
        </w:tabs>
        <w:ind w:left="720"/>
        <w:rPr>
          <w:rFonts w:ascii="Tahoma" w:hAnsi="Tahoma" w:cs="Tahoma"/>
          <w:sz w:val="20"/>
        </w:rPr>
      </w:pPr>
      <w:r w:rsidRPr="00710598">
        <w:rPr>
          <w:rFonts w:ascii="Tahoma" w:hAnsi="Tahoma" w:cs="Tahoma"/>
          <w:sz w:val="20"/>
        </w:rPr>
        <w:t xml:space="preserve">En dicha oportunidad el Consorcio Lago Titicaca integrado por las empresas J &amp; M Servicios Generales S.A., </w:t>
      </w:r>
      <w:proofErr w:type="spellStart"/>
      <w:r w:rsidRPr="00710598">
        <w:rPr>
          <w:rFonts w:ascii="Tahoma" w:hAnsi="Tahoma" w:cs="Tahoma"/>
          <w:sz w:val="20"/>
        </w:rPr>
        <w:t>Montrealex</w:t>
      </w:r>
      <w:proofErr w:type="spellEnd"/>
      <w:r w:rsidRPr="00710598">
        <w:rPr>
          <w:rFonts w:ascii="Tahoma" w:hAnsi="Tahoma" w:cs="Tahoma"/>
          <w:sz w:val="20"/>
        </w:rPr>
        <w:t xml:space="preserve">  S.A.C. Perú e INDIGESA, propuso como Residente de Obra al Ingeniero Mecánico Electricista Cipriano Casas Carbonero, adjuntando a dicha propuesta la Constancia de Trabajo otorgada por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de fecha 11 de diciembre del 2006.</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 xml:space="preserve">El 26 de diciembre de 2006 tuvo lugar el acto público de apertura de sobres que contenían las propuestas económicas y otorgamiento de la buena pro, resultando ganador el postor Consorcio </w:t>
      </w:r>
      <w:proofErr w:type="spellStart"/>
      <w:r w:rsidRPr="00710598">
        <w:rPr>
          <w:rFonts w:ascii="Tahoma" w:hAnsi="Tahoma" w:cs="Tahoma"/>
          <w:sz w:val="20"/>
        </w:rPr>
        <w:t>Proyec</w:t>
      </w:r>
      <w:proofErr w:type="spellEnd"/>
      <w:r w:rsidRPr="00710598">
        <w:rPr>
          <w:rFonts w:ascii="Tahoma" w:hAnsi="Tahoma" w:cs="Tahoma"/>
          <w:sz w:val="20"/>
        </w:rPr>
        <w:t xml:space="preserve">, integrado por las empresas </w:t>
      </w:r>
      <w:proofErr w:type="spellStart"/>
      <w:r w:rsidRPr="00710598">
        <w:rPr>
          <w:rFonts w:ascii="Tahoma" w:hAnsi="Tahoma" w:cs="Tahoma"/>
          <w:sz w:val="20"/>
        </w:rPr>
        <w:t>Proyec</w:t>
      </w:r>
      <w:proofErr w:type="spellEnd"/>
      <w:r w:rsidRPr="00710598">
        <w:rPr>
          <w:rFonts w:ascii="Tahoma" w:hAnsi="Tahoma" w:cs="Tahoma"/>
          <w:sz w:val="20"/>
        </w:rPr>
        <w:t xml:space="preserve"> S.A. y </w:t>
      </w:r>
      <w:proofErr w:type="spellStart"/>
      <w:r w:rsidRPr="00710598">
        <w:rPr>
          <w:rFonts w:ascii="Tahoma" w:hAnsi="Tahoma" w:cs="Tahoma"/>
          <w:sz w:val="20"/>
        </w:rPr>
        <w:t>Crovisa</w:t>
      </w:r>
      <w:proofErr w:type="spellEnd"/>
      <w:r w:rsidRPr="00710598">
        <w:rPr>
          <w:rFonts w:ascii="Tahoma" w:hAnsi="Tahoma" w:cs="Tahoma"/>
          <w:sz w:val="20"/>
        </w:rPr>
        <w:t xml:space="preserve"> S.A.C.</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 xml:space="preserve">El 04 de enero de 2007 el Consorcio Lago Titicaca interpuso recurso de apelación contra el otorgamiento de la buena pro, a efectos que se revoque dicha decisión y se descalifique al Consorcio </w:t>
      </w:r>
      <w:proofErr w:type="spellStart"/>
      <w:r w:rsidRPr="00710598">
        <w:rPr>
          <w:rFonts w:ascii="Tahoma" w:hAnsi="Tahoma" w:cs="Tahoma"/>
          <w:sz w:val="20"/>
        </w:rPr>
        <w:t>Proyec</w:t>
      </w:r>
      <w:proofErr w:type="spellEnd"/>
      <w:r w:rsidRPr="00710598">
        <w:rPr>
          <w:rFonts w:ascii="Tahoma" w:hAnsi="Tahoma" w:cs="Tahoma"/>
          <w:sz w:val="20"/>
        </w:rPr>
        <w:t>.</w:t>
      </w:r>
    </w:p>
    <w:p w:rsidR="00B55340" w:rsidRPr="00710598" w:rsidRDefault="00B55340" w:rsidP="00B55340">
      <w:pPr>
        <w:pStyle w:val="Prrafodelista"/>
        <w:rPr>
          <w:rFonts w:ascii="Tahoma" w:hAnsi="Tahoma" w:cs="Tahoma"/>
          <w:lang w:val="es-ES_tradnl"/>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 xml:space="preserve">Mediante Resolución N.º 005-2007-ELPU/GG publicada en el SEACE el 16 de enero de 2007, la Entidad declaró fundado el recurso de apelación interpuesto por Consorcio Lago Titicaca y descalificó la propuesta económica del Consorcio </w:t>
      </w:r>
      <w:proofErr w:type="spellStart"/>
      <w:r w:rsidRPr="00710598">
        <w:rPr>
          <w:rFonts w:ascii="Tahoma" w:hAnsi="Tahoma" w:cs="Tahoma"/>
          <w:sz w:val="20"/>
        </w:rPr>
        <w:t>Proyec</w:t>
      </w:r>
      <w:proofErr w:type="spellEnd"/>
      <w:r w:rsidRPr="00710598">
        <w:rPr>
          <w:rFonts w:ascii="Tahoma" w:hAnsi="Tahoma" w:cs="Tahoma"/>
          <w:sz w:val="20"/>
        </w:rPr>
        <w:t xml:space="preserve"> por contener errores insubsanables, descalificó la propuesta del impugnante y otorgó la buena pro del proceso de selección al Consorcio conformado por las empresas Construcciones Electromecánicas </w:t>
      </w:r>
      <w:proofErr w:type="spellStart"/>
      <w:r w:rsidRPr="00710598">
        <w:rPr>
          <w:rFonts w:ascii="Tahoma" w:hAnsi="Tahoma" w:cs="Tahoma"/>
          <w:sz w:val="20"/>
        </w:rPr>
        <w:t>Delcrosa</w:t>
      </w:r>
      <w:proofErr w:type="spellEnd"/>
      <w:r w:rsidRPr="00710598">
        <w:rPr>
          <w:rFonts w:ascii="Tahoma" w:hAnsi="Tahoma" w:cs="Tahoma"/>
          <w:sz w:val="20"/>
        </w:rPr>
        <w:t xml:space="preserve"> S.A. y </w:t>
      </w:r>
      <w:proofErr w:type="spellStart"/>
      <w:r w:rsidRPr="00710598">
        <w:rPr>
          <w:rFonts w:ascii="Tahoma" w:hAnsi="Tahoma" w:cs="Tahoma"/>
          <w:sz w:val="20"/>
        </w:rPr>
        <w:t>Manfer</w:t>
      </w:r>
      <w:proofErr w:type="spellEnd"/>
      <w:r w:rsidRPr="00710598">
        <w:rPr>
          <w:rFonts w:ascii="Tahoma" w:hAnsi="Tahoma" w:cs="Tahoma"/>
          <w:sz w:val="20"/>
        </w:rPr>
        <w:t xml:space="preserve"> S.R.L. Asociados, en lo sucesivo el Consorcio DELCROSA. </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 xml:space="preserve">El 23 de enero de 2007, el Consorcio </w:t>
      </w:r>
      <w:proofErr w:type="spellStart"/>
      <w:r w:rsidRPr="00710598">
        <w:rPr>
          <w:rFonts w:ascii="Tahoma" w:hAnsi="Tahoma" w:cs="Tahoma"/>
          <w:sz w:val="20"/>
        </w:rPr>
        <w:t>Proyec</w:t>
      </w:r>
      <w:proofErr w:type="spellEnd"/>
      <w:r w:rsidRPr="00710598">
        <w:rPr>
          <w:rFonts w:ascii="Tahoma" w:hAnsi="Tahoma" w:cs="Tahoma"/>
          <w:sz w:val="20"/>
        </w:rPr>
        <w:t xml:space="preserve"> interpuso recurso de revisión contra la Resolución N</w:t>
      </w:r>
      <w:proofErr w:type="gramStart"/>
      <w:r w:rsidRPr="00710598">
        <w:rPr>
          <w:rFonts w:ascii="Tahoma" w:hAnsi="Tahoma" w:cs="Tahoma"/>
          <w:sz w:val="20"/>
        </w:rPr>
        <w:t>.º</w:t>
      </w:r>
      <w:proofErr w:type="gramEnd"/>
      <w:r w:rsidRPr="00710598">
        <w:rPr>
          <w:rFonts w:ascii="Tahoma" w:hAnsi="Tahoma" w:cs="Tahoma"/>
          <w:sz w:val="20"/>
        </w:rPr>
        <w:t xml:space="preserve"> 005-2007-ELPU/GG, a efecto que se revoque la recurrida y se le otorgue la buena pro.</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 xml:space="preserve">Mediante escrito presentado el 23 y subsanado el 25 de enero de 2007, el Consorcio Lago Titicaca formuló recurso de revisión contra la referida Resolución a fin que se descalifique al Consorcio </w:t>
      </w:r>
      <w:proofErr w:type="spellStart"/>
      <w:r w:rsidRPr="00710598">
        <w:rPr>
          <w:rFonts w:ascii="Tahoma" w:hAnsi="Tahoma" w:cs="Tahoma"/>
          <w:sz w:val="20"/>
        </w:rPr>
        <w:t>Delcrosa</w:t>
      </w:r>
      <w:proofErr w:type="spellEnd"/>
      <w:r w:rsidRPr="00710598">
        <w:rPr>
          <w:rFonts w:ascii="Tahoma" w:hAnsi="Tahoma" w:cs="Tahoma"/>
          <w:sz w:val="20"/>
        </w:rPr>
        <w:t>, se le incorpore al proceso de selección y se le adjudique la buena pro.</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numPr>
          <w:ilvl w:val="0"/>
          <w:numId w:val="13"/>
        </w:numPr>
        <w:tabs>
          <w:tab w:val="left" w:pos="5400"/>
        </w:tabs>
        <w:ind w:left="708"/>
        <w:rPr>
          <w:rFonts w:ascii="Tahoma" w:hAnsi="Tahoma" w:cs="Tahoma"/>
          <w:sz w:val="20"/>
          <w:lang w:val="es-ES"/>
        </w:rPr>
      </w:pPr>
      <w:r w:rsidRPr="00710598">
        <w:rPr>
          <w:rFonts w:ascii="Tahoma" w:hAnsi="Tahoma" w:cs="Tahoma"/>
          <w:sz w:val="20"/>
        </w:rPr>
        <w:t xml:space="preserve">El 15 de marzo de 2007 el Tribunal de Contrataciones y Adquisiciones del Estado expidió la Resolución N.º 260-2007-TC-SU, la cual declaró </w:t>
      </w:r>
      <w:r w:rsidRPr="00710598">
        <w:rPr>
          <w:rFonts w:ascii="Tahoma" w:hAnsi="Tahoma" w:cs="Tahoma"/>
          <w:sz w:val="20"/>
          <w:lang w:val="es-ES"/>
        </w:rPr>
        <w:t xml:space="preserve">fundado el recurso de revisión interpuesto por Consorcio </w:t>
      </w:r>
      <w:proofErr w:type="spellStart"/>
      <w:r w:rsidRPr="00710598">
        <w:rPr>
          <w:rFonts w:ascii="Tahoma" w:hAnsi="Tahoma" w:cs="Tahoma"/>
          <w:sz w:val="20"/>
          <w:lang w:val="es-ES"/>
        </w:rPr>
        <w:t>Proyec</w:t>
      </w:r>
      <w:proofErr w:type="spellEnd"/>
      <w:r w:rsidRPr="00710598">
        <w:rPr>
          <w:rFonts w:ascii="Tahoma" w:hAnsi="Tahoma" w:cs="Tahoma"/>
          <w:sz w:val="20"/>
          <w:lang w:val="es-ES"/>
        </w:rPr>
        <w:t xml:space="preserve">, integrado por las empresas </w:t>
      </w:r>
      <w:proofErr w:type="spellStart"/>
      <w:r w:rsidRPr="00710598">
        <w:rPr>
          <w:rFonts w:ascii="Tahoma" w:hAnsi="Tahoma" w:cs="Tahoma"/>
          <w:sz w:val="20"/>
          <w:lang w:val="es-ES"/>
        </w:rPr>
        <w:t>Proyec</w:t>
      </w:r>
      <w:proofErr w:type="spellEnd"/>
      <w:r w:rsidRPr="00710598">
        <w:rPr>
          <w:rFonts w:ascii="Tahoma" w:hAnsi="Tahoma" w:cs="Tahoma"/>
          <w:sz w:val="20"/>
          <w:lang w:val="es-ES"/>
        </w:rPr>
        <w:t xml:space="preserve"> S.A. y </w:t>
      </w:r>
      <w:proofErr w:type="spellStart"/>
      <w:r w:rsidRPr="00710598">
        <w:rPr>
          <w:rFonts w:ascii="Tahoma" w:hAnsi="Tahoma" w:cs="Tahoma"/>
          <w:sz w:val="20"/>
          <w:lang w:val="es-ES"/>
        </w:rPr>
        <w:t>Crovisa</w:t>
      </w:r>
      <w:proofErr w:type="spellEnd"/>
      <w:r w:rsidRPr="00710598">
        <w:rPr>
          <w:rFonts w:ascii="Tahoma" w:hAnsi="Tahoma" w:cs="Tahoma"/>
          <w:sz w:val="20"/>
          <w:lang w:val="es-ES"/>
        </w:rPr>
        <w:t xml:space="preserve"> S.A.C y, por su efecto, le adjudicó la buena pro de la Licitación Pública N.° 002-2006/ELPU (Primera Convocatoria).</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tabs>
          <w:tab w:val="left" w:pos="5400"/>
        </w:tabs>
        <w:ind w:left="708"/>
        <w:rPr>
          <w:rFonts w:ascii="Tahoma" w:hAnsi="Tahoma" w:cs="Tahoma"/>
          <w:sz w:val="20"/>
          <w:lang w:val="es-ES"/>
        </w:rPr>
      </w:pPr>
      <w:r w:rsidRPr="00710598">
        <w:rPr>
          <w:rFonts w:ascii="Tahoma" w:hAnsi="Tahoma" w:cs="Tahoma"/>
          <w:sz w:val="20"/>
          <w:lang w:val="es-ES"/>
        </w:rPr>
        <w:t xml:space="preserve">El numeral 7 de la referida Resolución dispuso abrir expediente de imposición de sanción al Consorcio Lago Titicaca, conformado por las empresas J &amp; M Servicios Generales S.A., </w:t>
      </w:r>
      <w:proofErr w:type="spellStart"/>
      <w:r w:rsidRPr="00710598">
        <w:rPr>
          <w:rFonts w:ascii="Tahoma" w:hAnsi="Tahoma" w:cs="Tahoma"/>
          <w:sz w:val="20"/>
          <w:lang w:val="es-ES"/>
        </w:rPr>
        <w:t>Montrealex</w:t>
      </w:r>
      <w:proofErr w:type="spellEnd"/>
      <w:r w:rsidRPr="00710598">
        <w:rPr>
          <w:rFonts w:ascii="Tahoma" w:hAnsi="Tahoma" w:cs="Tahoma"/>
          <w:sz w:val="20"/>
          <w:lang w:val="es-ES"/>
        </w:rPr>
        <w:t xml:space="preserve"> S.A.C. Perú e </w:t>
      </w:r>
      <w:proofErr w:type="spellStart"/>
      <w:r w:rsidRPr="00710598">
        <w:rPr>
          <w:rFonts w:ascii="Tahoma" w:hAnsi="Tahoma" w:cs="Tahoma"/>
          <w:sz w:val="20"/>
          <w:lang w:val="es-ES"/>
        </w:rPr>
        <w:t>Indigesa</w:t>
      </w:r>
      <w:proofErr w:type="spellEnd"/>
      <w:r w:rsidRPr="00710598">
        <w:rPr>
          <w:rFonts w:ascii="Tahoma" w:hAnsi="Tahoma" w:cs="Tahoma"/>
          <w:sz w:val="20"/>
          <w:lang w:val="es-ES"/>
        </w:rPr>
        <w:t>, por su supuesta responsabilidad en la presentación de documentación falsa o inexacta, por lo que el 20 de agosto de 2007 la Mesa de Partes del Tribunal abrió el presente expediente.</w:t>
      </w:r>
    </w:p>
    <w:p w:rsidR="00B55340" w:rsidRPr="00710598" w:rsidRDefault="00B55340" w:rsidP="00B55340">
      <w:pPr>
        <w:pStyle w:val="Prrafodelista"/>
        <w:ind w:left="1440"/>
        <w:jc w:val="both"/>
        <w:rPr>
          <w:rFonts w:ascii="Tahoma" w:hAnsi="Tahoma" w:cs="Tahoma"/>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 xml:space="preserve">Mediante decreto de fecha 22 de marzo de 2007, se le requirió a la Entidad a fin que remita, entre otros, el Informe técnico legal de su asesoría sobre la procedencia y </w:t>
      </w:r>
      <w:r w:rsidRPr="00710598">
        <w:rPr>
          <w:rFonts w:ascii="Tahoma" w:hAnsi="Tahoma" w:cs="Tahoma"/>
          <w:sz w:val="20"/>
        </w:rPr>
        <w:lastRenderedPageBreak/>
        <w:t>supuesta responsabilidad del Consorcio Lago Titicaca respecto de los hechos imputados en su contra.</w:t>
      </w:r>
    </w:p>
    <w:p w:rsidR="00B55340" w:rsidRPr="00710598" w:rsidRDefault="00B55340" w:rsidP="00B55340">
      <w:pPr>
        <w:pStyle w:val="Textoindependiente"/>
        <w:tabs>
          <w:tab w:val="left" w:pos="5400"/>
        </w:tabs>
        <w:ind w:left="720"/>
        <w:rPr>
          <w:rFonts w:ascii="Tahoma" w:hAnsi="Tahoma" w:cs="Tahoma"/>
          <w:sz w:val="20"/>
        </w:rPr>
      </w:pPr>
    </w:p>
    <w:p w:rsidR="00B55340" w:rsidRPr="00710598" w:rsidRDefault="00B55340" w:rsidP="00B55340">
      <w:pPr>
        <w:pStyle w:val="Textoindependiente"/>
        <w:numPr>
          <w:ilvl w:val="0"/>
          <w:numId w:val="13"/>
        </w:numPr>
        <w:tabs>
          <w:tab w:val="left" w:pos="5400"/>
        </w:tabs>
        <w:rPr>
          <w:rFonts w:ascii="Tahoma" w:hAnsi="Tahoma" w:cs="Tahoma"/>
          <w:sz w:val="20"/>
        </w:rPr>
      </w:pPr>
      <w:r w:rsidRPr="00710598">
        <w:rPr>
          <w:rFonts w:ascii="Tahoma" w:hAnsi="Tahoma" w:cs="Tahoma"/>
          <w:sz w:val="20"/>
        </w:rPr>
        <w:t xml:space="preserve">El 29 de mayo de 2007 la Entidad cumplió con presentar lo solicitado por este Tribunal, por lo que, mediante decreto del 01 de junio de 2007 se inició el procedimiento administrativo sancionar en contra las empresas J &amp; M Servicios Generales S.A., </w:t>
      </w:r>
      <w:proofErr w:type="spellStart"/>
      <w:r w:rsidRPr="00710598">
        <w:rPr>
          <w:rFonts w:ascii="Tahoma" w:hAnsi="Tahoma" w:cs="Tahoma"/>
          <w:sz w:val="20"/>
        </w:rPr>
        <w:t>Montrealex</w:t>
      </w:r>
      <w:proofErr w:type="spellEnd"/>
      <w:r w:rsidRPr="00710598">
        <w:rPr>
          <w:rFonts w:ascii="Tahoma" w:hAnsi="Tahoma" w:cs="Tahoma"/>
          <w:sz w:val="20"/>
        </w:rPr>
        <w:t xml:space="preserve">  S.A.C. Perú e INDIGESA integrantes del Consorcio Lago Titicaca por su supuesta responsabilidad en la presentación de documentos falsos o inexactos, durante la Licitación Pública N.º 002-2006/ELPU (Primera Convocatoria) para la ejecución  de la Obra: “Ampliación del Tercer Grupo en la Central Hidroeléctrica de Sandia”. Asimismo se las emplazó a  fin que presenten sus descargos dentro del plazo de diez (10) días.</w:t>
      </w:r>
    </w:p>
    <w:p w:rsidR="00B55340" w:rsidRPr="00710598" w:rsidRDefault="00B55340" w:rsidP="00B55340">
      <w:pPr>
        <w:pStyle w:val="Textoindependiente"/>
        <w:tabs>
          <w:tab w:val="left" w:pos="5400"/>
        </w:tabs>
        <w:ind w:left="360"/>
        <w:rPr>
          <w:rFonts w:ascii="Tahoma" w:hAnsi="Tahoma" w:cs="Tahoma"/>
          <w:sz w:val="20"/>
        </w:rPr>
      </w:pPr>
    </w:p>
    <w:p w:rsidR="00B55340" w:rsidRPr="00710598" w:rsidRDefault="00B55340" w:rsidP="00B55340">
      <w:pPr>
        <w:pStyle w:val="Textoindependiente"/>
        <w:numPr>
          <w:ilvl w:val="0"/>
          <w:numId w:val="13"/>
        </w:numPr>
        <w:tabs>
          <w:tab w:val="clear" w:pos="720"/>
        </w:tabs>
        <w:rPr>
          <w:rFonts w:ascii="Tahoma" w:hAnsi="Tahoma" w:cs="Tahoma"/>
          <w:b/>
          <w:shadow/>
          <w:sz w:val="20"/>
          <w:u w:val="single"/>
        </w:rPr>
      </w:pPr>
      <w:r w:rsidRPr="00710598">
        <w:rPr>
          <w:rFonts w:ascii="Tahoma" w:hAnsi="Tahoma" w:cs="Tahoma"/>
          <w:sz w:val="20"/>
        </w:rPr>
        <w:t>Mediante escritos de fecha 22 de agosto de 2007 las empresas integrantes del Consorcio, presentaron sus descargos de manera conjunta manifestando lo siguiente:</w:t>
      </w:r>
    </w:p>
    <w:p w:rsidR="00B55340" w:rsidRPr="00710598" w:rsidRDefault="00B55340" w:rsidP="00B55340">
      <w:pPr>
        <w:pStyle w:val="Textoindependiente"/>
        <w:rPr>
          <w:rFonts w:ascii="Tahoma" w:hAnsi="Tahoma" w:cs="Tahoma"/>
          <w:b/>
          <w:shadow/>
          <w:sz w:val="20"/>
          <w:u w:val="single"/>
        </w:rPr>
      </w:pPr>
    </w:p>
    <w:p w:rsidR="00B55340" w:rsidRPr="00710598" w:rsidRDefault="00B55340" w:rsidP="00B55340">
      <w:pPr>
        <w:pStyle w:val="Textoindependiente"/>
        <w:numPr>
          <w:ilvl w:val="0"/>
          <w:numId w:val="14"/>
        </w:numPr>
        <w:ind w:hanging="360"/>
        <w:rPr>
          <w:rFonts w:ascii="Tahoma" w:hAnsi="Tahoma" w:cs="Tahoma"/>
          <w:sz w:val="20"/>
        </w:rPr>
      </w:pPr>
      <w:r w:rsidRPr="00710598">
        <w:rPr>
          <w:rFonts w:ascii="Tahoma" w:hAnsi="Tahoma" w:cs="Tahoma"/>
          <w:sz w:val="20"/>
        </w:rPr>
        <w:t>Un Certificado de Movimiento Migratorio, expedido por la Dirección General de Migraciones de nuestro país,  sólo se refiere al movimiento migratorio de las personas y no constituye prueba alguna que desmerezca la participación del Ingeniero Cipriano Casas Carbonero en una obra ejecutada en el extranjero. Consideramos que los registro migratorio de este país no son exactos ya que existen ciudadanos peruanos que han viajado al exterior cuyos movimientos migratorios no los tiene registrado la Dirección de Migraciones.</w:t>
      </w:r>
    </w:p>
    <w:p w:rsidR="00B55340" w:rsidRPr="00710598" w:rsidRDefault="00B55340" w:rsidP="00B55340">
      <w:pPr>
        <w:pStyle w:val="Textoindependiente"/>
        <w:ind w:left="360" w:hanging="360"/>
        <w:rPr>
          <w:rFonts w:ascii="Tahoma" w:hAnsi="Tahoma" w:cs="Tahoma"/>
          <w:sz w:val="20"/>
        </w:rPr>
      </w:pPr>
      <w:r w:rsidRPr="00710598">
        <w:rPr>
          <w:rFonts w:ascii="Tahoma" w:hAnsi="Tahoma" w:cs="Tahoma"/>
          <w:sz w:val="20"/>
        </w:rPr>
        <w:t xml:space="preserve"> </w:t>
      </w:r>
    </w:p>
    <w:p w:rsidR="00B55340" w:rsidRPr="00710598" w:rsidRDefault="00B55340" w:rsidP="00B55340">
      <w:pPr>
        <w:pStyle w:val="Textoindependiente"/>
        <w:numPr>
          <w:ilvl w:val="0"/>
          <w:numId w:val="14"/>
        </w:numPr>
        <w:ind w:hanging="360"/>
        <w:rPr>
          <w:rFonts w:ascii="Tahoma" w:hAnsi="Tahoma" w:cs="Tahoma"/>
          <w:sz w:val="20"/>
        </w:rPr>
      </w:pPr>
      <w:r w:rsidRPr="00710598">
        <w:rPr>
          <w:rFonts w:ascii="Tahoma" w:hAnsi="Tahoma" w:cs="Tahoma"/>
          <w:sz w:val="20"/>
        </w:rPr>
        <w:t>La Dirección técnica de una obra o el ejercicio como residente de la misma, no necesariamente precisa la presencia física de un profesional en el lugar de la obra.</w:t>
      </w:r>
    </w:p>
    <w:p w:rsidR="00B55340" w:rsidRPr="00710598" w:rsidRDefault="00B55340" w:rsidP="00B55340">
      <w:pPr>
        <w:pStyle w:val="Textoindependiente"/>
        <w:ind w:left="360"/>
        <w:rPr>
          <w:rFonts w:ascii="Tahoma" w:hAnsi="Tahoma" w:cs="Tahoma"/>
          <w:b/>
          <w:shadow/>
          <w:sz w:val="20"/>
          <w:u w:val="single"/>
        </w:rPr>
      </w:pPr>
    </w:p>
    <w:p w:rsidR="00B55340" w:rsidRPr="00710598" w:rsidRDefault="00B55340" w:rsidP="00B55340">
      <w:pPr>
        <w:pStyle w:val="Textoindependiente"/>
        <w:numPr>
          <w:ilvl w:val="0"/>
          <w:numId w:val="13"/>
        </w:numPr>
        <w:tabs>
          <w:tab w:val="clear" w:pos="720"/>
        </w:tabs>
        <w:rPr>
          <w:rFonts w:ascii="Tahoma" w:hAnsi="Tahoma" w:cs="Tahoma"/>
          <w:b/>
          <w:shadow/>
          <w:sz w:val="20"/>
          <w:u w:val="single"/>
        </w:rPr>
      </w:pPr>
      <w:r w:rsidRPr="00710598">
        <w:rPr>
          <w:rFonts w:ascii="Tahoma" w:hAnsi="Tahoma" w:cs="Tahoma"/>
          <w:sz w:val="20"/>
        </w:rPr>
        <w:t>Con decreto del 27 de agosto de 2007, se remitió el expediente la Tercera Sala del Tribunal de Contrataciones y Adquisiciones del Estado, para que resuelva.</w:t>
      </w:r>
    </w:p>
    <w:p w:rsidR="00B55340" w:rsidRPr="00710598" w:rsidRDefault="00B55340" w:rsidP="00B55340">
      <w:pPr>
        <w:pStyle w:val="Textoindependiente"/>
        <w:ind w:left="360"/>
        <w:rPr>
          <w:rFonts w:ascii="Tahoma" w:hAnsi="Tahoma" w:cs="Tahoma"/>
          <w:b/>
          <w:shadow/>
          <w:sz w:val="20"/>
          <w:u w:val="single"/>
        </w:rPr>
      </w:pPr>
    </w:p>
    <w:p w:rsidR="00B55340" w:rsidRPr="00710598" w:rsidRDefault="00B55340" w:rsidP="00B55340">
      <w:pPr>
        <w:pStyle w:val="Textoindependiente"/>
        <w:numPr>
          <w:ilvl w:val="0"/>
          <w:numId w:val="13"/>
        </w:numPr>
        <w:rPr>
          <w:rFonts w:ascii="Tahoma" w:hAnsi="Tahoma" w:cs="Tahoma"/>
          <w:b/>
          <w:sz w:val="20"/>
          <w:u w:val="single"/>
        </w:rPr>
      </w:pPr>
      <w:r w:rsidRPr="00710598">
        <w:rPr>
          <w:rFonts w:ascii="Tahoma" w:hAnsi="Tahoma" w:cs="Tahoma"/>
          <w:sz w:val="20"/>
        </w:rPr>
        <w:t>Mediante escrito presentado el 17 de agosto de 2007, la empresa Ingeniería Dinámica S.A. (INDIGESA) indicó lo siguiente:</w:t>
      </w:r>
    </w:p>
    <w:p w:rsidR="00B55340" w:rsidRPr="00710598" w:rsidRDefault="00B55340" w:rsidP="00B55340">
      <w:pPr>
        <w:pStyle w:val="Textoindependiente"/>
        <w:ind w:left="708"/>
        <w:rPr>
          <w:rFonts w:ascii="Tahoma" w:hAnsi="Tahoma" w:cs="Tahoma"/>
          <w:b/>
          <w:sz w:val="20"/>
          <w:u w:val="single"/>
        </w:rPr>
      </w:pPr>
    </w:p>
    <w:p w:rsidR="00B55340" w:rsidRPr="00710598" w:rsidRDefault="00B55340" w:rsidP="00B55340">
      <w:pPr>
        <w:pStyle w:val="Textoindependiente"/>
        <w:numPr>
          <w:ilvl w:val="1"/>
          <w:numId w:val="14"/>
        </w:numPr>
        <w:tabs>
          <w:tab w:val="clear" w:pos="1800"/>
          <w:tab w:val="num" w:pos="1080"/>
        </w:tabs>
        <w:ind w:left="1080" w:hanging="360"/>
        <w:rPr>
          <w:rFonts w:ascii="Tahoma" w:hAnsi="Tahoma" w:cs="Tahoma"/>
          <w:sz w:val="20"/>
        </w:rPr>
      </w:pPr>
      <w:r w:rsidRPr="00710598">
        <w:rPr>
          <w:rFonts w:ascii="Tahoma" w:hAnsi="Tahoma" w:cs="Tahoma"/>
          <w:sz w:val="20"/>
        </w:rPr>
        <w:t>La empresa MONTREALEX S.A.C. PERU nos manifestó que había ejecutado la Obra “Central Hidroeléctrica de Inga de 11kv” en la República Democrática de Congo y que contaba con el  profesional (Ingeniero Cipriano Casas Carbonero) que se desempeñó como Ingeniero Residente de dicha Obra, en el período comprendido entre noviembre del 2005 y julio del 2006.</w:t>
      </w:r>
    </w:p>
    <w:p w:rsidR="00B55340" w:rsidRPr="00710598" w:rsidRDefault="00B55340" w:rsidP="00B55340">
      <w:pPr>
        <w:pStyle w:val="Textoindependiente"/>
        <w:tabs>
          <w:tab w:val="num" w:pos="1080"/>
        </w:tabs>
        <w:ind w:left="1080" w:hanging="360"/>
        <w:rPr>
          <w:rFonts w:ascii="Tahoma" w:hAnsi="Tahoma" w:cs="Tahoma"/>
          <w:sz w:val="20"/>
        </w:rPr>
      </w:pPr>
    </w:p>
    <w:p w:rsidR="00B55340" w:rsidRPr="00710598" w:rsidRDefault="00B55340" w:rsidP="00B55340">
      <w:pPr>
        <w:pStyle w:val="Textoindependiente"/>
        <w:numPr>
          <w:ilvl w:val="1"/>
          <w:numId w:val="14"/>
        </w:numPr>
        <w:tabs>
          <w:tab w:val="clear" w:pos="1800"/>
          <w:tab w:val="num" w:pos="1080"/>
        </w:tabs>
        <w:ind w:left="1080" w:hanging="360"/>
        <w:rPr>
          <w:rFonts w:ascii="Tahoma" w:hAnsi="Tahoma" w:cs="Tahoma"/>
          <w:sz w:val="20"/>
        </w:rPr>
      </w:pPr>
      <w:r w:rsidRPr="00710598">
        <w:rPr>
          <w:rFonts w:ascii="Tahoma" w:hAnsi="Tahoma" w:cs="Tahoma"/>
          <w:sz w:val="20"/>
        </w:rPr>
        <w:t xml:space="preserve">Las experiencias con las que presuntamente contaba la empresa MONTREALEX S.A.C. PERU y el Ingeniero Cipriano Casas Carbonero motivaron a mi representada a conformar un Consorcio con dicha empresa, con la finalidad de complementar recursos, capacidades y aptitudes y presentar una propuesta competitiva en la Licitación Pública N.º 002-2006/ELPU (Primera Convocatoria).  </w:t>
      </w:r>
    </w:p>
    <w:p w:rsidR="00B55340" w:rsidRPr="00710598" w:rsidRDefault="00B55340" w:rsidP="00B55340">
      <w:pPr>
        <w:pStyle w:val="Textoindependiente"/>
        <w:rPr>
          <w:rFonts w:ascii="Tahoma" w:hAnsi="Tahoma" w:cs="Tahoma"/>
          <w:sz w:val="20"/>
        </w:rPr>
      </w:pPr>
    </w:p>
    <w:p w:rsidR="00B55340" w:rsidRPr="00710598" w:rsidRDefault="00B55340" w:rsidP="00B55340">
      <w:pPr>
        <w:pStyle w:val="Textoindependiente"/>
        <w:numPr>
          <w:ilvl w:val="1"/>
          <w:numId w:val="14"/>
        </w:numPr>
        <w:tabs>
          <w:tab w:val="clear" w:pos="1800"/>
          <w:tab w:val="num" w:pos="1080"/>
        </w:tabs>
        <w:ind w:left="1080" w:hanging="360"/>
        <w:rPr>
          <w:rFonts w:ascii="Tahoma" w:hAnsi="Tahoma" w:cs="Tahoma"/>
          <w:sz w:val="20"/>
        </w:rPr>
      </w:pPr>
      <w:r w:rsidRPr="00710598">
        <w:rPr>
          <w:rFonts w:ascii="Tahoma" w:hAnsi="Tahoma" w:cs="Tahoma"/>
          <w:sz w:val="20"/>
        </w:rPr>
        <w:t>El Certificado del Ingeniero Cipriano Casas Carbonero corresponde a una de las empresas integrantes del Consorcio Lago Titicaca, por lo que, INDIGESA no tuvo ninguna participación en la presentación de dicho documento.</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numPr>
          <w:ilvl w:val="1"/>
          <w:numId w:val="14"/>
        </w:numPr>
        <w:tabs>
          <w:tab w:val="clear" w:pos="1800"/>
          <w:tab w:val="num" w:pos="1080"/>
        </w:tabs>
        <w:ind w:left="1080" w:hanging="360"/>
        <w:rPr>
          <w:rFonts w:ascii="Tahoma" w:hAnsi="Tahoma" w:cs="Tahoma"/>
          <w:sz w:val="20"/>
        </w:rPr>
      </w:pPr>
      <w:r w:rsidRPr="00710598">
        <w:rPr>
          <w:rFonts w:ascii="Tahoma" w:hAnsi="Tahoma" w:cs="Tahoma"/>
          <w:sz w:val="20"/>
        </w:rPr>
        <w:lastRenderedPageBreak/>
        <w:t>Debe tenerse en cuenta lo dispuesto por el artículo 296º del Reglamento de la Ley de Contrataciones y Adquisiciones del Estado, aprobado por Decreto Supremo N</w:t>
      </w:r>
      <w:proofErr w:type="gramStart"/>
      <w:r w:rsidRPr="00710598">
        <w:rPr>
          <w:rFonts w:ascii="Tahoma" w:hAnsi="Tahoma" w:cs="Tahoma"/>
          <w:sz w:val="20"/>
        </w:rPr>
        <w:t>.º</w:t>
      </w:r>
      <w:proofErr w:type="gramEnd"/>
      <w:r w:rsidRPr="00710598">
        <w:rPr>
          <w:rFonts w:ascii="Tahoma" w:hAnsi="Tahoma" w:cs="Tahoma"/>
          <w:sz w:val="20"/>
        </w:rPr>
        <w:t xml:space="preserve"> 084-2004-PC, el cual establece que las infracciones cometidas por los postores que presentaron promesa de consorcio durante su participación en el proceso de selección, se imputaran exclusivamente a la parte que les haya cometido, aplicándose solo a esta la sanción a que hubiera lugar, siempre  que pueda individualizarse al infractor.</w:t>
      </w:r>
    </w:p>
    <w:p w:rsidR="00B55340" w:rsidRPr="00710598" w:rsidRDefault="00B55340" w:rsidP="00B55340">
      <w:pPr>
        <w:jc w:val="both"/>
        <w:rPr>
          <w:rFonts w:ascii="Tahoma" w:hAnsi="Tahoma" w:cs="Tahoma"/>
          <w:lang w:val="es-PE"/>
        </w:rPr>
      </w:pPr>
    </w:p>
    <w:p w:rsidR="00B55340" w:rsidRPr="00710598" w:rsidRDefault="00B55340" w:rsidP="00B55340">
      <w:pPr>
        <w:rPr>
          <w:rFonts w:ascii="Tahoma" w:hAnsi="Tahoma" w:cs="Tahoma"/>
          <w:b/>
          <w:shadow/>
        </w:rPr>
      </w:pPr>
      <w:r w:rsidRPr="00710598">
        <w:rPr>
          <w:rFonts w:ascii="Tahoma" w:hAnsi="Tahoma" w:cs="Tahoma"/>
          <w:b/>
          <w:shadow/>
        </w:rPr>
        <w:t>FUNDAMENTOS</w:t>
      </w:r>
    </w:p>
    <w:p w:rsidR="00B55340" w:rsidRPr="00710598" w:rsidRDefault="00B55340" w:rsidP="00B55340">
      <w:pPr>
        <w:tabs>
          <w:tab w:val="left" w:pos="540"/>
        </w:tabs>
        <w:ind w:left="360"/>
        <w:jc w:val="both"/>
        <w:rPr>
          <w:rFonts w:ascii="Tahoma" w:hAnsi="Tahoma" w:cs="Tahoma"/>
        </w:rPr>
      </w:pPr>
    </w:p>
    <w:p w:rsidR="00B55340" w:rsidRPr="00710598" w:rsidRDefault="00B55340" w:rsidP="00B55340">
      <w:pPr>
        <w:pStyle w:val="Textoindependiente"/>
        <w:widowControl w:val="0"/>
        <w:numPr>
          <w:ilvl w:val="0"/>
          <w:numId w:val="5"/>
        </w:numPr>
        <w:tabs>
          <w:tab w:val="clear" w:pos="814"/>
          <w:tab w:val="num" w:pos="540"/>
          <w:tab w:val="left" w:pos="2410"/>
        </w:tabs>
        <w:suppressAutoHyphens/>
        <w:ind w:left="540" w:hanging="540"/>
        <w:rPr>
          <w:rFonts w:ascii="Tahoma" w:hAnsi="Tahoma" w:cs="Tahoma"/>
          <w:sz w:val="20"/>
        </w:rPr>
      </w:pPr>
      <w:r w:rsidRPr="00710598">
        <w:rPr>
          <w:rFonts w:ascii="Tahoma" w:hAnsi="Tahoma" w:cs="Tahoma"/>
          <w:sz w:val="20"/>
        </w:rPr>
        <w:t>La infracción por la cual se decretó el inicio del presente procedimiento administrativo sancionador se encuentra tipificada en el inciso 9) del artículo 294 del Reglamento de la Ley de Contrataciones y Adquisiciones del Estado, aprobado por Decreto Supremo N.° 084-2004-PCM</w:t>
      </w:r>
      <w:r w:rsidRPr="00710598">
        <w:rPr>
          <w:rStyle w:val="Refdenotaalpie"/>
          <w:rFonts w:ascii="Tahoma" w:hAnsi="Tahoma" w:cs="Tahoma"/>
          <w:sz w:val="20"/>
        </w:rPr>
        <w:footnoteReference w:id="2"/>
      </w:r>
      <w:r w:rsidRPr="00710598">
        <w:rPr>
          <w:rFonts w:ascii="Tahoma" w:hAnsi="Tahoma" w:cs="Tahoma"/>
          <w:sz w:val="20"/>
        </w:rPr>
        <w:t>, en lo sucesivo el Reglamento. Dicha infracción consiste en la presentación de documentos falsos o inexactos en procesos de selección, ante la Entidad o el Consejo Superior de Contrataciones y Adquisiciones del Estado – CONSUCODE.</w:t>
      </w:r>
    </w:p>
    <w:p w:rsidR="00B55340" w:rsidRPr="00710598" w:rsidRDefault="00B55340" w:rsidP="00B55340">
      <w:pPr>
        <w:pStyle w:val="Textoindependiente"/>
        <w:tabs>
          <w:tab w:val="num" w:pos="540"/>
          <w:tab w:val="left" w:pos="2410"/>
        </w:tabs>
        <w:rPr>
          <w:rFonts w:ascii="Tahoma" w:hAnsi="Tahoma" w:cs="Tahoma"/>
          <w:sz w:val="20"/>
        </w:rPr>
      </w:pPr>
    </w:p>
    <w:p w:rsidR="00B55340" w:rsidRPr="00710598" w:rsidRDefault="00B55340" w:rsidP="00B55340">
      <w:pPr>
        <w:pStyle w:val="Textoindependiente"/>
        <w:tabs>
          <w:tab w:val="num" w:pos="540"/>
          <w:tab w:val="left" w:pos="2410"/>
        </w:tabs>
        <w:ind w:left="540"/>
        <w:rPr>
          <w:rFonts w:ascii="Tahoma" w:hAnsi="Tahoma" w:cs="Tahoma"/>
          <w:sz w:val="20"/>
        </w:rPr>
      </w:pPr>
      <w:r w:rsidRPr="00710598">
        <w:rPr>
          <w:rFonts w:ascii="Tahoma" w:hAnsi="Tahoma" w:cs="Tahoma"/>
          <w:sz w:val="20"/>
          <w:lang w:val="es-MX"/>
        </w:rPr>
        <w:t>Al respecto, debe tenerse presente que p</w:t>
      </w:r>
      <w:r w:rsidRPr="00710598">
        <w:rPr>
          <w:rFonts w:ascii="Tahoma" w:hAnsi="Tahoma" w:cs="Tahoma"/>
          <w:sz w:val="20"/>
        </w:rPr>
        <w:t>ara la configuración del supuesto de hecho de la norma que contiene la infracción invocada, se requiere previamente acreditar la falsedad del documento cuestionado, es decir, que éste no ha sido expedido por el órgano emisor correspondiente o que siendo válidamente expedido, ha sido adulterado en su contenido. Por otro lado, la infracción referida a información inexacta se configura ante la presentación de documentos no concordantes con la realidad, es decir, constituye una forma de falseamiento de la realidad, a través del quebrantamiento de los principios de moralidad y de presunción de veracidad.</w:t>
      </w:r>
    </w:p>
    <w:p w:rsidR="00B55340" w:rsidRPr="00710598" w:rsidRDefault="00B55340" w:rsidP="00B55340">
      <w:pPr>
        <w:pStyle w:val="Textoindependiente"/>
        <w:tabs>
          <w:tab w:val="left" w:pos="2410"/>
        </w:tabs>
        <w:rPr>
          <w:rFonts w:ascii="Tahoma" w:hAnsi="Tahoma" w:cs="Tahoma"/>
          <w:sz w:val="20"/>
        </w:rPr>
      </w:pPr>
    </w:p>
    <w:p w:rsidR="00B55340" w:rsidRPr="00710598" w:rsidRDefault="00B55340" w:rsidP="00B55340">
      <w:pPr>
        <w:pStyle w:val="Textoindependiente"/>
        <w:widowControl w:val="0"/>
        <w:numPr>
          <w:ilvl w:val="0"/>
          <w:numId w:val="5"/>
        </w:numPr>
        <w:tabs>
          <w:tab w:val="clear" w:pos="814"/>
          <w:tab w:val="num" w:pos="540"/>
          <w:tab w:val="left" w:pos="2410"/>
        </w:tabs>
        <w:suppressAutoHyphens/>
        <w:ind w:left="540" w:hanging="540"/>
        <w:rPr>
          <w:rFonts w:ascii="Tahoma" w:hAnsi="Tahoma" w:cs="Tahoma"/>
          <w:sz w:val="20"/>
        </w:rPr>
      </w:pPr>
      <w:r w:rsidRPr="00710598">
        <w:rPr>
          <w:rFonts w:ascii="Tahoma" w:hAnsi="Tahoma" w:cs="Tahoma"/>
          <w:sz w:val="20"/>
        </w:rPr>
        <w:t xml:space="preserve">La imputación efectuada contra las empresas J &amp; M Servicios Generales S.A., </w:t>
      </w:r>
      <w:proofErr w:type="spellStart"/>
      <w:r w:rsidRPr="00710598">
        <w:rPr>
          <w:rFonts w:ascii="Tahoma" w:hAnsi="Tahoma" w:cs="Tahoma"/>
          <w:sz w:val="20"/>
        </w:rPr>
        <w:t>Montrealex</w:t>
      </w:r>
      <w:proofErr w:type="spellEnd"/>
      <w:r w:rsidRPr="00710598">
        <w:rPr>
          <w:rFonts w:ascii="Tahoma" w:hAnsi="Tahoma" w:cs="Tahoma"/>
          <w:sz w:val="20"/>
        </w:rPr>
        <w:t xml:space="preserve">  S.A.C. Perú e INDIGESA integrantes del Consorcio Lago Titicaca se refiere a la presentación del Certificado de Trabajo expedido por la empresa Montaje y Realizaciones S.A. (Montreal) de fecha 15 de agosto de 2006 y la Constancia de Trabajo otorgada por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de fecha 11 de diciembre de 2006, documentos que contendrían información inexacta, durante la Licitación Pública N.º 002-2006/ELPU (Primera Convocatoria) para la ejecución  de la Obra: “Ampliación del Tercer Grupo en la Central Hidroeléctrica de Sandia”.</w:t>
      </w:r>
    </w:p>
    <w:p w:rsidR="00B55340" w:rsidRPr="00710598" w:rsidRDefault="00B55340" w:rsidP="00B55340">
      <w:pPr>
        <w:pStyle w:val="Textoindependiente"/>
        <w:tabs>
          <w:tab w:val="left" w:pos="2410"/>
        </w:tabs>
        <w:rPr>
          <w:rFonts w:ascii="Tahoma" w:hAnsi="Tahoma" w:cs="Tahoma"/>
          <w:sz w:val="20"/>
        </w:rPr>
      </w:pPr>
    </w:p>
    <w:p w:rsidR="00B55340" w:rsidRPr="00710598" w:rsidRDefault="00B55340" w:rsidP="00B55340">
      <w:pPr>
        <w:pStyle w:val="Textoindependiente"/>
        <w:widowControl w:val="0"/>
        <w:numPr>
          <w:ilvl w:val="0"/>
          <w:numId w:val="5"/>
        </w:numPr>
        <w:tabs>
          <w:tab w:val="clear" w:pos="814"/>
          <w:tab w:val="num" w:pos="540"/>
          <w:tab w:val="left" w:pos="2410"/>
        </w:tabs>
        <w:suppressAutoHyphens/>
        <w:ind w:left="540" w:hanging="540"/>
        <w:rPr>
          <w:rFonts w:ascii="Tahoma" w:hAnsi="Tahoma" w:cs="Tahoma"/>
          <w:sz w:val="20"/>
        </w:rPr>
      </w:pPr>
      <w:r w:rsidRPr="00710598">
        <w:rPr>
          <w:rFonts w:ascii="Tahoma" w:hAnsi="Tahoma" w:cs="Tahoma"/>
          <w:sz w:val="20"/>
        </w:rPr>
        <w:t>Al respecto, la Entidad manifestó en el Informe Legal N.º 004-2007/ELPU-GG</w:t>
      </w:r>
      <w:r w:rsidRPr="00710598">
        <w:rPr>
          <w:rStyle w:val="Refdenotaalpie"/>
          <w:rFonts w:ascii="Tahoma" w:hAnsi="Tahoma" w:cs="Tahoma"/>
          <w:sz w:val="20"/>
        </w:rPr>
        <w:footnoteReference w:id="3"/>
      </w:r>
      <w:r w:rsidRPr="00710598">
        <w:rPr>
          <w:rFonts w:ascii="Tahoma" w:hAnsi="Tahoma" w:cs="Tahoma"/>
          <w:sz w:val="20"/>
        </w:rPr>
        <w:t xml:space="preserve"> que el Consorcio Lago Titicaca ofreció como Residente de obra al Ingeniero Cipriano Casas Carbonero, adjuntando a efecto de acreditar su experiencia la Constancia de Trabajo otorgada por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de fecha 11 de diciembre de 2006. Asimismo, añadió, el referido Consorcio incluyó en el expediente técnico el Certificado de trabajo emitido por la empresa Montaje Realizaciones S.A. (Montreal) mediante el cual </w:t>
      </w:r>
      <w:r w:rsidRPr="00710598">
        <w:rPr>
          <w:rFonts w:ascii="Tahoma" w:hAnsi="Tahoma" w:cs="Tahoma"/>
          <w:sz w:val="20"/>
        </w:rPr>
        <w:lastRenderedPageBreak/>
        <w:t>pretendió demostrar su participación en la obra de construcción de la Central Hidroeléctrica de Inga, realizada en la República Democrática del Congo durante el periodo de noviembre de 2005 hasta julio de 2006 y que el mencionado Ingeniero participó en la dirección técnica de dicha obra.</w:t>
      </w:r>
    </w:p>
    <w:p w:rsidR="00B55340" w:rsidRPr="00710598" w:rsidRDefault="00B55340" w:rsidP="00B55340">
      <w:pPr>
        <w:pStyle w:val="Textoindependiente"/>
        <w:tabs>
          <w:tab w:val="left" w:pos="2410"/>
        </w:tabs>
        <w:rPr>
          <w:rFonts w:ascii="Tahoma" w:hAnsi="Tahoma" w:cs="Tahoma"/>
          <w:sz w:val="20"/>
        </w:rPr>
      </w:pPr>
    </w:p>
    <w:p w:rsidR="00B55340" w:rsidRPr="00710598" w:rsidRDefault="00B55340" w:rsidP="00B55340">
      <w:pPr>
        <w:pStyle w:val="Textoindependiente"/>
        <w:tabs>
          <w:tab w:val="left" w:pos="2410"/>
        </w:tabs>
        <w:ind w:left="540"/>
        <w:rPr>
          <w:rFonts w:ascii="Tahoma" w:hAnsi="Tahoma" w:cs="Tahoma"/>
          <w:sz w:val="20"/>
        </w:rPr>
      </w:pPr>
      <w:r w:rsidRPr="00710598">
        <w:rPr>
          <w:rFonts w:ascii="Tahoma" w:hAnsi="Tahoma" w:cs="Tahoma"/>
          <w:sz w:val="20"/>
        </w:rPr>
        <w:t>Sin embargo, indicó la Entidad, conforme señaló la Dirección General de Migraciones y Naturalización del Ministerio del Interior en el Certificado de Movimiento Migratorio N</w:t>
      </w:r>
      <w:proofErr w:type="gramStart"/>
      <w:r w:rsidRPr="00710598">
        <w:rPr>
          <w:rFonts w:ascii="Tahoma" w:hAnsi="Tahoma" w:cs="Tahoma"/>
          <w:sz w:val="20"/>
        </w:rPr>
        <w:t>.º</w:t>
      </w:r>
      <w:proofErr w:type="gramEnd"/>
      <w:r w:rsidRPr="00710598">
        <w:rPr>
          <w:rFonts w:ascii="Tahoma" w:hAnsi="Tahoma" w:cs="Tahoma"/>
          <w:sz w:val="20"/>
        </w:rPr>
        <w:t xml:space="preserve"> 20348/2006-IN-7601, el Ingeniero Cipriano Casas Carbonero no viajó a la República del Congo entre noviembre de 2005 y julio de 2006, toda vez que no registra movimiento migratorio desde el 01 de enero de 1994.</w:t>
      </w:r>
    </w:p>
    <w:p w:rsidR="00B55340" w:rsidRPr="00710598" w:rsidRDefault="00B55340" w:rsidP="00B55340">
      <w:pPr>
        <w:pStyle w:val="Textoindependiente"/>
        <w:tabs>
          <w:tab w:val="left" w:pos="2410"/>
        </w:tabs>
        <w:rPr>
          <w:rFonts w:ascii="Tahoma" w:hAnsi="Tahoma" w:cs="Tahoma"/>
          <w:sz w:val="20"/>
        </w:rPr>
      </w:pPr>
    </w:p>
    <w:p w:rsidR="00B55340" w:rsidRPr="00710598" w:rsidRDefault="00B55340" w:rsidP="00B55340">
      <w:pPr>
        <w:pStyle w:val="Textoindependiente"/>
        <w:widowControl w:val="0"/>
        <w:numPr>
          <w:ilvl w:val="0"/>
          <w:numId w:val="5"/>
        </w:numPr>
        <w:tabs>
          <w:tab w:val="clear" w:pos="814"/>
          <w:tab w:val="left" w:pos="567"/>
        </w:tabs>
        <w:suppressAutoHyphens/>
        <w:ind w:left="567" w:hanging="567"/>
        <w:rPr>
          <w:rFonts w:ascii="Tahoma" w:hAnsi="Tahoma" w:cs="Tahoma"/>
          <w:sz w:val="20"/>
        </w:rPr>
      </w:pPr>
      <w:r w:rsidRPr="00710598">
        <w:rPr>
          <w:rFonts w:ascii="Tahoma" w:hAnsi="Tahoma" w:cs="Tahoma"/>
          <w:sz w:val="20"/>
        </w:rPr>
        <w:t>De la revisión de la documentación obrante en autos, se advierte que efectivamente el Consorcio Lago Titicaca presentó, como parte de su propuesta técnica, el Certificado de Trabajo expedido por la empresa Montaje y Realizaciones S.A. (Montreal) de fecha 15 de agosto de 2006</w:t>
      </w:r>
      <w:r w:rsidRPr="00710598">
        <w:rPr>
          <w:rStyle w:val="Refdenotaalpie"/>
          <w:rFonts w:ascii="Tahoma" w:hAnsi="Tahoma" w:cs="Tahoma"/>
          <w:sz w:val="20"/>
        </w:rPr>
        <w:footnoteReference w:id="4"/>
      </w:r>
      <w:r w:rsidRPr="00710598">
        <w:rPr>
          <w:rFonts w:ascii="Tahoma" w:hAnsi="Tahoma" w:cs="Tahoma"/>
          <w:sz w:val="20"/>
        </w:rPr>
        <w:t xml:space="preserve"> el cual dice textualmente lo siguiente:</w:t>
      </w:r>
    </w:p>
    <w:p w:rsidR="00B55340" w:rsidRPr="00710598" w:rsidRDefault="00B55340" w:rsidP="00B55340">
      <w:pPr>
        <w:pStyle w:val="Prrafodelista"/>
        <w:rPr>
          <w:rFonts w:ascii="Tahoma" w:hAnsi="Tahoma" w:cs="Tahoma"/>
          <w:lang w:val="es-ES_tradnl"/>
        </w:rPr>
      </w:pPr>
    </w:p>
    <w:p w:rsidR="00B55340" w:rsidRPr="00710598" w:rsidRDefault="00B55340" w:rsidP="00B55340">
      <w:pPr>
        <w:pStyle w:val="Textoindependiente"/>
        <w:tabs>
          <w:tab w:val="left" w:pos="567"/>
        </w:tabs>
        <w:ind w:left="1416"/>
        <w:rPr>
          <w:rFonts w:ascii="Tahoma" w:hAnsi="Tahoma" w:cs="Tahoma"/>
          <w:i/>
          <w:sz w:val="20"/>
        </w:rPr>
      </w:pPr>
      <w:r w:rsidRPr="00710598">
        <w:rPr>
          <w:rFonts w:ascii="Tahoma" w:hAnsi="Tahoma" w:cs="Tahoma"/>
          <w:i/>
          <w:sz w:val="20"/>
        </w:rPr>
        <w:t xml:space="preserve">“Que, la empresa MONTREALEX S.A.C. PERÚ, ha participado por encargo nuestro en la Construcción de la Central Hidroeléctrica de Inga de 11 </w:t>
      </w:r>
      <w:proofErr w:type="spellStart"/>
      <w:r w:rsidRPr="00710598">
        <w:rPr>
          <w:rFonts w:ascii="Tahoma" w:hAnsi="Tahoma" w:cs="Tahoma"/>
          <w:i/>
          <w:sz w:val="20"/>
        </w:rPr>
        <w:t>Kv.</w:t>
      </w:r>
      <w:proofErr w:type="spellEnd"/>
      <w:r w:rsidRPr="00710598">
        <w:rPr>
          <w:rFonts w:ascii="Tahoma" w:hAnsi="Tahoma" w:cs="Tahoma"/>
          <w:i/>
          <w:sz w:val="20"/>
        </w:rPr>
        <w:t xml:space="preserve">, durante el período comprendido entre </w:t>
      </w:r>
      <w:r w:rsidRPr="00710598">
        <w:rPr>
          <w:rFonts w:ascii="Tahoma" w:hAnsi="Tahoma" w:cs="Tahoma"/>
          <w:b/>
          <w:i/>
          <w:sz w:val="20"/>
        </w:rPr>
        <w:t>Noviembre 2005 y Julio del 2006</w:t>
      </w:r>
      <w:r w:rsidRPr="00710598">
        <w:rPr>
          <w:rFonts w:ascii="Tahoma" w:hAnsi="Tahoma" w:cs="Tahoma"/>
          <w:i/>
          <w:sz w:val="20"/>
        </w:rPr>
        <w:t>, teniendo como responsable en la dirección técnica de tales trabajos al ING. CIPRIANO CASAS CARBONERO (…)” (el resaltado es nuestro).</w:t>
      </w:r>
    </w:p>
    <w:p w:rsidR="00B55340" w:rsidRPr="00710598" w:rsidRDefault="00B55340" w:rsidP="00B55340">
      <w:pPr>
        <w:pStyle w:val="Textoindependiente"/>
        <w:tabs>
          <w:tab w:val="left" w:pos="567"/>
        </w:tabs>
        <w:ind w:left="1416"/>
        <w:rPr>
          <w:rFonts w:ascii="Tahoma" w:hAnsi="Tahoma" w:cs="Tahoma"/>
          <w:sz w:val="20"/>
        </w:rPr>
      </w:pPr>
      <w:r w:rsidRPr="00710598">
        <w:rPr>
          <w:rFonts w:ascii="Tahoma" w:hAnsi="Tahoma" w:cs="Tahoma"/>
          <w:i/>
          <w:sz w:val="20"/>
        </w:rPr>
        <w:t xml:space="preserve"> </w:t>
      </w:r>
    </w:p>
    <w:p w:rsidR="00B55340" w:rsidRPr="00710598" w:rsidRDefault="00B55340" w:rsidP="00B55340">
      <w:pPr>
        <w:pStyle w:val="Textoindependiente"/>
        <w:tabs>
          <w:tab w:val="left" w:pos="567"/>
        </w:tabs>
        <w:ind w:left="567"/>
        <w:rPr>
          <w:rFonts w:ascii="Tahoma" w:hAnsi="Tahoma" w:cs="Tahoma"/>
          <w:sz w:val="20"/>
        </w:rPr>
      </w:pPr>
      <w:r w:rsidRPr="00710598">
        <w:rPr>
          <w:rFonts w:ascii="Tahoma" w:hAnsi="Tahoma" w:cs="Tahoma"/>
          <w:sz w:val="20"/>
        </w:rPr>
        <w:t>Asimismo, obra en autos el Certificado de Trabajo de fecha 11 de diciembre de 2006</w:t>
      </w:r>
      <w:r w:rsidRPr="00710598">
        <w:rPr>
          <w:rStyle w:val="Refdenotaalpie"/>
          <w:rFonts w:ascii="Tahoma" w:hAnsi="Tahoma" w:cs="Tahoma"/>
          <w:sz w:val="20"/>
        </w:rPr>
        <w:footnoteReference w:id="5"/>
      </w:r>
      <w:r w:rsidRPr="00710598">
        <w:rPr>
          <w:rFonts w:ascii="Tahoma" w:hAnsi="Tahoma" w:cs="Tahoma"/>
          <w:sz w:val="20"/>
        </w:rPr>
        <w:t xml:space="preserve"> expedido por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el cual consigna el siguiente texto:</w:t>
      </w:r>
    </w:p>
    <w:p w:rsidR="00B55340" w:rsidRPr="00710598" w:rsidRDefault="00B55340" w:rsidP="00B55340">
      <w:pPr>
        <w:pStyle w:val="Textoindependiente"/>
        <w:tabs>
          <w:tab w:val="left" w:pos="567"/>
        </w:tabs>
        <w:ind w:left="567"/>
        <w:rPr>
          <w:rFonts w:ascii="Tahoma" w:hAnsi="Tahoma" w:cs="Tahoma"/>
          <w:sz w:val="20"/>
        </w:rPr>
      </w:pPr>
    </w:p>
    <w:p w:rsidR="00B55340" w:rsidRPr="00710598" w:rsidRDefault="00B55340" w:rsidP="00B55340">
      <w:pPr>
        <w:pStyle w:val="Textoindependiente"/>
        <w:tabs>
          <w:tab w:val="left" w:pos="567"/>
        </w:tabs>
        <w:ind w:left="1416"/>
        <w:rPr>
          <w:rFonts w:ascii="Tahoma" w:hAnsi="Tahoma" w:cs="Tahoma"/>
          <w:i/>
          <w:sz w:val="20"/>
        </w:rPr>
      </w:pPr>
      <w:r w:rsidRPr="00710598">
        <w:rPr>
          <w:rFonts w:ascii="Tahoma" w:hAnsi="Tahoma" w:cs="Tahoma"/>
          <w:i/>
          <w:sz w:val="20"/>
        </w:rPr>
        <w:t xml:space="preserve">“Por medio del presente dejamos constancia que el Ing. CIPRIANO CASAS CARBONERO, se ha desempeñado como Ingeniero Residente en la ejecución de la obra Central Hidroeléctrica de Inga de 11 </w:t>
      </w:r>
      <w:proofErr w:type="spellStart"/>
      <w:r w:rsidRPr="00710598">
        <w:rPr>
          <w:rFonts w:ascii="Tahoma" w:hAnsi="Tahoma" w:cs="Tahoma"/>
          <w:i/>
          <w:sz w:val="20"/>
        </w:rPr>
        <w:t>kv</w:t>
      </w:r>
      <w:proofErr w:type="spellEnd"/>
      <w:r w:rsidRPr="00710598">
        <w:rPr>
          <w:rFonts w:ascii="Tahoma" w:hAnsi="Tahoma" w:cs="Tahoma"/>
          <w:i/>
          <w:sz w:val="20"/>
        </w:rPr>
        <w:t>., obra ejecutada por el importe de € 3 281 336,10 (TRES MILLONES DOSCIENTOS OCHENTAIUN MIL TRESCIENTOS TREINTA SEIS Y 10/100 EUROS).</w:t>
      </w:r>
    </w:p>
    <w:p w:rsidR="00B55340" w:rsidRPr="00710598" w:rsidRDefault="00B55340" w:rsidP="00B55340">
      <w:pPr>
        <w:pStyle w:val="Textoindependiente"/>
        <w:tabs>
          <w:tab w:val="left" w:pos="567"/>
        </w:tabs>
        <w:ind w:left="567"/>
        <w:rPr>
          <w:rFonts w:ascii="Tahoma" w:hAnsi="Tahoma" w:cs="Tahoma"/>
          <w:i/>
          <w:sz w:val="20"/>
        </w:rPr>
      </w:pPr>
    </w:p>
    <w:p w:rsidR="00B55340" w:rsidRPr="00710598" w:rsidRDefault="00B55340" w:rsidP="00B55340">
      <w:pPr>
        <w:pStyle w:val="Textoindependiente"/>
        <w:tabs>
          <w:tab w:val="left" w:pos="567"/>
        </w:tabs>
        <w:ind w:left="1416"/>
        <w:rPr>
          <w:rFonts w:ascii="Tahoma" w:hAnsi="Tahoma" w:cs="Tahoma"/>
          <w:sz w:val="20"/>
        </w:rPr>
      </w:pPr>
      <w:r w:rsidRPr="00710598">
        <w:rPr>
          <w:rFonts w:ascii="Tahoma" w:hAnsi="Tahoma" w:cs="Tahoma"/>
          <w:b/>
          <w:i/>
          <w:sz w:val="20"/>
        </w:rPr>
        <w:t>Precisamos indicar que el citado profesional durante su permanencia en obra</w:t>
      </w:r>
      <w:r w:rsidRPr="00710598">
        <w:rPr>
          <w:rFonts w:ascii="Tahoma" w:hAnsi="Tahoma" w:cs="Tahoma"/>
          <w:i/>
          <w:sz w:val="20"/>
        </w:rPr>
        <w:t xml:space="preserve"> ha demostrado experiencia, responsabilidad a la labor encomendada a entera satisfacción nuestra (…)” </w:t>
      </w:r>
      <w:r w:rsidRPr="00710598">
        <w:rPr>
          <w:rFonts w:ascii="Tahoma" w:hAnsi="Tahoma" w:cs="Tahoma"/>
          <w:sz w:val="20"/>
        </w:rPr>
        <w:t>(el resaltado es nuestro).</w:t>
      </w:r>
    </w:p>
    <w:p w:rsidR="00B55340" w:rsidRPr="00710598" w:rsidRDefault="00B55340" w:rsidP="00B55340">
      <w:pPr>
        <w:pStyle w:val="Textoindependiente"/>
        <w:tabs>
          <w:tab w:val="left" w:pos="567"/>
        </w:tabs>
        <w:ind w:left="1416"/>
        <w:rPr>
          <w:rFonts w:ascii="Tahoma" w:hAnsi="Tahoma" w:cs="Tahoma"/>
          <w:sz w:val="20"/>
        </w:rPr>
      </w:pPr>
    </w:p>
    <w:p w:rsidR="00B55340" w:rsidRPr="00710598" w:rsidRDefault="00B55340" w:rsidP="00B55340">
      <w:pPr>
        <w:pStyle w:val="Textoindependiente"/>
        <w:widowControl w:val="0"/>
        <w:numPr>
          <w:ilvl w:val="0"/>
          <w:numId w:val="5"/>
        </w:numPr>
        <w:tabs>
          <w:tab w:val="clear" w:pos="814"/>
          <w:tab w:val="num" w:pos="540"/>
          <w:tab w:val="left" w:pos="2410"/>
        </w:tabs>
        <w:suppressAutoHyphens/>
        <w:ind w:left="540" w:hanging="540"/>
        <w:rPr>
          <w:rFonts w:ascii="Tahoma" w:hAnsi="Tahoma" w:cs="Tahoma"/>
          <w:sz w:val="20"/>
        </w:rPr>
      </w:pPr>
      <w:r w:rsidRPr="00710598">
        <w:rPr>
          <w:rFonts w:ascii="Tahoma" w:hAnsi="Tahoma" w:cs="Tahoma"/>
          <w:sz w:val="20"/>
        </w:rPr>
        <w:t>Cabe mencionar la documentación presentada sirvió para acreditar y obtener el puntaje descrito en el numeral 2.3 del Anexo N.º 07 de las bases, el cual  estableció que se calificará al Ingeniero electricista y/o mecánico electricista con experiencia en obras similares, de acuerdo al siguiente detalle:</w:t>
      </w:r>
    </w:p>
    <w:p w:rsidR="00B55340" w:rsidRPr="00710598" w:rsidRDefault="00B55340" w:rsidP="00B55340">
      <w:pPr>
        <w:ind w:left="-180"/>
        <w:jc w:val="both"/>
        <w:rPr>
          <w:rFonts w:ascii="Tahoma" w:hAnsi="Tahoma" w:cs="Tahoma"/>
          <w:lang w:val="es-ES_tradnl"/>
        </w:rPr>
      </w:pPr>
    </w:p>
    <w:p w:rsidR="00B55340" w:rsidRPr="00710598" w:rsidRDefault="00B55340" w:rsidP="00B55340">
      <w:pPr>
        <w:ind w:left="1068" w:firstLine="348"/>
        <w:rPr>
          <w:rFonts w:ascii="Tahoma" w:hAnsi="Tahoma" w:cs="Tahoma"/>
          <w:i/>
        </w:rPr>
      </w:pPr>
      <w:r w:rsidRPr="00710598">
        <w:rPr>
          <w:rFonts w:ascii="Tahoma" w:hAnsi="Tahoma" w:cs="Tahoma"/>
          <w:i/>
        </w:rPr>
        <w:t xml:space="preserve">“-Con experiencia en obras similares de monto igual o </w:t>
      </w:r>
    </w:p>
    <w:p w:rsidR="00B55340" w:rsidRPr="00710598" w:rsidRDefault="00B55340" w:rsidP="00B55340">
      <w:pPr>
        <w:ind w:left="360" w:firstLine="348"/>
        <w:rPr>
          <w:rFonts w:ascii="Tahoma" w:hAnsi="Tahoma" w:cs="Tahoma"/>
          <w:b/>
          <w:i/>
        </w:rPr>
      </w:pPr>
      <w:r w:rsidRPr="00710598">
        <w:rPr>
          <w:rFonts w:ascii="Tahoma" w:hAnsi="Tahoma" w:cs="Tahoma"/>
          <w:i/>
        </w:rPr>
        <w:t xml:space="preserve"> </w:t>
      </w:r>
      <w:r w:rsidRPr="00710598">
        <w:rPr>
          <w:rFonts w:ascii="Tahoma" w:hAnsi="Tahoma" w:cs="Tahoma"/>
          <w:i/>
        </w:rPr>
        <w:tab/>
      </w:r>
      <w:proofErr w:type="gramStart"/>
      <w:r w:rsidRPr="00710598">
        <w:rPr>
          <w:rFonts w:ascii="Tahoma" w:hAnsi="Tahoma" w:cs="Tahoma"/>
          <w:i/>
        </w:rPr>
        <w:t>superior</w:t>
      </w:r>
      <w:proofErr w:type="gramEnd"/>
      <w:r w:rsidRPr="00710598">
        <w:rPr>
          <w:rFonts w:ascii="Tahoma" w:hAnsi="Tahoma" w:cs="Tahoma"/>
          <w:i/>
        </w:rPr>
        <w:t xml:space="preserve"> al valor referencial</w:t>
      </w:r>
      <w:r w:rsidRPr="00710598">
        <w:rPr>
          <w:rFonts w:ascii="Tahoma" w:hAnsi="Tahoma" w:cs="Tahoma"/>
          <w:i/>
        </w:rPr>
        <w:tab/>
      </w:r>
      <w:r w:rsidRPr="00710598">
        <w:rPr>
          <w:rFonts w:ascii="Tahoma" w:hAnsi="Tahoma" w:cs="Tahoma"/>
          <w:i/>
        </w:rPr>
        <w:tab/>
      </w:r>
      <w:r w:rsidRPr="00710598">
        <w:rPr>
          <w:rFonts w:ascii="Tahoma" w:hAnsi="Tahoma" w:cs="Tahoma"/>
          <w:i/>
        </w:rPr>
        <w:tab/>
      </w:r>
      <w:r w:rsidRPr="00710598">
        <w:rPr>
          <w:rFonts w:ascii="Tahoma" w:hAnsi="Tahoma" w:cs="Tahoma"/>
          <w:i/>
        </w:rPr>
        <w:tab/>
      </w:r>
      <w:r w:rsidRPr="00710598">
        <w:rPr>
          <w:rFonts w:ascii="Tahoma" w:hAnsi="Tahoma" w:cs="Tahoma"/>
          <w:b/>
          <w:i/>
        </w:rPr>
        <w:t>10.00 puntos</w:t>
      </w:r>
    </w:p>
    <w:p w:rsidR="00B55340" w:rsidRPr="00710598" w:rsidRDefault="00B55340" w:rsidP="00B55340">
      <w:pPr>
        <w:ind w:left="360"/>
        <w:rPr>
          <w:rFonts w:ascii="Tahoma" w:hAnsi="Tahoma" w:cs="Tahoma"/>
          <w:i/>
        </w:rPr>
      </w:pPr>
    </w:p>
    <w:p w:rsidR="00B55340" w:rsidRPr="00710598" w:rsidRDefault="00B55340" w:rsidP="00B55340">
      <w:pPr>
        <w:ind w:left="1068" w:firstLine="348"/>
        <w:rPr>
          <w:rFonts w:ascii="Tahoma" w:hAnsi="Tahoma" w:cs="Tahoma"/>
          <w:i/>
        </w:rPr>
      </w:pPr>
      <w:r w:rsidRPr="00710598">
        <w:rPr>
          <w:rFonts w:ascii="Tahoma" w:hAnsi="Tahoma" w:cs="Tahoma"/>
          <w:i/>
        </w:rPr>
        <w:t xml:space="preserve">-Con experiencia en obras similares por 25% </w:t>
      </w:r>
    </w:p>
    <w:p w:rsidR="00B55340" w:rsidRPr="00710598" w:rsidRDefault="00B55340" w:rsidP="00B55340">
      <w:pPr>
        <w:ind w:left="720" w:firstLine="696"/>
        <w:rPr>
          <w:rFonts w:ascii="Tahoma" w:hAnsi="Tahoma" w:cs="Tahoma"/>
          <w:b/>
          <w:i/>
        </w:rPr>
      </w:pPr>
      <w:r w:rsidRPr="00710598">
        <w:rPr>
          <w:rFonts w:ascii="Tahoma" w:hAnsi="Tahoma" w:cs="Tahoma"/>
          <w:i/>
        </w:rPr>
        <w:t xml:space="preserve"> </w:t>
      </w:r>
      <w:proofErr w:type="gramStart"/>
      <w:r w:rsidRPr="00710598">
        <w:rPr>
          <w:rFonts w:ascii="Tahoma" w:hAnsi="Tahoma" w:cs="Tahoma"/>
          <w:i/>
        </w:rPr>
        <w:t>del</w:t>
      </w:r>
      <w:proofErr w:type="gramEnd"/>
      <w:r w:rsidRPr="00710598">
        <w:rPr>
          <w:rFonts w:ascii="Tahoma" w:hAnsi="Tahoma" w:cs="Tahoma"/>
          <w:i/>
        </w:rPr>
        <w:t xml:space="preserve"> valor referencial</w:t>
      </w:r>
      <w:r w:rsidRPr="00710598">
        <w:rPr>
          <w:rFonts w:ascii="Tahoma" w:hAnsi="Tahoma" w:cs="Tahoma"/>
          <w:i/>
        </w:rPr>
        <w:tab/>
      </w:r>
      <w:r w:rsidRPr="00710598">
        <w:rPr>
          <w:rFonts w:ascii="Tahoma" w:hAnsi="Tahoma" w:cs="Tahoma"/>
          <w:i/>
        </w:rPr>
        <w:tab/>
      </w:r>
      <w:r w:rsidRPr="00710598">
        <w:rPr>
          <w:rFonts w:ascii="Tahoma" w:hAnsi="Tahoma" w:cs="Tahoma"/>
          <w:i/>
        </w:rPr>
        <w:tab/>
      </w:r>
      <w:r w:rsidRPr="00710598">
        <w:rPr>
          <w:rFonts w:ascii="Tahoma" w:hAnsi="Tahoma" w:cs="Tahoma"/>
          <w:i/>
        </w:rPr>
        <w:tab/>
      </w:r>
      <w:r w:rsidRPr="00710598">
        <w:rPr>
          <w:rFonts w:ascii="Tahoma" w:hAnsi="Tahoma" w:cs="Tahoma"/>
          <w:i/>
        </w:rPr>
        <w:tab/>
      </w:r>
      <w:r w:rsidRPr="00710598">
        <w:rPr>
          <w:rFonts w:ascii="Tahoma" w:hAnsi="Tahoma" w:cs="Tahoma"/>
          <w:b/>
          <w:i/>
        </w:rPr>
        <w:t>02.50 puntos</w:t>
      </w:r>
    </w:p>
    <w:p w:rsidR="00B55340" w:rsidRPr="00710598" w:rsidRDefault="00B55340" w:rsidP="00B55340">
      <w:pPr>
        <w:ind w:left="360"/>
        <w:rPr>
          <w:rFonts w:ascii="Tahoma" w:hAnsi="Tahoma" w:cs="Tahoma"/>
          <w:i/>
        </w:rPr>
      </w:pPr>
    </w:p>
    <w:p w:rsidR="00B55340" w:rsidRPr="00710598" w:rsidRDefault="00B55340" w:rsidP="00B55340">
      <w:pPr>
        <w:ind w:left="1068" w:firstLine="348"/>
        <w:rPr>
          <w:rFonts w:ascii="Tahoma" w:hAnsi="Tahoma" w:cs="Tahoma"/>
          <w:i/>
        </w:rPr>
      </w:pPr>
      <w:r w:rsidRPr="00710598">
        <w:rPr>
          <w:rFonts w:ascii="Tahoma" w:hAnsi="Tahoma" w:cs="Tahoma"/>
          <w:i/>
        </w:rPr>
        <w:t xml:space="preserve">-Con experiencia en obras similares de valores </w:t>
      </w:r>
    </w:p>
    <w:p w:rsidR="00B55340" w:rsidRPr="00710598" w:rsidRDefault="00B55340" w:rsidP="00B55340">
      <w:pPr>
        <w:ind w:left="360" w:firstLine="348"/>
        <w:rPr>
          <w:rFonts w:ascii="Tahoma" w:hAnsi="Tahoma" w:cs="Tahoma"/>
          <w:i/>
        </w:rPr>
      </w:pPr>
      <w:r w:rsidRPr="00710598">
        <w:rPr>
          <w:rFonts w:ascii="Tahoma" w:hAnsi="Tahoma" w:cs="Tahoma"/>
          <w:i/>
        </w:rPr>
        <w:t xml:space="preserve"> </w:t>
      </w:r>
      <w:r w:rsidRPr="00710598">
        <w:rPr>
          <w:rFonts w:ascii="Tahoma" w:hAnsi="Tahoma" w:cs="Tahoma"/>
          <w:i/>
        </w:rPr>
        <w:tab/>
      </w:r>
      <w:proofErr w:type="gramStart"/>
      <w:r w:rsidRPr="00710598">
        <w:rPr>
          <w:rFonts w:ascii="Tahoma" w:hAnsi="Tahoma" w:cs="Tahoma"/>
          <w:i/>
        </w:rPr>
        <w:t>intermedios</w:t>
      </w:r>
      <w:proofErr w:type="gramEnd"/>
      <w:r w:rsidRPr="00710598">
        <w:rPr>
          <w:rFonts w:ascii="Tahoma" w:hAnsi="Tahoma" w:cs="Tahoma"/>
          <w:i/>
        </w:rPr>
        <w:t xml:space="preserve"> se otorgará puntaje en forma proporcional </w:t>
      </w:r>
    </w:p>
    <w:p w:rsidR="00B55340" w:rsidRPr="00710598" w:rsidRDefault="00B55340" w:rsidP="00B55340">
      <w:pPr>
        <w:ind w:left="360"/>
        <w:jc w:val="both"/>
        <w:rPr>
          <w:rFonts w:ascii="Tahoma" w:hAnsi="Tahoma" w:cs="Tahoma"/>
          <w:i/>
        </w:rPr>
      </w:pPr>
    </w:p>
    <w:p w:rsidR="00B55340" w:rsidRPr="00710598" w:rsidRDefault="00B55340" w:rsidP="00B55340">
      <w:pPr>
        <w:ind w:left="1068" w:firstLine="348"/>
        <w:jc w:val="both"/>
        <w:rPr>
          <w:rFonts w:ascii="Tahoma" w:hAnsi="Tahoma" w:cs="Tahoma"/>
          <w:i/>
        </w:rPr>
      </w:pPr>
      <w:r w:rsidRPr="00710598">
        <w:rPr>
          <w:rFonts w:ascii="Tahoma" w:hAnsi="Tahoma" w:cs="Tahoma"/>
          <w:i/>
        </w:rPr>
        <w:t>-No se asignará puntaje por experiencia menor al 25%</w:t>
      </w:r>
    </w:p>
    <w:p w:rsidR="00B55340" w:rsidRPr="00710598" w:rsidRDefault="00B55340" w:rsidP="00B55340">
      <w:pPr>
        <w:ind w:left="720" w:firstLine="696"/>
        <w:jc w:val="both"/>
        <w:rPr>
          <w:rFonts w:ascii="Tahoma" w:hAnsi="Tahoma" w:cs="Tahoma"/>
          <w:i/>
        </w:rPr>
      </w:pPr>
      <w:r w:rsidRPr="00710598">
        <w:rPr>
          <w:rFonts w:ascii="Tahoma" w:hAnsi="Tahoma" w:cs="Tahoma"/>
          <w:i/>
        </w:rPr>
        <w:t xml:space="preserve"> </w:t>
      </w:r>
      <w:proofErr w:type="gramStart"/>
      <w:r w:rsidRPr="00710598">
        <w:rPr>
          <w:rFonts w:ascii="Tahoma" w:hAnsi="Tahoma" w:cs="Tahoma"/>
          <w:i/>
        </w:rPr>
        <w:t>del</w:t>
      </w:r>
      <w:proofErr w:type="gramEnd"/>
      <w:r w:rsidRPr="00710598">
        <w:rPr>
          <w:rFonts w:ascii="Tahoma" w:hAnsi="Tahoma" w:cs="Tahoma"/>
          <w:i/>
        </w:rPr>
        <w:t xml:space="preserve"> valor referencial</w:t>
      </w:r>
    </w:p>
    <w:p w:rsidR="00B55340" w:rsidRPr="00710598" w:rsidRDefault="00B55340" w:rsidP="00B55340">
      <w:pPr>
        <w:ind w:left="360"/>
        <w:jc w:val="both"/>
        <w:rPr>
          <w:rFonts w:ascii="Tahoma" w:hAnsi="Tahoma" w:cs="Tahoma"/>
          <w:i/>
        </w:rPr>
      </w:pPr>
    </w:p>
    <w:p w:rsidR="00B55340" w:rsidRPr="00710598" w:rsidRDefault="00B55340" w:rsidP="00B55340">
      <w:pPr>
        <w:ind w:left="1416"/>
        <w:jc w:val="both"/>
        <w:rPr>
          <w:rFonts w:ascii="Tahoma" w:hAnsi="Tahoma" w:cs="Tahoma"/>
          <w:i/>
        </w:rPr>
      </w:pPr>
      <w:r w:rsidRPr="00710598">
        <w:rPr>
          <w:rFonts w:ascii="Tahoma" w:hAnsi="Tahoma" w:cs="Tahoma"/>
          <w:i/>
        </w:rPr>
        <w:t>La experiencia de los profesionales propuestos se acreditará con certificados de trabajo de la empresa ejecutora de la obra, y con algún documento expedido del propietario de dicha obra (contrato de obra, acta de recepción, constancia expedida por el propietario de la obra o de similar)”.</w:t>
      </w:r>
    </w:p>
    <w:p w:rsidR="00B55340" w:rsidRPr="00710598" w:rsidRDefault="00B55340" w:rsidP="00B55340">
      <w:pPr>
        <w:pStyle w:val="Textoindependiente"/>
        <w:ind w:left="540"/>
        <w:rPr>
          <w:rFonts w:ascii="Tahoma" w:hAnsi="Tahoma" w:cs="Tahoma"/>
          <w:sz w:val="20"/>
        </w:rPr>
      </w:pPr>
    </w:p>
    <w:p w:rsidR="00B55340" w:rsidRPr="00710598" w:rsidRDefault="00B55340" w:rsidP="00B55340">
      <w:pPr>
        <w:pStyle w:val="Textoindependiente"/>
        <w:numPr>
          <w:ilvl w:val="0"/>
          <w:numId w:val="5"/>
        </w:numPr>
        <w:tabs>
          <w:tab w:val="clear" w:pos="814"/>
          <w:tab w:val="num" w:pos="567"/>
        </w:tabs>
        <w:ind w:left="540"/>
        <w:rPr>
          <w:rFonts w:ascii="Tahoma" w:hAnsi="Tahoma" w:cs="Tahoma"/>
          <w:sz w:val="20"/>
        </w:rPr>
      </w:pPr>
      <w:r w:rsidRPr="00710598">
        <w:rPr>
          <w:rFonts w:ascii="Tahoma" w:hAnsi="Tahoma" w:cs="Tahoma"/>
          <w:sz w:val="20"/>
        </w:rPr>
        <w:t>En virtud al derecho de defensa que ampara al administrado, el Consorcio Lago Titicaca presentó sus descargos respectivos, en los cuales afirmó que</w:t>
      </w:r>
      <w:r w:rsidRPr="00710598">
        <w:rPr>
          <w:rFonts w:ascii="Tahoma" w:hAnsi="Tahoma" w:cs="Tahoma"/>
          <w:b/>
          <w:i/>
          <w:sz w:val="20"/>
        </w:rPr>
        <w:t xml:space="preserve"> “(…) un Certificado de Movimiento Migratorio que es expedido por la dirección General de Migraciones de nuestro país (…) por su propia naturaleza sólo se refiere al movimiento migratorio de las personas y no constituye prueba alguna que desmerezca la participación del Ing. Cipriano Casas Carbonero”</w:t>
      </w:r>
      <w:r w:rsidRPr="00710598">
        <w:rPr>
          <w:rFonts w:ascii="Tahoma" w:hAnsi="Tahoma" w:cs="Tahoma"/>
          <w:sz w:val="20"/>
        </w:rPr>
        <w:t xml:space="preserve">; y agregó que </w:t>
      </w:r>
      <w:r w:rsidRPr="00710598">
        <w:rPr>
          <w:rFonts w:ascii="Tahoma" w:hAnsi="Tahoma" w:cs="Tahoma"/>
          <w:b/>
          <w:i/>
          <w:sz w:val="20"/>
        </w:rPr>
        <w:t>“(…) es conocido en nuestro país por constituir una práctica que los registros de migraciones nunca son exactos puesto que existen ciudadanos peruanos que han viajado al exterior que no los tiene registrados la Dirección de Migraciones, inclusive existen peruano domiciliados en el extranjero que no tienen registrado su movimiento, por consiguiente, un Certificado de Migraciones no constituye prueba fehaciente para sancionar a una empresa peruana”</w:t>
      </w:r>
      <w:r w:rsidRPr="00710598">
        <w:rPr>
          <w:rFonts w:ascii="Tahoma" w:hAnsi="Tahoma" w:cs="Tahoma"/>
          <w:sz w:val="20"/>
        </w:rPr>
        <w:t xml:space="preserve">. </w:t>
      </w:r>
    </w:p>
    <w:p w:rsidR="00B55340" w:rsidRPr="00710598" w:rsidRDefault="00B55340" w:rsidP="00B55340">
      <w:pPr>
        <w:pStyle w:val="Textoindependiente"/>
        <w:ind w:left="540"/>
        <w:rPr>
          <w:rFonts w:ascii="Tahoma" w:hAnsi="Tahoma" w:cs="Tahoma"/>
          <w:sz w:val="20"/>
        </w:rPr>
      </w:pPr>
    </w:p>
    <w:p w:rsidR="00B55340" w:rsidRPr="00710598" w:rsidRDefault="00B55340" w:rsidP="00B55340">
      <w:pPr>
        <w:pStyle w:val="Textoindependiente"/>
        <w:tabs>
          <w:tab w:val="left" w:pos="2410"/>
        </w:tabs>
        <w:ind w:left="540"/>
        <w:rPr>
          <w:rFonts w:ascii="Tahoma" w:hAnsi="Tahoma" w:cs="Tahoma"/>
          <w:sz w:val="20"/>
        </w:rPr>
      </w:pPr>
      <w:r w:rsidRPr="00710598">
        <w:rPr>
          <w:rFonts w:ascii="Tahoma" w:hAnsi="Tahoma" w:cs="Tahoma"/>
          <w:sz w:val="20"/>
        </w:rPr>
        <w:t xml:space="preserve">Por otro lado, argumentó que la dirección técnica de una obra o el ejercicio como Residente de la misma, no requiere necesariamente de la presencia física de un profesional en el lugar de la obra, </w:t>
      </w:r>
      <w:r w:rsidRPr="00710598">
        <w:rPr>
          <w:rFonts w:ascii="Tahoma" w:hAnsi="Tahoma" w:cs="Tahoma"/>
          <w:b/>
          <w:i/>
          <w:sz w:val="20"/>
        </w:rPr>
        <w:t>“lo que se explica en la era de la globalización y la informática que caracterizan nuestra actual situación, donde las comunicaciones pueden tener fluidez que permite a los profesionales de todo orden interactuar en diferentes espacios y tiempos traspasando las fronteras”.</w:t>
      </w:r>
    </w:p>
    <w:p w:rsidR="00B55340" w:rsidRPr="00710598" w:rsidRDefault="00B55340" w:rsidP="00B55340">
      <w:pPr>
        <w:pStyle w:val="Textoindependiente"/>
        <w:tabs>
          <w:tab w:val="left" w:pos="2410"/>
        </w:tabs>
        <w:ind w:left="540"/>
        <w:rPr>
          <w:rFonts w:ascii="Tahoma" w:hAnsi="Tahoma" w:cs="Tahoma"/>
          <w:sz w:val="20"/>
        </w:rPr>
      </w:pPr>
    </w:p>
    <w:p w:rsidR="00B55340" w:rsidRPr="00710598" w:rsidRDefault="00B55340" w:rsidP="00B55340">
      <w:pPr>
        <w:pStyle w:val="Textoindependiente"/>
        <w:widowControl w:val="0"/>
        <w:numPr>
          <w:ilvl w:val="0"/>
          <w:numId w:val="5"/>
        </w:numPr>
        <w:tabs>
          <w:tab w:val="clear" w:pos="814"/>
          <w:tab w:val="left" w:pos="567"/>
          <w:tab w:val="left" w:pos="2410"/>
        </w:tabs>
        <w:suppressAutoHyphens/>
        <w:ind w:left="567" w:hanging="567"/>
        <w:rPr>
          <w:rFonts w:ascii="Tahoma" w:hAnsi="Tahoma" w:cs="Tahoma"/>
          <w:sz w:val="20"/>
        </w:rPr>
      </w:pPr>
      <w:r w:rsidRPr="00710598">
        <w:rPr>
          <w:rFonts w:ascii="Tahoma" w:hAnsi="Tahoma" w:cs="Tahoma"/>
          <w:sz w:val="20"/>
        </w:rPr>
        <w:t xml:space="preserve">Respecto al primer argumento del Consorcio, debemos señalar que, consta en autos copia del Certificado de Movimiento Migratorio N.º 20348/2006-IN-1601 en el que la Dirección General de Migraciones y Naturalización del Ministerio del Interior da cuenta que el Ingeniero Cipriano Casas Carbonero no viajó a la República del Congo entre noviembre de 2005 y julio de 2006, de manera que durante el período que duró la “Construcción de la Central Hidroeléctrica de Inga”, el mencionado profesional no estuvo físicamente en el lugar donde se habría ejecutado dicha obra. </w:t>
      </w:r>
    </w:p>
    <w:p w:rsidR="00B55340" w:rsidRPr="00710598" w:rsidRDefault="00B55340" w:rsidP="00B55340">
      <w:pPr>
        <w:pStyle w:val="Textoindependiente"/>
        <w:tabs>
          <w:tab w:val="left" w:pos="567"/>
          <w:tab w:val="left" w:pos="2410"/>
        </w:tabs>
        <w:ind w:left="567"/>
        <w:rPr>
          <w:rFonts w:ascii="Tahoma" w:hAnsi="Tahoma" w:cs="Tahoma"/>
          <w:sz w:val="20"/>
        </w:rPr>
      </w:pPr>
    </w:p>
    <w:p w:rsidR="00B55340" w:rsidRPr="00710598" w:rsidRDefault="00B55340" w:rsidP="00B55340">
      <w:pPr>
        <w:pStyle w:val="Textoindependiente"/>
        <w:widowControl w:val="0"/>
        <w:numPr>
          <w:ilvl w:val="0"/>
          <w:numId w:val="5"/>
        </w:numPr>
        <w:tabs>
          <w:tab w:val="clear" w:pos="814"/>
          <w:tab w:val="left" w:pos="567"/>
          <w:tab w:val="left" w:pos="2410"/>
        </w:tabs>
        <w:suppressAutoHyphens/>
        <w:ind w:left="567" w:hanging="567"/>
        <w:rPr>
          <w:rFonts w:ascii="Tahoma" w:hAnsi="Tahoma" w:cs="Tahoma"/>
          <w:sz w:val="20"/>
        </w:rPr>
      </w:pPr>
      <w:r w:rsidRPr="00710598">
        <w:rPr>
          <w:rFonts w:ascii="Tahoma" w:hAnsi="Tahoma" w:cs="Tahoma"/>
          <w:sz w:val="20"/>
        </w:rPr>
        <w:t xml:space="preserve">Sobre este punto, este Tribunal considera indispensable mencionar que de acuerdo a lo establecido en el artículo 27º del Texto Único Ordenado del Decreto Legislativo 370º, Ley del Ministerio del Interior, aprobado por Decreto Supremo N.º 003-2004-IN la Dirección General de Migraciones y Naturalización es la encargada de administrar, coordinar y controlar el movimiento migratorio de nacionales y extranjeros. </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tabs>
          <w:tab w:val="left" w:pos="567"/>
          <w:tab w:val="left" w:pos="2410"/>
        </w:tabs>
        <w:ind w:left="567"/>
        <w:rPr>
          <w:rFonts w:ascii="Tahoma" w:hAnsi="Tahoma" w:cs="Tahoma"/>
          <w:sz w:val="20"/>
        </w:rPr>
      </w:pPr>
      <w:r w:rsidRPr="00710598">
        <w:rPr>
          <w:rFonts w:ascii="Tahoma" w:hAnsi="Tahoma" w:cs="Tahoma"/>
          <w:sz w:val="20"/>
        </w:rPr>
        <w:lastRenderedPageBreak/>
        <w:t>En ese sentido, el argumentó expuesto por el Consorcio Lago Titicaca además de no estar respaldado por medio probatorio alguno, carece de sustento, toda vez que el Certificado de Movimiento Migratorio N</w:t>
      </w:r>
      <w:proofErr w:type="gramStart"/>
      <w:r w:rsidRPr="00710598">
        <w:rPr>
          <w:rFonts w:ascii="Tahoma" w:hAnsi="Tahoma" w:cs="Tahoma"/>
          <w:sz w:val="20"/>
        </w:rPr>
        <w:t>.º</w:t>
      </w:r>
      <w:proofErr w:type="gramEnd"/>
      <w:r w:rsidRPr="00710598">
        <w:rPr>
          <w:rFonts w:ascii="Tahoma" w:hAnsi="Tahoma" w:cs="Tahoma"/>
          <w:sz w:val="20"/>
        </w:rPr>
        <w:t xml:space="preserve"> 20348/2006-IN-1601 ha sido expedido por el único órgano capacitado para controlar los movimientos migratorios de cada uno de los peruanos y extranjeros en este país.</w:t>
      </w:r>
    </w:p>
    <w:p w:rsidR="00B55340" w:rsidRPr="00710598" w:rsidRDefault="00B55340" w:rsidP="00B55340">
      <w:pPr>
        <w:pStyle w:val="Prrafodelista"/>
        <w:rPr>
          <w:rFonts w:ascii="Tahoma" w:hAnsi="Tahoma" w:cs="Tahoma"/>
          <w:lang w:val="es-ES_tradnl"/>
        </w:rPr>
      </w:pPr>
    </w:p>
    <w:p w:rsidR="00B55340" w:rsidRPr="00710598" w:rsidRDefault="00B55340" w:rsidP="00B55340">
      <w:pPr>
        <w:pStyle w:val="Textoindependiente"/>
        <w:widowControl w:val="0"/>
        <w:numPr>
          <w:ilvl w:val="0"/>
          <w:numId w:val="5"/>
        </w:numPr>
        <w:tabs>
          <w:tab w:val="clear" w:pos="814"/>
          <w:tab w:val="num" w:pos="540"/>
          <w:tab w:val="left" w:pos="2410"/>
        </w:tabs>
        <w:suppressAutoHyphens/>
        <w:ind w:left="540" w:hanging="540"/>
        <w:rPr>
          <w:rFonts w:ascii="Tahoma" w:hAnsi="Tahoma" w:cs="Tahoma"/>
          <w:sz w:val="20"/>
        </w:rPr>
      </w:pPr>
      <w:r w:rsidRPr="00710598">
        <w:rPr>
          <w:rFonts w:ascii="Tahoma" w:hAnsi="Tahoma" w:cs="Tahoma"/>
          <w:sz w:val="20"/>
        </w:rPr>
        <w:t xml:space="preserve">Con respecto al argumento del Consorcio en el sentido que no es necesaria la presencia física de un profesional en el lugar de la obra, resulta importante mencionar que el actual Reglamento de la Ley de Contrataciones y Adquisiciones del Estado ha previsto la obligatoriedad de que en toda obra </w:t>
      </w:r>
      <w:r w:rsidRPr="00710598">
        <w:rPr>
          <w:rFonts w:ascii="Tahoma" w:hAnsi="Tahoma" w:cs="Tahoma"/>
          <w:b/>
          <w:sz w:val="20"/>
        </w:rPr>
        <w:t>se cuente de modo permanente con un residente de obra</w:t>
      </w:r>
      <w:r w:rsidRPr="00710598">
        <w:rPr>
          <w:rFonts w:ascii="Tahoma" w:hAnsi="Tahoma" w:cs="Tahoma"/>
          <w:sz w:val="20"/>
        </w:rPr>
        <w:t>, el cual deberá ser un profesional colegiado, habilitado y especializado, designado por el contratista</w:t>
      </w:r>
      <w:r w:rsidRPr="00710598">
        <w:rPr>
          <w:rStyle w:val="Refdenotaalpie"/>
          <w:rFonts w:ascii="Tahoma" w:hAnsi="Tahoma" w:cs="Tahoma"/>
          <w:sz w:val="20"/>
        </w:rPr>
        <w:footnoteReference w:id="6"/>
      </w:r>
      <w:r w:rsidRPr="00710598">
        <w:rPr>
          <w:rFonts w:ascii="Tahoma" w:hAnsi="Tahoma" w:cs="Tahoma"/>
          <w:sz w:val="20"/>
        </w:rPr>
        <w:t>, por lo que, al contrario de lo expuesto por el Contratista, en materia de contrataciones y adquisiciones del Estado si sería necesaria la presencia permanente del residente de obra en la misma.</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widowControl w:val="0"/>
        <w:numPr>
          <w:ilvl w:val="0"/>
          <w:numId w:val="5"/>
        </w:numPr>
        <w:tabs>
          <w:tab w:val="clear" w:pos="814"/>
          <w:tab w:val="num" w:pos="540"/>
          <w:tab w:val="left" w:pos="2410"/>
        </w:tabs>
        <w:suppressAutoHyphens/>
        <w:ind w:left="540" w:hanging="540"/>
        <w:rPr>
          <w:rFonts w:ascii="Tahoma" w:hAnsi="Tahoma" w:cs="Tahoma"/>
          <w:sz w:val="20"/>
        </w:rPr>
      </w:pPr>
      <w:r w:rsidRPr="00710598">
        <w:rPr>
          <w:rFonts w:ascii="Tahoma" w:hAnsi="Tahoma" w:cs="Tahoma"/>
          <w:sz w:val="20"/>
        </w:rPr>
        <w:t>Teniendo en cuenta las consideraciones expuestas, se verifica que los documentos cuestionados contienen información inexacta; motivo por el cual corresponde imponer sanción administrativa a las empresas integrantes del Consorcio que resulten directamente involucradas con la presentación de los documentos cuestionados durante el proceso de selección de la referencia.</w:t>
      </w:r>
    </w:p>
    <w:p w:rsidR="00B55340" w:rsidRPr="00710598" w:rsidRDefault="00B55340" w:rsidP="00B55340">
      <w:pPr>
        <w:pStyle w:val="Textoindependiente"/>
        <w:tabs>
          <w:tab w:val="left" w:pos="567"/>
          <w:tab w:val="left" w:pos="2410"/>
        </w:tabs>
        <w:ind w:left="567"/>
        <w:rPr>
          <w:rFonts w:ascii="Tahoma" w:hAnsi="Tahoma" w:cs="Tahoma"/>
          <w:sz w:val="20"/>
          <w:highlight w:val="yellow"/>
        </w:rPr>
      </w:pPr>
    </w:p>
    <w:p w:rsidR="00B55340" w:rsidRPr="00710598" w:rsidRDefault="00B55340" w:rsidP="00B55340">
      <w:pPr>
        <w:pStyle w:val="Textoindependiente"/>
        <w:widowControl w:val="0"/>
        <w:numPr>
          <w:ilvl w:val="0"/>
          <w:numId w:val="5"/>
        </w:numPr>
        <w:tabs>
          <w:tab w:val="clear" w:pos="814"/>
          <w:tab w:val="left" w:pos="567"/>
        </w:tabs>
        <w:suppressAutoHyphens/>
        <w:ind w:left="567" w:hanging="567"/>
        <w:rPr>
          <w:rFonts w:ascii="Tahoma" w:hAnsi="Tahoma" w:cs="Tahoma"/>
          <w:sz w:val="20"/>
        </w:rPr>
      </w:pPr>
      <w:r w:rsidRPr="00710598">
        <w:rPr>
          <w:rFonts w:ascii="Tahoma" w:hAnsi="Tahoma" w:cs="Tahoma"/>
          <w:sz w:val="20"/>
        </w:rPr>
        <w:t xml:space="preserve">De otro lado, corresponde emitir pronunciamiento respecto de los alegatos presentados de manera individual por la empresa Ingeniería Dinámica S.A. (INDIGESA) integrante del Consorcio Lago Titicaca el 17 de agosto de 2007, en los cuales afirmó que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les manifestó que había ejecutado la Obra “Central Hidroeléctrica de Inga de 11kv” en la República Democrática de Congo y que contaba con el Ingeniero Cipriano Casas Carbonero quien se desempeñó como Ingeniero Residente de dicha Obra, en el período comprendido entre noviembre del 2005 y julio del 2006. </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tabs>
          <w:tab w:val="left" w:pos="567"/>
        </w:tabs>
        <w:ind w:left="567"/>
        <w:rPr>
          <w:rFonts w:ascii="Tahoma" w:hAnsi="Tahoma" w:cs="Tahoma"/>
          <w:sz w:val="20"/>
        </w:rPr>
      </w:pPr>
      <w:r w:rsidRPr="00710598">
        <w:rPr>
          <w:rFonts w:ascii="Tahoma" w:hAnsi="Tahoma" w:cs="Tahoma"/>
          <w:sz w:val="20"/>
        </w:rPr>
        <w:t xml:space="preserve">Dicha experiencia, aseguró INDIGESA, fue el motivo por el cual accedieron a presentarse de manera Consorciada con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desconociendo totalmente que dichos Certificados consignaran información inexacta. </w:t>
      </w:r>
    </w:p>
    <w:p w:rsidR="00B55340" w:rsidRPr="00710598" w:rsidRDefault="00B55340" w:rsidP="00B55340">
      <w:pPr>
        <w:pStyle w:val="Textoindependiente"/>
        <w:tabs>
          <w:tab w:val="left" w:pos="567"/>
        </w:tabs>
        <w:ind w:left="567"/>
        <w:rPr>
          <w:rFonts w:ascii="Tahoma" w:hAnsi="Tahoma" w:cs="Tahoma"/>
          <w:sz w:val="20"/>
        </w:rPr>
      </w:pPr>
    </w:p>
    <w:p w:rsidR="00B55340" w:rsidRPr="00710598" w:rsidRDefault="00B55340" w:rsidP="00B55340">
      <w:pPr>
        <w:pStyle w:val="Textoindependiente"/>
        <w:tabs>
          <w:tab w:val="left" w:pos="567"/>
        </w:tabs>
        <w:ind w:left="567"/>
        <w:rPr>
          <w:rFonts w:ascii="Tahoma" w:hAnsi="Tahoma" w:cs="Tahoma"/>
          <w:sz w:val="20"/>
        </w:rPr>
      </w:pPr>
      <w:r w:rsidRPr="00710598">
        <w:rPr>
          <w:rFonts w:ascii="Tahoma" w:hAnsi="Tahoma" w:cs="Tahoma"/>
          <w:sz w:val="20"/>
        </w:rPr>
        <w:t xml:space="preserve">En ese sentido, afirmó, el Certificado materia de controversia fue presentado exclusivamente por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sin ninguna intervención de su parte, por lo que, solicitó que se le atribuya responsabilidad exclusiva a dicha empresa.</w:t>
      </w:r>
    </w:p>
    <w:p w:rsidR="00B55340" w:rsidRPr="00710598" w:rsidRDefault="00B55340" w:rsidP="00B55340">
      <w:pPr>
        <w:pStyle w:val="Prrafodelista"/>
        <w:rPr>
          <w:rFonts w:ascii="Tahoma" w:hAnsi="Tahoma" w:cs="Tahoma"/>
          <w:lang w:val="es-ES_tradnl"/>
        </w:rPr>
      </w:pPr>
    </w:p>
    <w:p w:rsidR="00B55340" w:rsidRPr="00710598" w:rsidRDefault="00B55340" w:rsidP="00B55340">
      <w:pPr>
        <w:pStyle w:val="Textoindependiente"/>
        <w:widowControl w:val="0"/>
        <w:numPr>
          <w:ilvl w:val="0"/>
          <w:numId w:val="5"/>
        </w:numPr>
        <w:tabs>
          <w:tab w:val="clear" w:pos="814"/>
          <w:tab w:val="num" w:pos="540"/>
          <w:tab w:val="left" w:pos="2410"/>
        </w:tabs>
        <w:suppressAutoHyphens/>
        <w:ind w:left="540" w:hanging="540"/>
        <w:rPr>
          <w:rFonts w:ascii="Tahoma" w:hAnsi="Tahoma" w:cs="Tahoma"/>
          <w:sz w:val="20"/>
        </w:rPr>
      </w:pPr>
      <w:r w:rsidRPr="00710598">
        <w:rPr>
          <w:rFonts w:ascii="Tahoma" w:hAnsi="Tahoma" w:cs="Tahoma"/>
          <w:sz w:val="20"/>
        </w:rPr>
        <w:t xml:space="preserve">Al respecto, el artículo 296º del Reglamento señala que las infracciones cometidas por los postores que presentaron promesa de consorcio durante su participación en el proceso de selección, se imputaran exclusivamente a la parte que las haya cometido, aplicándose sólo a ésta la sanción a que hubiere lugar, </w:t>
      </w:r>
      <w:r w:rsidRPr="00710598">
        <w:rPr>
          <w:rFonts w:ascii="Tahoma" w:hAnsi="Tahoma" w:cs="Tahoma"/>
          <w:sz w:val="20"/>
          <w:u w:val="single"/>
        </w:rPr>
        <w:t xml:space="preserve">siempre que pueda individualizarse al </w:t>
      </w:r>
      <w:r w:rsidRPr="00710598">
        <w:rPr>
          <w:rFonts w:ascii="Tahoma" w:hAnsi="Tahoma" w:cs="Tahoma"/>
          <w:sz w:val="20"/>
          <w:u w:val="single"/>
        </w:rPr>
        <w:lastRenderedPageBreak/>
        <w:t>infractor</w:t>
      </w:r>
      <w:r w:rsidRPr="00710598">
        <w:rPr>
          <w:rFonts w:ascii="Tahoma" w:hAnsi="Tahoma" w:cs="Tahoma"/>
          <w:sz w:val="20"/>
        </w:rPr>
        <w:t xml:space="preserve">. </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tabs>
          <w:tab w:val="left" w:pos="2410"/>
        </w:tabs>
        <w:ind w:left="540"/>
        <w:rPr>
          <w:rFonts w:ascii="Tahoma" w:hAnsi="Tahoma" w:cs="Tahoma"/>
          <w:sz w:val="20"/>
        </w:rPr>
      </w:pPr>
      <w:r w:rsidRPr="00710598">
        <w:rPr>
          <w:rFonts w:ascii="Tahoma" w:hAnsi="Tahoma" w:cs="Tahoma"/>
          <w:sz w:val="20"/>
        </w:rPr>
        <w:t xml:space="preserve">Bajo ese tenor, debe tenerse en cuenta que INDIGESA, ha negado su responsabilidad y solicitado se les exima de sanción administrativa; mientras que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no ha contradicho tales alegatos a pesar de habérsele corrido traslado del escrito presentado el 17 de agosto de 2007 por INDIGESA, según consta en la documentación obrante en autos</w:t>
      </w:r>
      <w:r w:rsidRPr="00710598">
        <w:rPr>
          <w:rStyle w:val="Refdenotaalpie"/>
          <w:rFonts w:ascii="Tahoma" w:hAnsi="Tahoma" w:cs="Tahoma"/>
          <w:sz w:val="20"/>
        </w:rPr>
        <w:footnoteReference w:id="7"/>
      </w:r>
      <w:r w:rsidRPr="00710598">
        <w:rPr>
          <w:rFonts w:ascii="Tahoma" w:hAnsi="Tahoma" w:cs="Tahoma"/>
          <w:sz w:val="20"/>
        </w:rPr>
        <w:t>.</w:t>
      </w:r>
    </w:p>
    <w:p w:rsidR="00B55340" w:rsidRPr="00710598" w:rsidRDefault="00B55340" w:rsidP="00B55340">
      <w:pPr>
        <w:pStyle w:val="Prrafodelista"/>
        <w:rPr>
          <w:rFonts w:ascii="Tahoma" w:hAnsi="Tahoma" w:cs="Tahoma"/>
          <w:lang w:val="es-ES_tradnl"/>
        </w:rPr>
      </w:pPr>
    </w:p>
    <w:p w:rsidR="00B55340" w:rsidRPr="00710598" w:rsidRDefault="00B55340" w:rsidP="00B55340">
      <w:pPr>
        <w:pStyle w:val="Textoindependiente"/>
        <w:tabs>
          <w:tab w:val="left" w:pos="2410"/>
        </w:tabs>
        <w:ind w:left="540"/>
        <w:rPr>
          <w:rFonts w:ascii="Tahoma" w:hAnsi="Tahoma" w:cs="Tahoma"/>
          <w:sz w:val="20"/>
        </w:rPr>
      </w:pPr>
      <w:r w:rsidRPr="00710598">
        <w:rPr>
          <w:rFonts w:ascii="Tahoma" w:hAnsi="Tahoma" w:cs="Tahoma"/>
          <w:sz w:val="20"/>
          <w:lang w:val="es-MX"/>
        </w:rPr>
        <w:t xml:space="preserve">Atendiendo a lo expuesto, y considerando que los Certificados fueron no sólo presentados sino además expedidos por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w:t>
      </w:r>
      <w:r w:rsidRPr="00710598">
        <w:rPr>
          <w:rFonts w:ascii="Tahoma" w:hAnsi="Tahoma" w:cs="Tahoma"/>
          <w:sz w:val="20"/>
          <w:lang w:val="es-MX"/>
        </w:rPr>
        <w:t xml:space="preserve">, este Colegiado considera que se ha individualizado al infractor, por lo que resulta conveniente eximir de sanción a </w:t>
      </w:r>
      <w:r w:rsidRPr="00710598">
        <w:rPr>
          <w:rFonts w:ascii="Tahoma" w:hAnsi="Tahoma" w:cs="Tahoma"/>
          <w:sz w:val="20"/>
        </w:rPr>
        <w:t xml:space="preserve">las empresas Ingeniería Dinámica S.A y J &amp; M Servicios Generales S.A.; </w:t>
      </w:r>
      <w:r w:rsidRPr="00710598">
        <w:rPr>
          <w:rFonts w:ascii="Tahoma" w:hAnsi="Tahoma" w:cs="Tahoma"/>
          <w:sz w:val="20"/>
          <w:lang w:val="es-MX"/>
        </w:rPr>
        <w:t>y pronunciarse respecto a la responsabilidad administrativa por parte de la autora de los hechos denunciados.</w:t>
      </w:r>
    </w:p>
    <w:p w:rsidR="00B55340" w:rsidRPr="00710598" w:rsidRDefault="00B55340" w:rsidP="00B55340">
      <w:pPr>
        <w:pStyle w:val="Prrafodelista"/>
        <w:rPr>
          <w:rFonts w:ascii="Tahoma" w:hAnsi="Tahoma" w:cs="Tahoma"/>
        </w:rPr>
      </w:pPr>
    </w:p>
    <w:p w:rsidR="00B55340" w:rsidRPr="00710598" w:rsidRDefault="00B55340" w:rsidP="00B55340">
      <w:pPr>
        <w:pStyle w:val="Textoindependiente"/>
        <w:widowControl w:val="0"/>
        <w:numPr>
          <w:ilvl w:val="0"/>
          <w:numId w:val="5"/>
        </w:numPr>
        <w:tabs>
          <w:tab w:val="clear" w:pos="814"/>
          <w:tab w:val="num" w:pos="540"/>
          <w:tab w:val="left" w:pos="2410"/>
        </w:tabs>
        <w:suppressAutoHyphens/>
        <w:ind w:left="540" w:hanging="540"/>
        <w:rPr>
          <w:rFonts w:ascii="Tahoma" w:hAnsi="Tahoma" w:cs="Tahoma"/>
          <w:sz w:val="20"/>
        </w:rPr>
      </w:pPr>
      <w:r w:rsidRPr="00710598">
        <w:rPr>
          <w:rFonts w:ascii="Tahoma" w:hAnsi="Tahoma" w:cs="Tahoma"/>
          <w:sz w:val="20"/>
        </w:rPr>
        <w:t xml:space="preserve">En relación a la graduación de la sanción imponible, el artículo 294 del Reglamento establece que los postores que presente documentos falsos o inexactos serán sancionados con inhabilitación temporal para contratar con el Estado por un periodo no menor de tres (3) meses ni mayor de un (1) año. </w:t>
      </w:r>
    </w:p>
    <w:p w:rsidR="00B55340" w:rsidRPr="00710598" w:rsidRDefault="00B55340" w:rsidP="00B55340">
      <w:pPr>
        <w:ind w:left="372"/>
        <w:jc w:val="both"/>
        <w:rPr>
          <w:rFonts w:ascii="Tahoma" w:hAnsi="Tahoma" w:cs="Tahoma"/>
        </w:rPr>
      </w:pPr>
    </w:p>
    <w:p w:rsidR="00B55340" w:rsidRPr="00710598" w:rsidRDefault="00B55340" w:rsidP="00B55340">
      <w:pPr>
        <w:pStyle w:val="Textoindependiente"/>
        <w:tabs>
          <w:tab w:val="left" w:pos="2410"/>
        </w:tabs>
        <w:ind w:left="540"/>
        <w:rPr>
          <w:rFonts w:ascii="Tahoma" w:hAnsi="Tahoma" w:cs="Tahoma"/>
          <w:sz w:val="20"/>
        </w:rPr>
      </w:pPr>
      <w:r w:rsidRPr="00710598">
        <w:rPr>
          <w:rFonts w:ascii="Tahoma" w:hAnsi="Tahoma" w:cs="Tahoma"/>
          <w:sz w:val="20"/>
        </w:rPr>
        <w:t>Al respecto, el principio de razonabilidad</w:t>
      </w:r>
      <w:r w:rsidRPr="00710598">
        <w:rPr>
          <w:rFonts w:ascii="Tahoma" w:hAnsi="Tahoma" w:cs="Tahoma"/>
          <w:sz w:val="20"/>
          <w:vertAlign w:val="superscript"/>
        </w:rPr>
        <w:footnoteReference w:id="8"/>
      </w:r>
      <w:r w:rsidRPr="00710598">
        <w:rPr>
          <w:rFonts w:ascii="Tahoma" w:hAnsi="Tahoma" w:cs="Tahoma"/>
          <w:sz w:val="20"/>
        </w:rPr>
        <w:t xml:space="preserve"> previsto en el numeral 3 del artículo 230 de la Ley N</w:t>
      </w:r>
      <w:proofErr w:type="gramStart"/>
      <w:r w:rsidRPr="00710598">
        <w:rPr>
          <w:rFonts w:ascii="Tahoma" w:hAnsi="Tahoma" w:cs="Tahoma"/>
          <w:sz w:val="20"/>
        </w:rPr>
        <w:t>.º</w:t>
      </w:r>
      <w:proofErr w:type="gramEnd"/>
      <w:r w:rsidRPr="00710598">
        <w:rPr>
          <w:rFonts w:ascii="Tahoma" w:hAnsi="Tahoma" w:cs="Tahoma"/>
          <w:sz w:val="20"/>
        </w:rPr>
        <w:t xml:space="preserve"> 27444 aconseja que las sanciones no deben ser desproporcionadas y que deben guardar atención con la conducta a reprimir, atendiendo a la necesidad de que las empresas no deban verse privadas de su derecho de proveer al Estado más allá de lo estrictamente necesario para satisfacer los fines de la sanción.</w:t>
      </w:r>
    </w:p>
    <w:p w:rsidR="00B55340" w:rsidRPr="00710598" w:rsidRDefault="00B55340" w:rsidP="00B55340">
      <w:pPr>
        <w:pStyle w:val="Textoindependiente"/>
        <w:tabs>
          <w:tab w:val="left" w:pos="2410"/>
        </w:tabs>
        <w:rPr>
          <w:rFonts w:ascii="Tahoma" w:hAnsi="Tahoma" w:cs="Tahoma"/>
          <w:sz w:val="20"/>
        </w:rPr>
      </w:pPr>
    </w:p>
    <w:p w:rsidR="00B55340" w:rsidRPr="00710598" w:rsidRDefault="00B55340" w:rsidP="00B55340">
      <w:pPr>
        <w:pStyle w:val="Textoindependiente"/>
        <w:tabs>
          <w:tab w:val="left" w:pos="2410"/>
        </w:tabs>
        <w:ind w:left="540"/>
        <w:rPr>
          <w:rFonts w:ascii="Tahoma" w:hAnsi="Tahoma" w:cs="Tahoma"/>
          <w:sz w:val="20"/>
        </w:rPr>
      </w:pPr>
      <w:r w:rsidRPr="00710598">
        <w:rPr>
          <w:rFonts w:ascii="Tahoma" w:hAnsi="Tahoma" w:cs="Tahoma"/>
          <w:sz w:val="20"/>
        </w:rPr>
        <w:t>En ese sentido, resulta importante considerar, a efecto de determinar la sanción a imponerse en el presente caso, que contra la decisión del Comité Especial de otorgarle la buena pro al postor que obtuvo mayor puntaje durante el acto de evaluación y calificación de propuestas, el Consorcio Lago Titicaca interpuso recurso de apelación, dilatando con ello el esclarecimiento de los hechos materia del presente procedimiento. A ello se suma, el monto involucrado del proceso de selección ascendente a S/. 7 627 546,07 (Siete Millones Seiscientos Veintisiete Mil Quinientos Cuarenta y Seis con 07/100 nuevos soles), la naturaleza de la infracción, la intencionalidad del infractor y el daño subsecuente ocasionado a la Entidad.</w:t>
      </w:r>
    </w:p>
    <w:p w:rsidR="00B55340" w:rsidRPr="00710598" w:rsidRDefault="00B55340" w:rsidP="00B55340">
      <w:pPr>
        <w:pStyle w:val="Textoindependiente"/>
        <w:tabs>
          <w:tab w:val="left" w:pos="2410"/>
        </w:tabs>
        <w:rPr>
          <w:rFonts w:ascii="Tahoma" w:hAnsi="Tahoma" w:cs="Tahoma"/>
          <w:sz w:val="20"/>
        </w:rPr>
      </w:pPr>
    </w:p>
    <w:p w:rsidR="00B55340" w:rsidRPr="00710598" w:rsidRDefault="00B55340" w:rsidP="00B55340">
      <w:pPr>
        <w:pStyle w:val="Textoindependiente"/>
        <w:tabs>
          <w:tab w:val="left" w:pos="2410"/>
        </w:tabs>
        <w:ind w:left="540"/>
        <w:rPr>
          <w:rFonts w:ascii="Tahoma" w:hAnsi="Tahoma" w:cs="Tahoma"/>
          <w:sz w:val="20"/>
        </w:rPr>
      </w:pPr>
      <w:r w:rsidRPr="00710598">
        <w:rPr>
          <w:rFonts w:ascii="Tahoma" w:hAnsi="Tahoma" w:cs="Tahoma"/>
          <w:sz w:val="20"/>
        </w:rPr>
        <w:lastRenderedPageBreak/>
        <w:t xml:space="preserve">Finalmente, deberá tomarse en cuenta que la empresa </w:t>
      </w:r>
      <w:proofErr w:type="spellStart"/>
      <w:r w:rsidRPr="00710598">
        <w:rPr>
          <w:rFonts w:ascii="Tahoma" w:hAnsi="Tahoma" w:cs="Tahoma"/>
          <w:sz w:val="20"/>
        </w:rPr>
        <w:t>Montrealex</w:t>
      </w:r>
      <w:proofErr w:type="spellEnd"/>
      <w:r w:rsidRPr="00710598">
        <w:rPr>
          <w:rFonts w:ascii="Tahoma" w:hAnsi="Tahoma" w:cs="Tahoma"/>
          <w:sz w:val="20"/>
        </w:rPr>
        <w:t xml:space="preserve"> S.A.C. Perú carece de antecedentes en la comisión de infracciones administrativas, criterio especialmente relevante a efectos de atenuar la sanción a imponerse en casos como éste. </w:t>
      </w:r>
    </w:p>
    <w:p w:rsidR="00B55340" w:rsidRPr="00710598" w:rsidRDefault="00B55340" w:rsidP="00B55340">
      <w:pPr>
        <w:ind w:left="540" w:hanging="540"/>
        <w:jc w:val="both"/>
        <w:rPr>
          <w:rFonts w:ascii="Tahoma" w:hAnsi="Tahoma" w:cs="Tahoma"/>
          <w:highlight w:val="yellow"/>
          <w:lang w:val="es-PE"/>
        </w:rPr>
      </w:pPr>
    </w:p>
    <w:p w:rsidR="00B55340" w:rsidRPr="00710598" w:rsidRDefault="00B55340" w:rsidP="00B55340">
      <w:pPr>
        <w:tabs>
          <w:tab w:val="left" w:pos="2520"/>
        </w:tabs>
        <w:ind w:hanging="360"/>
        <w:jc w:val="both"/>
        <w:rPr>
          <w:rFonts w:ascii="Tahoma" w:hAnsi="Tahoma" w:cs="Tahoma"/>
        </w:rPr>
      </w:pPr>
      <w:r w:rsidRPr="00710598">
        <w:rPr>
          <w:rFonts w:ascii="Tahoma" w:hAnsi="Tahoma" w:cs="Tahoma"/>
        </w:rPr>
        <w:tab/>
        <w:t xml:space="preserve">Por estos fundamentos, de conformidad con el informe del vocal ponente Dr. Juan Carlos Valdivia </w:t>
      </w:r>
      <w:proofErr w:type="spellStart"/>
      <w:r w:rsidRPr="00710598">
        <w:rPr>
          <w:rFonts w:ascii="Tahoma" w:hAnsi="Tahoma" w:cs="Tahoma"/>
        </w:rPr>
        <w:t>Huaringa</w:t>
      </w:r>
      <w:proofErr w:type="spellEnd"/>
      <w:r w:rsidRPr="00710598">
        <w:rPr>
          <w:rFonts w:ascii="Tahoma" w:hAnsi="Tahoma" w:cs="Tahoma"/>
        </w:rPr>
        <w:t xml:space="preserve"> y la intervención de los vocales Dra. </w:t>
      </w:r>
      <w:proofErr w:type="spellStart"/>
      <w:r w:rsidRPr="00710598">
        <w:rPr>
          <w:rFonts w:ascii="Tahoma" w:hAnsi="Tahoma" w:cs="Tahoma"/>
        </w:rPr>
        <w:t>Janette</w:t>
      </w:r>
      <w:proofErr w:type="spellEnd"/>
      <w:r w:rsidRPr="00710598">
        <w:rPr>
          <w:rFonts w:ascii="Tahoma" w:hAnsi="Tahoma" w:cs="Tahoma"/>
        </w:rPr>
        <w:t xml:space="preserve"> </w:t>
      </w:r>
      <w:proofErr w:type="spellStart"/>
      <w:r w:rsidRPr="00710598">
        <w:rPr>
          <w:rFonts w:ascii="Tahoma" w:hAnsi="Tahoma" w:cs="Tahoma"/>
        </w:rPr>
        <w:t>Elke</w:t>
      </w:r>
      <w:proofErr w:type="spellEnd"/>
      <w:r w:rsidRPr="00710598">
        <w:rPr>
          <w:rFonts w:ascii="Tahoma" w:hAnsi="Tahoma" w:cs="Tahoma"/>
        </w:rPr>
        <w:t xml:space="preserve"> Ramírez </w:t>
      </w:r>
      <w:proofErr w:type="spellStart"/>
      <w:r w:rsidRPr="00710598">
        <w:rPr>
          <w:rFonts w:ascii="Tahoma" w:hAnsi="Tahoma" w:cs="Tahoma"/>
        </w:rPr>
        <w:t>Maynetto</w:t>
      </w:r>
      <w:proofErr w:type="spellEnd"/>
      <w:r w:rsidRPr="00710598">
        <w:rPr>
          <w:rFonts w:ascii="Tahoma" w:hAnsi="Tahoma" w:cs="Tahoma"/>
        </w:rPr>
        <w:t xml:space="preserve"> y Dr. Carlos Navas Rondón, atendiendo a la </w:t>
      </w:r>
      <w:proofErr w:type="spellStart"/>
      <w:r w:rsidRPr="00710598">
        <w:rPr>
          <w:rFonts w:ascii="Tahoma" w:hAnsi="Tahoma" w:cs="Tahoma"/>
        </w:rPr>
        <w:t>reconformación</w:t>
      </w:r>
      <w:proofErr w:type="spellEnd"/>
      <w:r w:rsidRPr="00710598">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B55340" w:rsidRPr="00710598" w:rsidRDefault="00B55340" w:rsidP="00B55340">
      <w:pPr>
        <w:jc w:val="both"/>
        <w:rPr>
          <w:rFonts w:ascii="Tahoma" w:hAnsi="Tahoma" w:cs="Tahoma"/>
          <w:b/>
          <w:shadow/>
        </w:rPr>
      </w:pPr>
    </w:p>
    <w:p w:rsidR="00B55340" w:rsidRPr="00710598" w:rsidRDefault="00B55340" w:rsidP="00B55340">
      <w:pPr>
        <w:jc w:val="both"/>
        <w:rPr>
          <w:rFonts w:ascii="Tahoma" w:hAnsi="Tahoma" w:cs="Tahoma"/>
          <w:b/>
          <w:shadow/>
        </w:rPr>
      </w:pPr>
      <w:r w:rsidRPr="00710598">
        <w:rPr>
          <w:rFonts w:ascii="Tahoma" w:hAnsi="Tahoma" w:cs="Tahoma"/>
          <w:b/>
          <w:shadow/>
        </w:rPr>
        <w:t xml:space="preserve">LA SALA RESUELVE: </w:t>
      </w:r>
    </w:p>
    <w:p w:rsidR="00B55340" w:rsidRPr="00710598" w:rsidRDefault="00B55340" w:rsidP="00B55340">
      <w:pPr>
        <w:jc w:val="both"/>
        <w:rPr>
          <w:rFonts w:ascii="Tahoma" w:hAnsi="Tahoma" w:cs="Tahoma"/>
          <w:b/>
          <w:shadow/>
        </w:rPr>
      </w:pPr>
    </w:p>
    <w:p w:rsidR="00B55340" w:rsidRPr="00710598" w:rsidRDefault="00B55340" w:rsidP="00B55340">
      <w:pPr>
        <w:numPr>
          <w:ilvl w:val="0"/>
          <w:numId w:val="15"/>
        </w:numPr>
        <w:tabs>
          <w:tab w:val="clear" w:pos="720"/>
          <w:tab w:val="num" w:pos="360"/>
        </w:tabs>
        <w:ind w:left="360"/>
        <w:jc w:val="both"/>
        <w:rPr>
          <w:rFonts w:ascii="Tahoma" w:hAnsi="Tahoma" w:cs="Tahoma"/>
        </w:rPr>
      </w:pPr>
      <w:r w:rsidRPr="00710598">
        <w:rPr>
          <w:rFonts w:ascii="Tahoma" w:hAnsi="Tahoma" w:cs="Tahoma"/>
        </w:rPr>
        <w:t xml:space="preserve">Sancionar a la empresa </w:t>
      </w:r>
      <w:proofErr w:type="spellStart"/>
      <w:r w:rsidRPr="00710598">
        <w:rPr>
          <w:rFonts w:ascii="Tahoma" w:hAnsi="Tahoma" w:cs="Tahoma"/>
        </w:rPr>
        <w:t>Montrealex</w:t>
      </w:r>
      <w:proofErr w:type="spellEnd"/>
      <w:r w:rsidRPr="00710598">
        <w:rPr>
          <w:rFonts w:ascii="Tahoma" w:hAnsi="Tahoma" w:cs="Tahoma"/>
        </w:rPr>
        <w:t xml:space="preserve"> S.A.C. Perú </w:t>
      </w:r>
      <w:r w:rsidR="00710598">
        <w:rPr>
          <w:rFonts w:ascii="Tahoma" w:hAnsi="Tahoma" w:cs="Tahoma"/>
        </w:rPr>
        <w:t xml:space="preserve">integrante del Consorcio Lago Titicaca </w:t>
      </w:r>
      <w:r w:rsidRPr="00710598">
        <w:rPr>
          <w:rFonts w:ascii="Tahoma" w:hAnsi="Tahoma" w:cs="Tahoma"/>
        </w:rPr>
        <w:t xml:space="preserve">con </w:t>
      </w:r>
      <w:r w:rsidRPr="00710598">
        <w:rPr>
          <w:rFonts w:ascii="Tahoma" w:hAnsi="Tahoma" w:cs="Tahoma"/>
          <w:b/>
        </w:rPr>
        <w:t xml:space="preserve">diez (10) meses de inhabilitación temporal </w:t>
      </w:r>
      <w:r w:rsidRPr="00710598">
        <w:rPr>
          <w:rFonts w:ascii="Tahoma" w:hAnsi="Tahoma" w:cs="Tahoma"/>
        </w:rPr>
        <w:t>en su derecho de participar en procesos de selección y contratar con el Estado, por haber incurrido en la infracción tipificada en el numera 9) del artículo 294 del Reglamento de la Ley de Contrataciones y Adquisiciones del Estado, aprobado por Decreto Supremo N.° 084-2004-PCM; sanción que tendrá vigencia a partir del cuarto día hábil siguiente de notificada la presente resolución</w:t>
      </w:r>
      <w:r w:rsidR="00710598" w:rsidRPr="00710598">
        <w:rPr>
          <w:rFonts w:ascii="Tahoma" w:hAnsi="Tahoma" w:cs="Tahoma"/>
        </w:rPr>
        <w:t>.</w:t>
      </w:r>
    </w:p>
    <w:p w:rsidR="00B55340" w:rsidRPr="00710598" w:rsidRDefault="00B55340" w:rsidP="00B55340">
      <w:pPr>
        <w:ind w:left="360"/>
        <w:jc w:val="both"/>
        <w:rPr>
          <w:rFonts w:ascii="Tahoma" w:hAnsi="Tahoma" w:cs="Tahoma"/>
        </w:rPr>
      </w:pPr>
    </w:p>
    <w:p w:rsidR="00B55340" w:rsidRPr="00710598" w:rsidRDefault="00B55340" w:rsidP="00B55340">
      <w:pPr>
        <w:numPr>
          <w:ilvl w:val="0"/>
          <w:numId w:val="15"/>
        </w:numPr>
        <w:tabs>
          <w:tab w:val="clear" w:pos="720"/>
          <w:tab w:val="num" w:pos="360"/>
        </w:tabs>
        <w:ind w:left="360"/>
        <w:jc w:val="both"/>
        <w:rPr>
          <w:rFonts w:ascii="Tahoma" w:hAnsi="Tahoma" w:cs="Tahoma"/>
        </w:rPr>
      </w:pPr>
      <w:r w:rsidRPr="00710598">
        <w:rPr>
          <w:rFonts w:ascii="Tahoma" w:hAnsi="Tahoma" w:cs="Tahoma"/>
        </w:rPr>
        <w:t>Declarar no ha lugar a la imposición de sanción a las empresas Ingeniería Dinámica S.A y J &amp; M Servicios Generales S.A.</w:t>
      </w:r>
      <w:r w:rsidR="00710598">
        <w:rPr>
          <w:rFonts w:ascii="Tahoma" w:hAnsi="Tahoma" w:cs="Tahoma"/>
        </w:rPr>
        <w:t xml:space="preserve"> integrantes del Consorcio Lago Titicaca</w:t>
      </w:r>
      <w:r w:rsidRPr="00710598">
        <w:rPr>
          <w:rFonts w:ascii="Tahoma" w:hAnsi="Tahoma" w:cs="Tahoma"/>
        </w:rPr>
        <w:t>, por los fundamentos expuestos.</w:t>
      </w:r>
    </w:p>
    <w:p w:rsidR="00B55340" w:rsidRPr="00710598" w:rsidRDefault="00B55340" w:rsidP="00B55340">
      <w:pPr>
        <w:jc w:val="both"/>
        <w:rPr>
          <w:rFonts w:ascii="Tahoma" w:hAnsi="Tahoma" w:cs="Tahoma"/>
        </w:rPr>
      </w:pPr>
    </w:p>
    <w:p w:rsidR="00B55340" w:rsidRPr="00710598" w:rsidRDefault="00B55340" w:rsidP="00B55340">
      <w:pPr>
        <w:numPr>
          <w:ilvl w:val="0"/>
          <w:numId w:val="15"/>
        </w:numPr>
        <w:tabs>
          <w:tab w:val="clear" w:pos="720"/>
          <w:tab w:val="num" w:pos="360"/>
        </w:tabs>
        <w:ind w:left="360"/>
        <w:jc w:val="both"/>
        <w:rPr>
          <w:rFonts w:ascii="Tahoma" w:hAnsi="Tahoma" w:cs="Tahoma"/>
        </w:rPr>
      </w:pPr>
      <w:r w:rsidRPr="00710598">
        <w:rPr>
          <w:rFonts w:ascii="Tahoma" w:hAnsi="Tahoma" w:cs="Tahoma"/>
        </w:rPr>
        <w:t>Poner la presente resolución en conocimiento de la Gerencia de Registros del CONSUCODE para las anotaciones de ley.</w:t>
      </w:r>
    </w:p>
    <w:p w:rsidR="00B55340" w:rsidRPr="00710598" w:rsidRDefault="00B55340" w:rsidP="00B55340">
      <w:pPr>
        <w:jc w:val="both"/>
        <w:rPr>
          <w:rFonts w:ascii="Tahoma" w:hAnsi="Tahoma" w:cs="Tahoma"/>
        </w:rPr>
      </w:pPr>
    </w:p>
    <w:p w:rsidR="00B55340" w:rsidRPr="00710598" w:rsidRDefault="00B55340" w:rsidP="00B55340">
      <w:pPr>
        <w:numPr>
          <w:ilvl w:val="0"/>
          <w:numId w:val="15"/>
        </w:numPr>
        <w:tabs>
          <w:tab w:val="clear" w:pos="720"/>
          <w:tab w:val="num" w:pos="360"/>
        </w:tabs>
        <w:ind w:left="360"/>
        <w:jc w:val="both"/>
        <w:rPr>
          <w:rFonts w:ascii="Tahoma" w:hAnsi="Tahoma" w:cs="Tahoma"/>
        </w:rPr>
      </w:pPr>
      <w:r w:rsidRPr="00710598">
        <w:rPr>
          <w:rFonts w:ascii="Tahoma" w:hAnsi="Tahoma" w:cs="Tahoma"/>
        </w:rPr>
        <w:t>Poner en conocimiento de la Presidencia del Consejo Superior de Contrataciones y Adquisiciones del Estado, para los fines pertinentes.</w:t>
      </w:r>
    </w:p>
    <w:p w:rsidR="00B55340" w:rsidRPr="00710598" w:rsidRDefault="00B55340" w:rsidP="00B55340">
      <w:pPr>
        <w:jc w:val="both"/>
        <w:rPr>
          <w:rFonts w:ascii="Tahoma" w:hAnsi="Tahoma" w:cs="Tahoma"/>
        </w:rPr>
      </w:pPr>
    </w:p>
    <w:p w:rsidR="00B55340" w:rsidRPr="00710598" w:rsidRDefault="00B55340" w:rsidP="00B55340">
      <w:pPr>
        <w:jc w:val="both"/>
        <w:rPr>
          <w:rFonts w:ascii="Tahoma" w:hAnsi="Tahoma" w:cs="Tahoma"/>
        </w:rPr>
      </w:pPr>
    </w:p>
    <w:p w:rsidR="00B55340" w:rsidRPr="00710598" w:rsidRDefault="00B55340" w:rsidP="00B55340">
      <w:pPr>
        <w:jc w:val="both"/>
        <w:rPr>
          <w:rFonts w:ascii="Tahoma" w:hAnsi="Tahoma" w:cs="Tahoma"/>
        </w:rPr>
      </w:pPr>
      <w:r w:rsidRPr="00710598">
        <w:rPr>
          <w:rFonts w:ascii="Tahoma" w:hAnsi="Tahoma" w:cs="Tahoma"/>
        </w:rPr>
        <w:t>Regístrese, Comuníquese y Publíquese.</w:t>
      </w:r>
    </w:p>
    <w:p w:rsidR="00B55340" w:rsidRPr="00710598" w:rsidRDefault="00B55340" w:rsidP="00B55340">
      <w:pPr>
        <w:jc w:val="both"/>
        <w:rPr>
          <w:rFonts w:ascii="Tahoma" w:hAnsi="Tahoma" w:cs="Tahoma"/>
        </w:rPr>
      </w:pPr>
    </w:p>
    <w:p w:rsidR="00B55340" w:rsidRPr="00710598" w:rsidRDefault="00B55340" w:rsidP="00B55340">
      <w:pPr>
        <w:jc w:val="both"/>
        <w:rPr>
          <w:rFonts w:ascii="Tahoma" w:hAnsi="Tahoma" w:cs="Tahoma"/>
        </w:rPr>
      </w:pPr>
    </w:p>
    <w:p w:rsidR="00B55340" w:rsidRPr="00710598" w:rsidRDefault="00B55340" w:rsidP="00B55340">
      <w:pPr>
        <w:jc w:val="both"/>
        <w:rPr>
          <w:rFonts w:ascii="Tahoma" w:hAnsi="Tahoma" w:cs="Tahoma"/>
        </w:rPr>
      </w:pPr>
    </w:p>
    <w:p w:rsidR="00B55340" w:rsidRPr="00710598" w:rsidRDefault="00B55340" w:rsidP="00B55340">
      <w:pPr>
        <w:jc w:val="both"/>
        <w:rPr>
          <w:rFonts w:ascii="Tahoma" w:hAnsi="Tahoma" w:cs="Tahoma"/>
        </w:rPr>
      </w:pPr>
    </w:p>
    <w:p w:rsidR="00B55340" w:rsidRPr="00710598" w:rsidRDefault="00B55340" w:rsidP="00B55340">
      <w:pPr>
        <w:jc w:val="both"/>
        <w:rPr>
          <w:rFonts w:ascii="Tahoma" w:hAnsi="Tahoma" w:cs="Tahoma"/>
        </w:rPr>
      </w:pPr>
    </w:p>
    <w:p w:rsidR="00B55340" w:rsidRPr="00710598" w:rsidRDefault="00B55340" w:rsidP="00B55340">
      <w:pPr>
        <w:jc w:val="both"/>
        <w:rPr>
          <w:rFonts w:ascii="Tahoma" w:hAnsi="Tahoma" w:cs="Tahoma"/>
        </w:rPr>
      </w:pPr>
    </w:p>
    <w:p w:rsidR="00B55340" w:rsidRPr="00710598" w:rsidRDefault="00B55340" w:rsidP="00B55340">
      <w:pPr>
        <w:jc w:val="center"/>
        <w:rPr>
          <w:rFonts w:ascii="Tahoma" w:hAnsi="Tahoma" w:cs="Tahoma"/>
          <w:b/>
        </w:rPr>
      </w:pPr>
      <w:r w:rsidRPr="00710598">
        <w:rPr>
          <w:rFonts w:ascii="Tahoma" w:hAnsi="Tahoma" w:cs="Tahoma"/>
          <w:b/>
        </w:rPr>
        <w:t>PRESIDENTE</w:t>
      </w:r>
    </w:p>
    <w:p w:rsidR="00B55340" w:rsidRPr="00710598" w:rsidRDefault="00B55340" w:rsidP="00B55340">
      <w:pPr>
        <w:jc w:val="center"/>
        <w:rPr>
          <w:rFonts w:ascii="Tahoma" w:hAnsi="Tahoma" w:cs="Tahoma"/>
          <w:b/>
        </w:rPr>
      </w:pPr>
    </w:p>
    <w:p w:rsidR="00B55340" w:rsidRPr="00710598" w:rsidRDefault="00B55340" w:rsidP="00B55340">
      <w:pPr>
        <w:jc w:val="center"/>
        <w:rPr>
          <w:rFonts w:ascii="Tahoma" w:hAnsi="Tahoma" w:cs="Tahoma"/>
          <w:b/>
        </w:rPr>
      </w:pPr>
    </w:p>
    <w:p w:rsidR="00B55340" w:rsidRPr="00710598" w:rsidRDefault="00B55340" w:rsidP="00B55340">
      <w:pPr>
        <w:jc w:val="center"/>
        <w:rPr>
          <w:rFonts w:ascii="Tahoma" w:hAnsi="Tahoma" w:cs="Tahoma"/>
          <w:b/>
        </w:rPr>
      </w:pPr>
    </w:p>
    <w:p w:rsidR="00B55340" w:rsidRPr="00710598" w:rsidRDefault="00B55340" w:rsidP="00B55340">
      <w:pPr>
        <w:jc w:val="center"/>
        <w:rPr>
          <w:rFonts w:ascii="Tahoma" w:hAnsi="Tahoma" w:cs="Tahoma"/>
          <w:b/>
        </w:rPr>
      </w:pPr>
      <w:r w:rsidRPr="00710598">
        <w:rPr>
          <w:rFonts w:ascii="Tahoma" w:hAnsi="Tahoma" w:cs="Tahoma"/>
          <w:b/>
        </w:rPr>
        <w:t xml:space="preserve">VOCAL </w:t>
      </w:r>
      <w:r w:rsidRPr="00710598">
        <w:rPr>
          <w:rFonts w:ascii="Tahoma" w:hAnsi="Tahoma" w:cs="Tahoma"/>
          <w:b/>
        </w:rPr>
        <w:tab/>
      </w:r>
      <w:r w:rsidRPr="00710598">
        <w:rPr>
          <w:rFonts w:ascii="Tahoma" w:hAnsi="Tahoma" w:cs="Tahoma"/>
          <w:b/>
        </w:rPr>
        <w:tab/>
      </w:r>
      <w:r w:rsidRPr="00710598">
        <w:rPr>
          <w:rFonts w:ascii="Tahoma" w:hAnsi="Tahoma" w:cs="Tahoma"/>
          <w:b/>
        </w:rPr>
        <w:tab/>
      </w:r>
      <w:r w:rsidRPr="00710598">
        <w:rPr>
          <w:rFonts w:ascii="Tahoma" w:hAnsi="Tahoma" w:cs="Tahoma"/>
          <w:b/>
        </w:rPr>
        <w:tab/>
      </w:r>
      <w:r w:rsidRPr="00710598">
        <w:rPr>
          <w:rFonts w:ascii="Tahoma" w:hAnsi="Tahoma" w:cs="Tahoma"/>
          <w:b/>
        </w:rPr>
        <w:tab/>
      </w:r>
      <w:r w:rsidRPr="00710598">
        <w:rPr>
          <w:rFonts w:ascii="Tahoma" w:hAnsi="Tahoma" w:cs="Tahoma"/>
          <w:b/>
        </w:rPr>
        <w:tab/>
      </w:r>
      <w:r w:rsidRPr="00710598">
        <w:rPr>
          <w:rFonts w:ascii="Tahoma" w:hAnsi="Tahoma" w:cs="Tahoma"/>
          <w:b/>
        </w:rPr>
        <w:tab/>
      </w:r>
      <w:r w:rsidRPr="00710598">
        <w:rPr>
          <w:rFonts w:ascii="Tahoma" w:hAnsi="Tahoma" w:cs="Tahoma"/>
          <w:b/>
        </w:rPr>
        <w:tab/>
        <w:t>VOCAL</w:t>
      </w:r>
    </w:p>
    <w:p w:rsidR="00B55340" w:rsidRPr="00710598" w:rsidRDefault="00B55340" w:rsidP="00B55340">
      <w:pPr>
        <w:rPr>
          <w:rFonts w:ascii="Tahoma" w:hAnsi="Tahoma" w:cs="Tahoma"/>
          <w:b/>
        </w:rPr>
      </w:pPr>
    </w:p>
    <w:p w:rsidR="00B55340" w:rsidRPr="00710598" w:rsidRDefault="00B55340" w:rsidP="00B55340">
      <w:pPr>
        <w:rPr>
          <w:rFonts w:ascii="Tahoma" w:hAnsi="Tahoma" w:cs="Tahoma"/>
          <w:b/>
        </w:rPr>
      </w:pPr>
    </w:p>
    <w:p w:rsidR="00B55340" w:rsidRPr="00710598" w:rsidRDefault="00B55340" w:rsidP="00B55340">
      <w:pPr>
        <w:rPr>
          <w:rFonts w:ascii="Tahoma" w:hAnsi="Tahoma" w:cs="Tahoma"/>
        </w:rPr>
      </w:pPr>
    </w:p>
    <w:p w:rsidR="00B55340" w:rsidRPr="00710598" w:rsidRDefault="00B55340" w:rsidP="00B55340">
      <w:pPr>
        <w:rPr>
          <w:rFonts w:ascii="Tahoma" w:hAnsi="Tahoma" w:cs="Tahoma"/>
        </w:rPr>
      </w:pPr>
      <w:r w:rsidRPr="00710598">
        <w:rPr>
          <w:rFonts w:ascii="Tahoma" w:hAnsi="Tahoma" w:cs="Tahoma"/>
        </w:rPr>
        <w:t>ss.</w:t>
      </w:r>
    </w:p>
    <w:p w:rsidR="00B55340" w:rsidRPr="00710598" w:rsidRDefault="00B55340" w:rsidP="00B55340">
      <w:pPr>
        <w:rPr>
          <w:rFonts w:ascii="Tahoma" w:hAnsi="Tahoma" w:cs="Tahoma"/>
        </w:rPr>
      </w:pPr>
      <w:r w:rsidRPr="00710598">
        <w:rPr>
          <w:rFonts w:ascii="Tahoma" w:hAnsi="Tahoma" w:cs="Tahoma"/>
        </w:rPr>
        <w:t xml:space="preserve">Valdivia </w:t>
      </w:r>
      <w:proofErr w:type="spellStart"/>
      <w:r w:rsidRPr="00710598">
        <w:rPr>
          <w:rFonts w:ascii="Tahoma" w:hAnsi="Tahoma" w:cs="Tahoma"/>
        </w:rPr>
        <w:t>Huaringa</w:t>
      </w:r>
      <w:proofErr w:type="spellEnd"/>
    </w:p>
    <w:p w:rsidR="00B55340" w:rsidRPr="00710598" w:rsidRDefault="00B55340" w:rsidP="00B55340">
      <w:pPr>
        <w:ind w:left="708" w:hanging="708"/>
        <w:rPr>
          <w:rFonts w:ascii="Tahoma" w:hAnsi="Tahoma" w:cs="Tahoma"/>
        </w:rPr>
      </w:pPr>
      <w:r w:rsidRPr="00710598">
        <w:rPr>
          <w:rFonts w:ascii="Tahoma" w:hAnsi="Tahoma" w:cs="Tahoma"/>
        </w:rPr>
        <w:t xml:space="preserve">Ramírez </w:t>
      </w:r>
      <w:proofErr w:type="spellStart"/>
      <w:r w:rsidRPr="00710598">
        <w:rPr>
          <w:rFonts w:ascii="Tahoma" w:hAnsi="Tahoma" w:cs="Tahoma"/>
        </w:rPr>
        <w:t>Maynetto</w:t>
      </w:r>
      <w:proofErr w:type="spellEnd"/>
      <w:r w:rsidRPr="00710598">
        <w:rPr>
          <w:rFonts w:ascii="Tahoma" w:hAnsi="Tahoma" w:cs="Tahoma"/>
        </w:rPr>
        <w:t xml:space="preserve"> </w:t>
      </w:r>
    </w:p>
    <w:p w:rsidR="00B55340" w:rsidRPr="00710598" w:rsidRDefault="00B55340" w:rsidP="00B55340">
      <w:pPr>
        <w:rPr>
          <w:rFonts w:ascii="Tahoma" w:hAnsi="Tahoma" w:cs="Tahoma"/>
        </w:rPr>
      </w:pPr>
      <w:r w:rsidRPr="00710598">
        <w:rPr>
          <w:rFonts w:ascii="Tahoma" w:hAnsi="Tahoma" w:cs="Tahoma"/>
        </w:rPr>
        <w:t xml:space="preserve">Navas Rondón </w:t>
      </w:r>
    </w:p>
    <w:p w:rsidR="008B2CBA" w:rsidRPr="00710598" w:rsidRDefault="00D258B6">
      <w:pPr>
        <w:rPr>
          <w:rFonts w:ascii="Tahoma" w:hAnsi="Tahoma" w:cs="Tahoma"/>
        </w:rPr>
      </w:pPr>
    </w:p>
    <w:sectPr w:rsidR="008B2CBA" w:rsidRPr="00710598" w:rsidSect="00710598">
      <w:footerReference w:type="even" r:id="rId7"/>
      <w:footerReference w:type="default" r:id="rId8"/>
      <w:pgSz w:w="11906" w:h="16838"/>
      <w:pgMar w:top="3402" w:right="1700"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340" w:rsidRDefault="00B55340" w:rsidP="00B55340">
      <w:r>
        <w:separator/>
      </w:r>
    </w:p>
  </w:endnote>
  <w:endnote w:type="continuationSeparator" w:id="1">
    <w:p w:rsidR="00B55340" w:rsidRDefault="00B55340" w:rsidP="00B553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9AE" w:rsidRDefault="00164CA4" w:rsidP="00FD19AE">
    <w:pPr>
      <w:pStyle w:val="Piedepgina"/>
      <w:framePr w:wrap="around" w:vAnchor="text" w:hAnchor="margin" w:xAlign="center" w:y="1"/>
      <w:rPr>
        <w:rStyle w:val="Nmerodepgina"/>
      </w:rPr>
    </w:pPr>
    <w:r>
      <w:rPr>
        <w:rStyle w:val="Nmerodepgina"/>
      </w:rPr>
      <w:fldChar w:fldCharType="begin"/>
    </w:r>
    <w:r w:rsidR="007B06DE">
      <w:rPr>
        <w:rStyle w:val="Nmerodepgina"/>
      </w:rPr>
      <w:instrText xml:space="preserve">PAGE  </w:instrText>
    </w:r>
    <w:r>
      <w:rPr>
        <w:rStyle w:val="Nmerodepgina"/>
      </w:rPr>
      <w:fldChar w:fldCharType="end"/>
    </w:r>
  </w:p>
  <w:p w:rsidR="00FD19AE" w:rsidRDefault="00D258B6">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9AE" w:rsidRPr="002E1DB7" w:rsidRDefault="007B06DE" w:rsidP="00FD19AE">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164CA4"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164CA4" w:rsidRPr="002E1DB7">
      <w:rPr>
        <w:rFonts w:ascii="Bookman Old Style" w:hAnsi="Bookman Old Style"/>
        <w:i/>
        <w:sz w:val="20"/>
      </w:rPr>
      <w:fldChar w:fldCharType="separate"/>
    </w:r>
    <w:r w:rsidR="008C37B6">
      <w:rPr>
        <w:rFonts w:ascii="Bookman Old Style" w:hAnsi="Bookman Old Style"/>
        <w:i/>
        <w:noProof/>
        <w:sz w:val="20"/>
      </w:rPr>
      <w:t>1</w:t>
    </w:r>
    <w:r w:rsidR="00164CA4" w:rsidRPr="002E1DB7">
      <w:rPr>
        <w:rFonts w:ascii="Bookman Old Style" w:hAnsi="Bookman Old Style"/>
        <w:i/>
        <w:sz w:val="20"/>
      </w:rPr>
      <w:fldChar w:fldCharType="end"/>
    </w:r>
    <w:r w:rsidRPr="002E1DB7">
      <w:rPr>
        <w:rFonts w:ascii="Bookman Old Style" w:hAnsi="Bookman Old Style"/>
        <w:i/>
        <w:sz w:val="20"/>
      </w:rPr>
      <w:t xml:space="preserve"> de </w:t>
    </w:r>
    <w:r w:rsidR="00164CA4"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164CA4" w:rsidRPr="002E1DB7">
      <w:rPr>
        <w:rFonts w:ascii="Bookman Old Style" w:hAnsi="Bookman Old Style"/>
        <w:i/>
        <w:sz w:val="20"/>
      </w:rPr>
      <w:fldChar w:fldCharType="separate"/>
    </w:r>
    <w:r w:rsidR="008C37B6">
      <w:rPr>
        <w:rFonts w:ascii="Bookman Old Style" w:hAnsi="Bookman Old Style"/>
        <w:i/>
        <w:noProof/>
        <w:sz w:val="20"/>
      </w:rPr>
      <w:t>10</w:t>
    </w:r>
    <w:r w:rsidR="00164CA4"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340" w:rsidRDefault="00B55340" w:rsidP="00B55340">
      <w:r>
        <w:separator/>
      </w:r>
    </w:p>
  </w:footnote>
  <w:footnote w:type="continuationSeparator" w:id="1">
    <w:p w:rsidR="00B55340" w:rsidRDefault="00B55340" w:rsidP="00B55340">
      <w:r>
        <w:continuationSeparator/>
      </w:r>
    </w:p>
  </w:footnote>
  <w:footnote w:id="2">
    <w:p w:rsidR="00B55340" w:rsidRPr="00E778C2" w:rsidRDefault="00B55340" w:rsidP="00B55340">
      <w:pPr>
        <w:pStyle w:val="Textonotapie"/>
        <w:ind w:left="180" w:hanging="180"/>
        <w:jc w:val="both"/>
        <w:rPr>
          <w:rFonts w:ascii="Bookman Old Style" w:hAnsi="Bookman Old Style" w:cs="Tahoma"/>
          <w:i/>
          <w:sz w:val="18"/>
          <w:szCs w:val="18"/>
          <w:lang w:val="es-PE"/>
        </w:rPr>
      </w:pPr>
      <w:r w:rsidRPr="00E778C2">
        <w:rPr>
          <w:rStyle w:val="Refdenotaalpie"/>
          <w:rFonts w:ascii="Bookman Old Style" w:hAnsi="Bookman Old Style" w:cs="Tahoma"/>
          <w:i/>
          <w:sz w:val="18"/>
          <w:szCs w:val="18"/>
        </w:rPr>
        <w:footnoteRef/>
      </w:r>
      <w:r w:rsidRPr="00E778C2">
        <w:rPr>
          <w:rFonts w:ascii="Bookman Old Style" w:hAnsi="Bookman Old Style" w:cs="Tahoma"/>
          <w:i/>
          <w:sz w:val="18"/>
          <w:szCs w:val="18"/>
        </w:rPr>
        <w:t xml:space="preserve"> </w:t>
      </w:r>
      <w:r w:rsidRPr="00E778C2">
        <w:rPr>
          <w:rFonts w:ascii="Bookman Old Style" w:hAnsi="Bookman Old Style" w:cs="Tahoma"/>
          <w:i/>
          <w:sz w:val="18"/>
          <w:szCs w:val="18"/>
          <w:lang w:val="es-PE"/>
        </w:rPr>
        <w:t>Artículo 294.- Causales de aplicación de sanción a los proveedores, participantes, postores y contratistas.- El Tribunal impondrá la sanción administrativa de inhabilitación temporal o definitiva a los proveedores, postores y/o contratistas que:</w:t>
      </w:r>
    </w:p>
    <w:p w:rsidR="00B55340" w:rsidRPr="00E778C2" w:rsidRDefault="00B55340" w:rsidP="00B55340">
      <w:pPr>
        <w:pStyle w:val="Textonotapie"/>
        <w:ind w:left="180"/>
        <w:jc w:val="both"/>
        <w:rPr>
          <w:rFonts w:ascii="Bookman Old Style" w:hAnsi="Bookman Old Style" w:cs="Tahoma"/>
          <w:i/>
          <w:sz w:val="18"/>
          <w:szCs w:val="18"/>
          <w:lang w:val="es-PE"/>
        </w:rPr>
      </w:pPr>
      <w:r w:rsidRPr="00E778C2">
        <w:rPr>
          <w:rFonts w:ascii="Bookman Old Style" w:hAnsi="Bookman Old Style" w:cs="Tahoma"/>
          <w:i/>
          <w:sz w:val="18"/>
          <w:szCs w:val="18"/>
          <w:lang w:val="es-PE"/>
        </w:rPr>
        <w:t>(…)</w:t>
      </w:r>
    </w:p>
    <w:p w:rsidR="00B55340" w:rsidRPr="00E778C2" w:rsidRDefault="00B55340" w:rsidP="00B55340">
      <w:pPr>
        <w:pStyle w:val="Textonotapie"/>
        <w:ind w:left="180"/>
        <w:jc w:val="both"/>
        <w:rPr>
          <w:rFonts w:ascii="Bookman Old Style" w:hAnsi="Bookman Old Style" w:cs="Tahoma"/>
          <w:i/>
          <w:sz w:val="18"/>
          <w:szCs w:val="18"/>
          <w:lang w:val="es-PE"/>
        </w:rPr>
      </w:pPr>
      <w:r w:rsidRPr="00E778C2">
        <w:rPr>
          <w:rFonts w:ascii="Bookman Old Style" w:hAnsi="Bookman Old Style" w:cs="Tahoma"/>
          <w:i/>
          <w:sz w:val="18"/>
          <w:szCs w:val="18"/>
          <w:lang w:val="es-PE"/>
        </w:rPr>
        <w:t>9) Presenten documentos falsos o inexactos a las Entidades o al CONSUCODE.</w:t>
      </w:r>
    </w:p>
    <w:p w:rsidR="00B55340" w:rsidRPr="00E778C2" w:rsidRDefault="00B55340" w:rsidP="00B55340">
      <w:pPr>
        <w:pStyle w:val="Textonotapie"/>
        <w:ind w:left="180"/>
        <w:jc w:val="both"/>
        <w:rPr>
          <w:rFonts w:ascii="Bookman Old Style" w:hAnsi="Bookman Old Style" w:cs="Tahoma"/>
          <w:i/>
          <w:sz w:val="18"/>
          <w:szCs w:val="18"/>
          <w:lang w:val="es-PE"/>
        </w:rPr>
      </w:pPr>
      <w:r w:rsidRPr="00E778C2">
        <w:rPr>
          <w:rFonts w:ascii="Bookman Old Style" w:hAnsi="Bookman Old Style" w:cs="Tahoma"/>
          <w:i/>
          <w:sz w:val="18"/>
          <w:szCs w:val="18"/>
          <w:lang w:val="es-PE"/>
        </w:rPr>
        <w:t>(…)”</w:t>
      </w:r>
    </w:p>
  </w:footnote>
  <w:footnote w:id="3">
    <w:p w:rsidR="00B55340" w:rsidRPr="00E778C2" w:rsidRDefault="00B55340" w:rsidP="00B55340">
      <w:pPr>
        <w:pStyle w:val="Textonotapie"/>
        <w:ind w:left="180" w:hanging="180"/>
        <w:rPr>
          <w:rFonts w:ascii="Bookman Old Style" w:hAnsi="Bookman Old Style"/>
          <w:i/>
          <w:sz w:val="18"/>
          <w:szCs w:val="18"/>
        </w:rPr>
      </w:pPr>
      <w:r w:rsidRPr="00E778C2">
        <w:rPr>
          <w:rStyle w:val="Refdenotaalpie"/>
          <w:rFonts w:ascii="Bookman Old Style" w:hAnsi="Bookman Old Style"/>
          <w:i/>
          <w:sz w:val="18"/>
          <w:szCs w:val="18"/>
        </w:rPr>
        <w:footnoteRef/>
      </w:r>
      <w:r w:rsidRPr="00E778C2">
        <w:rPr>
          <w:rFonts w:ascii="Bookman Old Style" w:hAnsi="Bookman Old Style"/>
          <w:i/>
          <w:sz w:val="18"/>
          <w:szCs w:val="18"/>
        </w:rPr>
        <w:t xml:space="preserve"> </w:t>
      </w:r>
      <w:r w:rsidRPr="00E778C2">
        <w:rPr>
          <w:rFonts w:ascii="Bookman Old Style" w:hAnsi="Bookman Old Style"/>
          <w:i/>
          <w:sz w:val="18"/>
          <w:szCs w:val="18"/>
        </w:rPr>
        <w:tab/>
      </w:r>
      <w:r w:rsidRPr="00E778C2">
        <w:rPr>
          <w:rFonts w:ascii="Bookman Old Style" w:hAnsi="Bookman Old Style" w:cs="Tahoma"/>
          <w:i/>
          <w:sz w:val="18"/>
          <w:szCs w:val="18"/>
        </w:rPr>
        <w:t>Documento obrante de fojas 020 y 021 del expediente administrativo.</w:t>
      </w:r>
    </w:p>
  </w:footnote>
  <w:footnote w:id="4">
    <w:p w:rsidR="00B55340" w:rsidRPr="00E778C2" w:rsidRDefault="00B55340" w:rsidP="00B55340">
      <w:pPr>
        <w:pStyle w:val="Textonotapie"/>
        <w:tabs>
          <w:tab w:val="left" w:pos="284"/>
        </w:tabs>
        <w:ind w:left="284" w:hanging="284"/>
        <w:rPr>
          <w:rFonts w:ascii="Bookman Old Style" w:hAnsi="Bookman Old Style"/>
          <w:i/>
          <w:sz w:val="18"/>
          <w:szCs w:val="18"/>
        </w:rPr>
      </w:pPr>
      <w:r w:rsidRPr="00E778C2">
        <w:rPr>
          <w:rStyle w:val="Refdenotaalpie"/>
          <w:rFonts w:ascii="Bookman Old Style" w:hAnsi="Bookman Old Style"/>
          <w:i/>
          <w:sz w:val="18"/>
          <w:szCs w:val="18"/>
        </w:rPr>
        <w:footnoteRef/>
      </w:r>
      <w:r w:rsidRPr="00E778C2">
        <w:rPr>
          <w:rFonts w:ascii="Bookman Old Style" w:hAnsi="Bookman Old Style"/>
          <w:i/>
          <w:sz w:val="18"/>
          <w:szCs w:val="18"/>
        </w:rPr>
        <w:t xml:space="preserve"> </w:t>
      </w:r>
      <w:r w:rsidRPr="00E778C2">
        <w:rPr>
          <w:rFonts w:ascii="Bookman Old Style" w:hAnsi="Bookman Old Style"/>
          <w:i/>
          <w:sz w:val="18"/>
          <w:szCs w:val="18"/>
        </w:rPr>
        <w:tab/>
        <w:t>Documento obrante a fojas 690 del Anexo 02 del expediente administrativo.</w:t>
      </w:r>
    </w:p>
  </w:footnote>
  <w:footnote w:id="5">
    <w:p w:rsidR="00B55340" w:rsidRPr="00E778C2" w:rsidRDefault="00B55340" w:rsidP="00B55340">
      <w:pPr>
        <w:pStyle w:val="Textonotapie"/>
        <w:tabs>
          <w:tab w:val="left" w:pos="284"/>
        </w:tabs>
        <w:ind w:left="284" w:hanging="284"/>
        <w:jc w:val="both"/>
        <w:rPr>
          <w:rFonts w:ascii="Bookman Old Style" w:hAnsi="Bookman Old Style"/>
          <w:i/>
          <w:sz w:val="18"/>
          <w:szCs w:val="18"/>
        </w:rPr>
      </w:pPr>
      <w:r w:rsidRPr="00E778C2">
        <w:rPr>
          <w:rStyle w:val="Refdenotaalpie"/>
          <w:rFonts w:ascii="Bookman Old Style" w:hAnsi="Bookman Old Style"/>
          <w:i/>
          <w:sz w:val="18"/>
          <w:szCs w:val="18"/>
        </w:rPr>
        <w:footnoteRef/>
      </w:r>
      <w:r w:rsidRPr="00E778C2">
        <w:rPr>
          <w:rFonts w:ascii="Bookman Old Style" w:hAnsi="Bookman Old Style"/>
          <w:i/>
          <w:sz w:val="18"/>
          <w:szCs w:val="18"/>
        </w:rPr>
        <w:t xml:space="preserve"> </w:t>
      </w:r>
      <w:r w:rsidRPr="00E778C2">
        <w:rPr>
          <w:rFonts w:ascii="Bookman Old Style" w:hAnsi="Bookman Old Style"/>
          <w:i/>
          <w:sz w:val="18"/>
          <w:szCs w:val="18"/>
        </w:rPr>
        <w:tab/>
        <w:t>Documento obrante a fojas 689 del expediente administrativo.</w:t>
      </w:r>
    </w:p>
  </w:footnote>
  <w:footnote w:id="6">
    <w:p w:rsidR="00B55340" w:rsidRPr="00E778C2" w:rsidRDefault="00B55340" w:rsidP="00B55340">
      <w:pPr>
        <w:pStyle w:val="Textonotapie"/>
        <w:tabs>
          <w:tab w:val="left" w:pos="284"/>
        </w:tabs>
        <w:ind w:left="284" w:hanging="284"/>
        <w:jc w:val="both"/>
        <w:rPr>
          <w:rFonts w:ascii="Bookman Old Style" w:hAnsi="Bookman Old Style" w:cs="Tahoma"/>
          <w:b/>
          <w:i/>
          <w:sz w:val="18"/>
          <w:szCs w:val="18"/>
          <w:lang w:val="es-ES_tradnl"/>
        </w:rPr>
      </w:pPr>
      <w:r w:rsidRPr="00E778C2">
        <w:rPr>
          <w:rStyle w:val="Refdenotaalpie"/>
          <w:rFonts w:ascii="Bookman Old Style" w:hAnsi="Bookman Old Style" w:cs="Tahoma"/>
          <w:b/>
          <w:i/>
          <w:sz w:val="18"/>
          <w:szCs w:val="18"/>
        </w:rPr>
        <w:footnoteRef/>
      </w:r>
      <w:r w:rsidRPr="00E778C2">
        <w:rPr>
          <w:rFonts w:ascii="Bookman Old Style" w:hAnsi="Bookman Old Style" w:cs="Tahoma"/>
          <w:b/>
          <w:i/>
          <w:sz w:val="18"/>
          <w:szCs w:val="18"/>
        </w:rPr>
        <w:t xml:space="preserve"> </w:t>
      </w:r>
      <w:r w:rsidRPr="00E778C2">
        <w:rPr>
          <w:rFonts w:ascii="Bookman Old Style" w:hAnsi="Bookman Old Style" w:cs="Tahoma"/>
          <w:b/>
          <w:i/>
          <w:sz w:val="18"/>
          <w:szCs w:val="18"/>
        </w:rPr>
        <w:tab/>
      </w:r>
      <w:r w:rsidRPr="00E778C2">
        <w:rPr>
          <w:rFonts w:ascii="Bookman Old Style" w:hAnsi="Bookman Old Style" w:cs="Tahoma"/>
          <w:b/>
          <w:i/>
          <w:sz w:val="18"/>
          <w:szCs w:val="18"/>
          <w:lang w:val="es-ES_tradnl"/>
        </w:rPr>
        <w:t>Artículo 242.- Residente de Obra.-</w:t>
      </w:r>
    </w:p>
    <w:p w:rsidR="00B55340" w:rsidRPr="00E778C2" w:rsidRDefault="00B55340" w:rsidP="00B55340">
      <w:pPr>
        <w:pStyle w:val="Textonotapie"/>
        <w:tabs>
          <w:tab w:val="left" w:pos="284"/>
        </w:tabs>
        <w:ind w:left="284" w:hanging="284"/>
        <w:jc w:val="both"/>
        <w:rPr>
          <w:rFonts w:ascii="Bookman Old Style" w:hAnsi="Bookman Old Style" w:cs="Tahoma"/>
          <w:i/>
          <w:sz w:val="18"/>
          <w:szCs w:val="18"/>
          <w:lang w:val="es-ES_tradnl"/>
        </w:rPr>
      </w:pPr>
      <w:r w:rsidRPr="00E778C2">
        <w:rPr>
          <w:rFonts w:ascii="Bookman Old Style" w:hAnsi="Bookman Old Style" w:cs="Tahoma"/>
          <w:i/>
          <w:sz w:val="18"/>
          <w:szCs w:val="18"/>
          <w:lang w:val="es-ES_tradnl"/>
        </w:rPr>
        <w:tab/>
        <w:t xml:space="preserve">En toda obra se contará de modo permanente y directo con un </w:t>
      </w:r>
      <w:r w:rsidRPr="00E778C2">
        <w:rPr>
          <w:rFonts w:ascii="Bookman Old Style" w:hAnsi="Bookman Old Style" w:cs="Tahoma"/>
          <w:i/>
          <w:sz w:val="18"/>
          <w:szCs w:val="18"/>
          <w:u w:val="single"/>
          <w:lang w:val="es-ES_tradnl"/>
        </w:rPr>
        <w:t>profesional colegiado</w:t>
      </w:r>
      <w:r w:rsidRPr="00E778C2">
        <w:rPr>
          <w:rFonts w:ascii="Bookman Old Style" w:hAnsi="Bookman Old Style" w:cs="Tahoma"/>
          <w:i/>
          <w:sz w:val="18"/>
          <w:szCs w:val="18"/>
          <w:lang w:val="es-ES_tradnl"/>
        </w:rPr>
        <w:t>, habilitado y especializado designado por el contratista, previa conformidad de la Entidad, como residente de la obra, el cual podrá ser ingeniero o arquitecto, según corresponda a la naturaleza de los trabajos, con no menos de un (1) año de ejercicio profesional.</w:t>
      </w:r>
    </w:p>
    <w:p w:rsidR="00B55340" w:rsidRPr="00E778C2" w:rsidRDefault="00B55340" w:rsidP="00B55340">
      <w:pPr>
        <w:pStyle w:val="Textonotapie"/>
        <w:tabs>
          <w:tab w:val="left" w:pos="284"/>
        </w:tabs>
        <w:ind w:left="284" w:hanging="284"/>
        <w:jc w:val="both"/>
        <w:rPr>
          <w:rFonts w:ascii="Bookman Old Style" w:hAnsi="Bookman Old Style" w:cs="Tahoma"/>
          <w:i/>
          <w:sz w:val="18"/>
          <w:szCs w:val="18"/>
          <w:lang w:val="es-ES_tradnl"/>
        </w:rPr>
      </w:pPr>
      <w:r w:rsidRPr="00E778C2">
        <w:rPr>
          <w:rFonts w:ascii="Bookman Old Style" w:hAnsi="Bookman Old Style" w:cs="Tahoma"/>
          <w:i/>
          <w:sz w:val="18"/>
          <w:szCs w:val="18"/>
          <w:lang w:val="es-ES_tradnl"/>
        </w:rPr>
        <w:tab/>
        <w:t xml:space="preserve">[…] </w:t>
      </w:r>
    </w:p>
    <w:p w:rsidR="00B55340" w:rsidRPr="00E778C2" w:rsidRDefault="00B55340" w:rsidP="00B55340">
      <w:pPr>
        <w:pStyle w:val="Textonotapie"/>
        <w:jc w:val="both"/>
        <w:rPr>
          <w:rFonts w:ascii="Bookman Old Style" w:hAnsi="Bookman Old Style" w:cs="Tahoma"/>
          <w:sz w:val="18"/>
          <w:szCs w:val="18"/>
          <w:lang w:val="es-ES_tradnl"/>
        </w:rPr>
      </w:pPr>
    </w:p>
  </w:footnote>
  <w:footnote w:id="7">
    <w:p w:rsidR="00B55340" w:rsidRPr="00E778C2" w:rsidRDefault="00B55340" w:rsidP="00B55340">
      <w:pPr>
        <w:pStyle w:val="Textonotapie"/>
        <w:tabs>
          <w:tab w:val="left" w:pos="284"/>
        </w:tabs>
        <w:ind w:left="284" w:hanging="284"/>
        <w:jc w:val="both"/>
        <w:rPr>
          <w:rFonts w:ascii="Bookman Old Style" w:hAnsi="Bookman Old Style"/>
          <w:i/>
          <w:sz w:val="18"/>
          <w:szCs w:val="18"/>
        </w:rPr>
      </w:pPr>
      <w:r w:rsidRPr="00E778C2">
        <w:rPr>
          <w:rStyle w:val="Refdenotaalpie"/>
          <w:rFonts w:ascii="Bookman Old Style" w:hAnsi="Bookman Old Style"/>
          <w:i/>
          <w:sz w:val="18"/>
          <w:szCs w:val="18"/>
        </w:rPr>
        <w:footnoteRef/>
      </w:r>
      <w:r w:rsidRPr="00E778C2">
        <w:rPr>
          <w:rFonts w:ascii="Bookman Old Style" w:hAnsi="Bookman Old Style"/>
          <w:i/>
          <w:sz w:val="18"/>
          <w:szCs w:val="18"/>
        </w:rPr>
        <w:t xml:space="preserve"> </w:t>
      </w:r>
      <w:r w:rsidRPr="00E778C2">
        <w:rPr>
          <w:rFonts w:ascii="Bookman Old Style" w:hAnsi="Bookman Old Style"/>
          <w:i/>
          <w:sz w:val="18"/>
          <w:szCs w:val="18"/>
        </w:rPr>
        <w:tab/>
        <w:t>Según se aprecia en la Cédula de Notificación N</w:t>
      </w:r>
      <w:proofErr w:type="gramStart"/>
      <w:r w:rsidRPr="00E778C2">
        <w:rPr>
          <w:rFonts w:ascii="Bookman Old Style" w:hAnsi="Bookman Old Style"/>
          <w:i/>
          <w:sz w:val="18"/>
          <w:szCs w:val="18"/>
        </w:rPr>
        <w:t>.º</w:t>
      </w:r>
      <w:proofErr w:type="gramEnd"/>
      <w:r w:rsidRPr="00E778C2">
        <w:rPr>
          <w:rFonts w:ascii="Bookman Old Style" w:hAnsi="Bookman Old Style"/>
          <w:i/>
          <w:sz w:val="18"/>
          <w:szCs w:val="18"/>
        </w:rPr>
        <w:t xml:space="preserve"> 29638/2007.TC, que obra a fojas 073 del expediente administrativo. </w:t>
      </w:r>
    </w:p>
  </w:footnote>
  <w:footnote w:id="8">
    <w:p w:rsidR="00B55340" w:rsidRPr="00C21AB6" w:rsidRDefault="00B55340" w:rsidP="00B55340">
      <w:pPr>
        <w:pStyle w:val="Textonotapie"/>
        <w:tabs>
          <w:tab w:val="left" w:pos="360"/>
        </w:tabs>
        <w:ind w:left="180" w:hanging="180"/>
        <w:jc w:val="both"/>
        <w:rPr>
          <w:rFonts w:ascii="Bookman Old Style" w:hAnsi="Bookman Old Style"/>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w:t>
      </w:r>
      <w:r w:rsidRPr="00C21AB6">
        <w:rPr>
          <w:rFonts w:ascii="Bookman Old Style" w:hAnsi="Bookman Old Style"/>
          <w:i/>
          <w:sz w:val="18"/>
          <w:szCs w:val="18"/>
        </w:rPr>
        <w:tab/>
        <w:t>“</w:t>
      </w:r>
      <w:r w:rsidRPr="00C21AB6">
        <w:rPr>
          <w:rFonts w:ascii="Bookman Old Style" w:hAnsi="Bookman Old Style"/>
          <w:b/>
          <w:i/>
          <w:sz w:val="18"/>
          <w:szCs w:val="18"/>
        </w:rPr>
        <w:t>Artículo 230.- Principios de la potestad sancionadora</w:t>
      </w:r>
    </w:p>
    <w:p w:rsidR="00B55340" w:rsidRPr="00C21AB6" w:rsidRDefault="00B55340" w:rsidP="00B55340">
      <w:pPr>
        <w:pStyle w:val="Textonotapie"/>
        <w:tabs>
          <w:tab w:val="left" w:pos="360"/>
        </w:tabs>
        <w:ind w:left="180" w:hanging="180"/>
        <w:jc w:val="both"/>
        <w:rPr>
          <w:rFonts w:ascii="Bookman Old Style" w:hAnsi="Bookman Old Style"/>
          <w:i/>
          <w:sz w:val="18"/>
          <w:szCs w:val="18"/>
        </w:rPr>
      </w:pPr>
      <w:r w:rsidRPr="00C21AB6">
        <w:rPr>
          <w:rFonts w:ascii="Bookman Old Style" w:hAnsi="Bookman Old Style"/>
          <w:i/>
          <w:sz w:val="18"/>
          <w:szCs w:val="18"/>
        </w:rPr>
        <w:tab/>
        <w:t>(…)</w:t>
      </w:r>
    </w:p>
    <w:p w:rsidR="00B55340" w:rsidRPr="00C21AB6" w:rsidRDefault="00B55340" w:rsidP="00B55340">
      <w:pPr>
        <w:pStyle w:val="Textonotapie"/>
        <w:tabs>
          <w:tab w:val="left" w:pos="360"/>
        </w:tabs>
        <w:ind w:left="180" w:hanging="180"/>
        <w:jc w:val="both"/>
        <w:rPr>
          <w:rFonts w:ascii="Bookman Old Style" w:hAnsi="Bookman Old Style"/>
          <w:i/>
          <w:sz w:val="18"/>
          <w:szCs w:val="18"/>
        </w:rPr>
      </w:pPr>
      <w:r w:rsidRPr="00C21AB6">
        <w:rPr>
          <w:rFonts w:ascii="Bookman Old Style" w:hAnsi="Bookman Old Style"/>
          <w:b/>
          <w:i/>
          <w:sz w:val="18"/>
          <w:szCs w:val="18"/>
        </w:rPr>
        <w:tab/>
        <w:t>3. Razonabilidad</w:t>
      </w:r>
      <w:r w:rsidRPr="00C21AB6">
        <w:rPr>
          <w:rFonts w:ascii="Bookman Old Style" w:hAnsi="Bookman Old Style"/>
          <w:i/>
          <w:sz w:val="18"/>
          <w:szCs w:val="18"/>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B55340" w:rsidRPr="00C21AB6" w:rsidRDefault="00B55340" w:rsidP="00B55340">
      <w:pPr>
        <w:pStyle w:val="Textonotapie"/>
        <w:tabs>
          <w:tab w:val="left" w:pos="360"/>
        </w:tabs>
        <w:ind w:left="180" w:hanging="180"/>
        <w:jc w:val="both"/>
        <w:rPr>
          <w:rFonts w:ascii="Bookman Old Style" w:hAnsi="Bookman Old Style"/>
          <w:i/>
          <w:sz w:val="18"/>
          <w:szCs w:val="18"/>
        </w:rPr>
      </w:pPr>
      <w:r w:rsidRPr="00C21AB6">
        <w:rPr>
          <w:rFonts w:ascii="Bookman Old Style" w:hAnsi="Bookman Old Style"/>
          <w:i/>
          <w:sz w:val="18"/>
          <w:szCs w:val="18"/>
        </w:rPr>
        <w:tab/>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6A8E41FC"/>
    <w:lvl w:ilvl="0" w:tplc="CAFCE2FC">
      <w:start w:val="1"/>
      <w:numFmt w:val="decimal"/>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F4D30F0"/>
    <w:multiLevelType w:val="multilevel"/>
    <w:tmpl w:val="2C065D40"/>
    <w:lvl w:ilvl="0">
      <w:start w:val="1"/>
      <w:numFmt w:val="decimal"/>
      <w:lvlText w:val="%1."/>
      <w:lvlJc w:val="left"/>
      <w:pPr>
        <w:tabs>
          <w:tab w:val="num" w:pos="454"/>
        </w:tabs>
        <w:ind w:left="454" w:hanging="454"/>
      </w:pPr>
      <w:rPr>
        <w:rFonts w:ascii="Arial" w:hAnsi="Arial" w:cs="Arial" w:hint="default"/>
        <w:b/>
        <w:i w:val="0"/>
        <w:shadow w:val="0"/>
        <w:sz w:val="20"/>
        <w:szCs w:val="20"/>
        <w:u w:color="FFFFFF"/>
      </w:rPr>
    </w:lvl>
    <w:lvl w:ilvl="1">
      <w:start w:val="1"/>
      <w:numFmt w:val="lowerRoman"/>
      <w:lvlText w:val="(%2)"/>
      <w:lvlJc w:val="left"/>
      <w:pPr>
        <w:tabs>
          <w:tab w:val="num" w:pos="1800"/>
        </w:tabs>
        <w:ind w:left="1800" w:hanging="720"/>
      </w:pPr>
      <w:rPr>
        <w:rFonts w:hint="default"/>
        <w:b/>
        <w:i w:val="0"/>
        <w:shadow/>
        <w:emboss w:val="0"/>
        <w:imprint w:val="0"/>
        <w:sz w:val="20"/>
        <w:szCs w:val="20"/>
        <w:u w:color="FFFFFF"/>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3360"/>
        </w:tabs>
        <w:ind w:left="3360" w:hanging="840"/>
      </w:pPr>
      <w:rPr>
        <w:rFonts w:hint="default"/>
        <w:b/>
        <w:i w:val="0"/>
        <w:shadow/>
        <w:emboss w:val="0"/>
        <w:imprint w:val="0"/>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139453EC"/>
    <w:multiLevelType w:val="hybridMultilevel"/>
    <w:tmpl w:val="871CD284"/>
    <w:lvl w:ilvl="0" w:tplc="C05C1B0C">
      <w:start w:val="4"/>
      <w:numFmt w:val="bullet"/>
      <w:lvlText w:val="-"/>
      <w:lvlJc w:val="left"/>
      <w:pPr>
        <w:tabs>
          <w:tab w:val="num" w:pos="1068"/>
        </w:tabs>
        <w:ind w:left="1068" w:hanging="360"/>
      </w:pPr>
      <w:rPr>
        <w:rFonts w:ascii="Arial" w:eastAsia="Times New Roman" w:hAnsi="Arial" w:cs="Aria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
    <w:nsid w:val="1E0A11B2"/>
    <w:multiLevelType w:val="hybridMultilevel"/>
    <w:tmpl w:val="DF9C240A"/>
    <w:lvl w:ilvl="0" w:tplc="672442CC">
      <w:start w:val="2"/>
      <w:numFmt w:val="bullet"/>
      <w:lvlText w:val="-"/>
      <w:lvlJc w:val="left"/>
      <w:pPr>
        <w:tabs>
          <w:tab w:val="num" w:pos="814"/>
        </w:tabs>
        <w:ind w:left="814" w:hanging="360"/>
      </w:pPr>
      <w:rPr>
        <w:rFonts w:ascii="Bookman Old Style" w:eastAsia="Times New Roman" w:hAnsi="Bookman Old Style" w:cs="Tahoma" w:hint="default"/>
      </w:rPr>
    </w:lvl>
    <w:lvl w:ilvl="1" w:tplc="0C0A0019">
      <w:start w:val="1"/>
      <w:numFmt w:val="lowerLetter"/>
      <w:lvlText w:val="%2."/>
      <w:lvlJc w:val="left"/>
      <w:pPr>
        <w:tabs>
          <w:tab w:val="num" w:pos="1534"/>
        </w:tabs>
        <w:ind w:left="1534" w:hanging="360"/>
      </w:pPr>
    </w:lvl>
    <w:lvl w:ilvl="2" w:tplc="125A54EC">
      <w:start w:val="38"/>
      <w:numFmt w:val="decimal"/>
      <w:lvlText w:val="%3."/>
      <w:lvlJc w:val="left"/>
      <w:pPr>
        <w:tabs>
          <w:tab w:val="num" w:pos="2434"/>
        </w:tabs>
        <w:ind w:left="2434" w:hanging="360"/>
      </w:pPr>
      <w:rPr>
        <w:rFonts w:hint="default"/>
      </w:rPr>
    </w:lvl>
    <w:lvl w:ilvl="3" w:tplc="0C0A000F" w:tentative="1">
      <w:start w:val="1"/>
      <w:numFmt w:val="decimal"/>
      <w:lvlText w:val="%4."/>
      <w:lvlJc w:val="left"/>
      <w:pPr>
        <w:tabs>
          <w:tab w:val="num" w:pos="2974"/>
        </w:tabs>
        <w:ind w:left="2974" w:hanging="360"/>
      </w:pPr>
    </w:lvl>
    <w:lvl w:ilvl="4" w:tplc="0C0A0019" w:tentative="1">
      <w:start w:val="1"/>
      <w:numFmt w:val="lowerLetter"/>
      <w:lvlText w:val="%5."/>
      <w:lvlJc w:val="left"/>
      <w:pPr>
        <w:tabs>
          <w:tab w:val="num" w:pos="3694"/>
        </w:tabs>
        <w:ind w:left="3694" w:hanging="360"/>
      </w:pPr>
    </w:lvl>
    <w:lvl w:ilvl="5" w:tplc="0C0A001B" w:tentative="1">
      <w:start w:val="1"/>
      <w:numFmt w:val="lowerRoman"/>
      <w:lvlText w:val="%6."/>
      <w:lvlJc w:val="right"/>
      <w:pPr>
        <w:tabs>
          <w:tab w:val="num" w:pos="4414"/>
        </w:tabs>
        <w:ind w:left="4414" w:hanging="180"/>
      </w:pPr>
    </w:lvl>
    <w:lvl w:ilvl="6" w:tplc="0C0A000F">
      <w:start w:val="1"/>
      <w:numFmt w:val="decimal"/>
      <w:lvlText w:val="%7."/>
      <w:lvlJc w:val="left"/>
      <w:pPr>
        <w:tabs>
          <w:tab w:val="num" w:pos="5134"/>
        </w:tabs>
        <w:ind w:left="5134" w:hanging="360"/>
      </w:pPr>
    </w:lvl>
    <w:lvl w:ilvl="7" w:tplc="0C0A0019" w:tentative="1">
      <w:start w:val="1"/>
      <w:numFmt w:val="lowerLetter"/>
      <w:lvlText w:val="%8."/>
      <w:lvlJc w:val="left"/>
      <w:pPr>
        <w:tabs>
          <w:tab w:val="num" w:pos="5854"/>
        </w:tabs>
        <w:ind w:left="5854" w:hanging="360"/>
      </w:pPr>
    </w:lvl>
    <w:lvl w:ilvl="8" w:tplc="0C0A001B" w:tentative="1">
      <w:start w:val="1"/>
      <w:numFmt w:val="lowerRoman"/>
      <w:lvlText w:val="%9."/>
      <w:lvlJc w:val="right"/>
      <w:pPr>
        <w:tabs>
          <w:tab w:val="num" w:pos="6574"/>
        </w:tabs>
        <w:ind w:left="6574" w:hanging="180"/>
      </w:pPr>
    </w:lvl>
  </w:abstractNum>
  <w:abstractNum w:abstractNumId="4">
    <w:nsid w:val="22776AD4"/>
    <w:multiLevelType w:val="hybridMultilevel"/>
    <w:tmpl w:val="1234A6E2"/>
    <w:lvl w:ilvl="0" w:tplc="0C0A0001">
      <w:start w:val="1"/>
      <w:numFmt w:val="bullet"/>
      <w:lvlText w:val=""/>
      <w:lvlJc w:val="left"/>
      <w:pPr>
        <w:tabs>
          <w:tab w:val="num" w:pos="1174"/>
        </w:tabs>
        <w:ind w:left="1174" w:hanging="360"/>
      </w:pPr>
      <w:rPr>
        <w:rFonts w:ascii="Symbol" w:hAnsi="Symbol" w:hint="default"/>
      </w:rPr>
    </w:lvl>
    <w:lvl w:ilvl="1" w:tplc="0C0A0003" w:tentative="1">
      <w:start w:val="1"/>
      <w:numFmt w:val="bullet"/>
      <w:lvlText w:val="o"/>
      <w:lvlJc w:val="left"/>
      <w:pPr>
        <w:tabs>
          <w:tab w:val="num" w:pos="1894"/>
        </w:tabs>
        <w:ind w:left="1894" w:hanging="360"/>
      </w:pPr>
      <w:rPr>
        <w:rFonts w:ascii="Courier New" w:hAnsi="Courier New" w:cs="Courier New" w:hint="default"/>
      </w:rPr>
    </w:lvl>
    <w:lvl w:ilvl="2" w:tplc="0C0A0005" w:tentative="1">
      <w:start w:val="1"/>
      <w:numFmt w:val="bullet"/>
      <w:lvlText w:val=""/>
      <w:lvlJc w:val="left"/>
      <w:pPr>
        <w:tabs>
          <w:tab w:val="num" w:pos="2614"/>
        </w:tabs>
        <w:ind w:left="2614" w:hanging="360"/>
      </w:pPr>
      <w:rPr>
        <w:rFonts w:ascii="Wingdings" w:hAnsi="Wingdings" w:hint="default"/>
      </w:rPr>
    </w:lvl>
    <w:lvl w:ilvl="3" w:tplc="0C0A0001" w:tentative="1">
      <w:start w:val="1"/>
      <w:numFmt w:val="bullet"/>
      <w:lvlText w:val=""/>
      <w:lvlJc w:val="left"/>
      <w:pPr>
        <w:tabs>
          <w:tab w:val="num" w:pos="3334"/>
        </w:tabs>
        <w:ind w:left="3334" w:hanging="360"/>
      </w:pPr>
      <w:rPr>
        <w:rFonts w:ascii="Symbol" w:hAnsi="Symbol" w:hint="default"/>
      </w:rPr>
    </w:lvl>
    <w:lvl w:ilvl="4" w:tplc="0C0A0003" w:tentative="1">
      <w:start w:val="1"/>
      <w:numFmt w:val="bullet"/>
      <w:lvlText w:val="o"/>
      <w:lvlJc w:val="left"/>
      <w:pPr>
        <w:tabs>
          <w:tab w:val="num" w:pos="4054"/>
        </w:tabs>
        <w:ind w:left="4054" w:hanging="360"/>
      </w:pPr>
      <w:rPr>
        <w:rFonts w:ascii="Courier New" w:hAnsi="Courier New" w:cs="Courier New" w:hint="default"/>
      </w:rPr>
    </w:lvl>
    <w:lvl w:ilvl="5" w:tplc="0C0A0005" w:tentative="1">
      <w:start w:val="1"/>
      <w:numFmt w:val="bullet"/>
      <w:lvlText w:val=""/>
      <w:lvlJc w:val="left"/>
      <w:pPr>
        <w:tabs>
          <w:tab w:val="num" w:pos="4774"/>
        </w:tabs>
        <w:ind w:left="4774" w:hanging="360"/>
      </w:pPr>
      <w:rPr>
        <w:rFonts w:ascii="Wingdings" w:hAnsi="Wingdings" w:hint="default"/>
      </w:rPr>
    </w:lvl>
    <w:lvl w:ilvl="6" w:tplc="0C0A0001" w:tentative="1">
      <w:start w:val="1"/>
      <w:numFmt w:val="bullet"/>
      <w:lvlText w:val=""/>
      <w:lvlJc w:val="left"/>
      <w:pPr>
        <w:tabs>
          <w:tab w:val="num" w:pos="5494"/>
        </w:tabs>
        <w:ind w:left="5494" w:hanging="360"/>
      </w:pPr>
      <w:rPr>
        <w:rFonts w:ascii="Symbol" w:hAnsi="Symbol" w:hint="default"/>
      </w:rPr>
    </w:lvl>
    <w:lvl w:ilvl="7" w:tplc="0C0A0003" w:tentative="1">
      <w:start w:val="1"/>
      <w:numFmt w:val="bullet"/>
      <w:lvlText w:val="o"/>
      <w:lvlJc w:val="left"/>
      <w:pPr>
        <w:tabs>
          <w:tab w:val="num" w:pos="6214"/>
        </w:tabs>
        <w:ind w:left="6214" w:hanging="360"/>
      </w:pPr>
      <w:rPr>
        <w:rFonts w:ascii="Courier New" w:hAnsi="Courier New" w:cs="Courier New" w:hint="default"/>
      </w:rPr>
    </w:lvl>
    <w:lvl w:ilvl="8" w:tplc="0C0A0005" w:tentative="1">
      <w:start w:val="1"/>
      <w:numFmt w:val="bullet"/>
      <w:lvlText w:val=""/>
      <w:lvlJc w:val="left"/>
      <w:pPr>
        <w:tabs>
          <w:tab w:val="num" w:pos="6934"/>
        </w:tabs>
        <w:ind w:left="6934" w:hanging="360"/>
      </w:pPr>
      <w:rPr>
        <w:rFonts w:ascii="Wingdings" w:hAnsi="Wingdings" w:hint="default"/>
      </w:rPr>
    </w:lvl>
  </w:abstractNum>
  <w:abstractNum w:abstractNumId="5">
    <w:nsid w:val="23F17AAB"/>
    <w:multiLevelType w:val="multilevel"/>
    <w:tmpl w:val="690C5EE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7C13682"/>
    <w:multiLevelType w:val="hybridMultilevel"/>
    <w:tmpl w:val="A844E530"/>
    <w:lvl w:ilvl="0" w:tplc="06F2E154">
      <w:start w:val="1"/>
      <w:numFmt w:val="decimal"/>
      <w:lvlText w:val="%1."/>
      <w:lvlJc w:val="left"/>
      <w:pPr>
        <w:tabs>
          <w:tab w:val="num" w:pos="814"/>
        </w:tabs>
        <w:ind w:left="814" w:hanging="454"/>
      </w:pPr>
      <w:rPr>
        <w:rFonts w:ascii="Tahoma" w:hAnsi="Tahoma" w:cs="Tahoma" w:hint="default"/>
        <w:b/>
        <w:i w:val="0"/>
        <w:shadow w:val="0"/>
        <w:sz w:val="20"/>
        <w:szCs w:val="20"/>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389D2F1A"/>
    <w:multiLevelType w:val="hybridMultilevel"/>
    <w:tmpl w:val="9C086CA2"/>
    <w:lvl w:ilvl="0" w:tplc="1E92285E">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E713E7A"/>
    <w:multiLevelType w:val="hybridMultilevel"/>
    <w:tmpl w:val="0B228CF6"/>
    <w:lvl w:ilvl="0" w:tplc="0C0A0001">
      <w:start w:val="1"/>
      <w:numFmt w:val="bullet"/>
      <w:lvlText w:val=""/>
      <w:lvlJc w:val="left"/>
      <w:pPr>
        <w:tabs>
          <w:tab w:val="num" w:pos="454"/>
        </w:tabs>
        <w:ind w:left="454" w:hanging="360"/>
      </w:pPr>
      <w:rPr>
        <w:rFonts w:ascii="Symbol" w:hAnsi="Symbol" w:hint="default"/>
      </w:rPr>
    </w:lvl>
    <w:lvl w:ilvl="1" w:tplc="0C0A0003" w:tentative="1">
      <w:start w:val="1"/>
      <w:numFmt w:val="bullet"/>
      <w:lvlText w:val="o"/>
      <w:lvlJc w:val="left"/>
      <w:pPr>
        <w:tabs>
          <w:tab w:val="num" w:pos="1174"/>
        </w:tabs>
        <w:ind w:left="1174" w:hanging="360"/>
      </w:pPr>
      <w:rPr>
        <w:rFonts w:ascii="Courier New" w:hAnsi="Courier New" w:cs="Courier New" w:hint="default"/>
      </w:rPr>
    </w:lvl>
    <w:lvl w:ilvl="2" w:tplc="0C0A0005" w:tentative="1">
      <w:start w:val="1"/>
      <w:numFmt w:val="bullet"/>
      <w:lvlText w:val=""/>
      <w:lvlJc w:val="left"/>
      <w:pPr>
        <w:tabs>
          <w:tab w:val="num" w:pos="1894"/>
        </w:tabs>
        <w:ind w:left="1894" w:hanging="360"/>
      </w:pPr>
      <w:rPr>
        <w:rFonts w:ascii="Wingdings" w:hAnsi="Wingdings" w:hint="default"/>
      </w:rPr>
    </w:lvl>
    <w:lvl w:ilvl="3" w:tplc="0C0A0001" w:tentative="1">
      <w:start w:val="1"/>
      <w:numFmt w:val="bullet"/>
      <w:lvlText w:val=""/>
      <w:lvlJc w:val="left"/>
      <w:pPr>
        <w:tabs>
          <w:tab w:val="num" w:pos="2614"/>
        </w:tabs>
        <w:ind w:left="2614" w:hanging="360"/>
      </w:pPr>
      <w:rPr>
        <w:rFonts w:ascii="Symbol" w:hAnsi="Symbol" w:hint="default"/>
      </w:rPr>
    </w:lvl>
    <w:lvl w:ilvl="4" w:tplc="0C0A0003" w:tentative="1">
      <w:start w:val="1"/>
      <w:numFmt w:val="bullet"/>
      <w:lvlText w:val="o"/>
      <w:lvlJc w:val="left"/>
      <w:pPr>
        <w:tabs>
          <w:tab w:val="num" w:pos="3334"/>
        </w:tabs>
        <w:ind w:left="3334" w:hanging="360"/>
      </w:pPr>
      <w:rPr>
        <w:rFonts w:ascii="Courier New" w:hAnsi="Courier New" w:cs="Courier New" w:hint="default"/>
      </w:rPr>
    </w:lvl>
    <w:lvl w:ilvl="5" w:tplc="0C0A0005" w:tentative="1">
      <w:start w:val="1"/>
      <w:numFmt w:val="bullet"/>
      <w:lvlText w:val=""/>
      <w:lvlJc w:val="left"/>
      <w:pPr>
        <w:tabs>
          <w:tab w:val="num" w:pos="4054"/>
        </w:tabs>
        <w:ind w:left="4054" w:hanging="360"/>
      </w:pPr>
      <w:rPr>
        <w:rFonts w:ascii="Wingdings" w:hAnsi="Wingdings" w:hint="default"/>
      </w:rPr>
    </w:lvl>
    <w:lvl w:ilvl="6" w:tplc="0C0A0001" w:tentative="1">
      <w:start w:val="1"/>
      <w:numFmt w:val="bullet"/>
      <w:lvlText w:val=""/>
      <w:lvlJc w:val="left"/>
      <w:pPr>
        <w:tabs>
          <w:tab w:val="num" w:pos="4774"/>
        </w:tabs>
        <w:ind w:left="4774" w:hanging="360"/>
      </w:pPr>
      <w:rPr>
        <w:rFonts w:ascii="Symbol" w:hAnsi="Symbol" w:hint="default"/>
      </w:rPr>
    </w:lvl>
    <w:lvl w:ilvl="7" w:tplc="0C0A0003" w:tentative="1">
      <w:start w:val="1"/>
      <w:numFmt w:val="bullet"/>
      <w:lvlText w:val="o"/>
      <w:lvlJc w:val="left"/>
      <w:pPr>
        <w:tabs>
          <w:tab w:val="num" w:pos="5494"/>
        </w:tabs>
        <w:ind w:left="5494" w:hanging="360"/>
      </w:pPr>
      <w:rPr>
        <w:rFonts w:ascii="Courier New" w:hAnsi="Courier New" w:cs="Courier New" w:hint="default"/>
      </w:rPr>
    </w:lvl>
    <w:lvl w:ilvl="8" w:tplc="0C0A0005" w:tentative="1">
      <w:start w:val="1"/>
      <w:numFmt w:val="bullet"/>
      <w:lvlText w:val=""/>
      <w:lvlJc w:val="left"/>
      <w:pPr>
        <w:tabs>
          <w:tab w:val="num" w:pos="6214"/>
        </w:tabs>
        <w:ind w:left="6214" w:hanging="360"/>
      </w:pPr>
      <w:rPr>
        <w:rFonts w:ascii="Wingdings" w:hAnsi="Wingdings" w:hint="default"/>
      </w:rPr>
    </w:lvl>
  </w:abstractNum>
  <w:abstractNum w:abstractNumId="9">
    <w:nsid w:val="470F49B0"/>
    <w:multiLevelType w:val="hybridMultilevel"/>
    <w:tmpl w:val="5D48FA9A"/>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534"/>
        </w:tabs>
        <w:ind w:left="1534" w:hanging="360"/>
      </w:pPr>
      <w:rPr>
        <w:rFonts w:ascii="Courier New" w:hAnsi="Courier New" w:cs="Courier New" w:hint="default"/>
      </w:rPr>
    </w:lvl>
    <w:lvl w:ilvl="2" w:tplc="0C0A0005" w:tentative="1">
      <w:start w:val="1"/>
      <w:numFmt w:val="bullet"/>
      <w:lvlText w:val=""/>
      <w:lvlJc w:val="left"/>
      <w:pPr>
        <w:tabs>
          <w:tab w:val="num" w:pos="2254"/>
        </w:tabs>
        <w:ind w:left="2254" w:hanging="360"/>
      </w:pPr>
      <w:rPr>
        <w:rFonts w:ascii="Wingdings" w:hAnsi="Wingdings" w:hint="default"/>
      </w:rPr>
    </w:lvl>
    <w:lvl w:ilvl="3" w:tplc="0C0A0001" w:tentative="1">
      <w:start w:val="1"/>
      <w:numFmt w:val="bullet"/>
      <w:lvlText w:val=""/>
      <w:lvlJc w:val="left"/>
      <w:pPr>
        <w:tabs>
          <w:tab w:val="num" w:pos="2974"/>
        </w:tabs>
        <w:ind w:left="2974" w:hanging="360"/>
      </w:pPr>
      <w:rPr>
        <w:rFonts w:ascii="Symbol" w:hAnsi="Symbol" w:hint="default"/>
      </w:rPr>
    </w:lvl>
    <w:lvl w:ilvl="4" w:tplc="0C0A0003" w:tentative="1">
      <w:start w:val="1"/>
      <w:numFmt w:val="bullet"/>
      <w:lvlText w:val="o"/>
      <w:lvlJc w:val="left"/>
      <w:pPr>
        <w:tabs>
          <w:tab w:val="num" w:pos="3694"/>
        </w:tabs>
        <w:ind w:left="3694" w:hanging="360"/>
      </w:pPr>
      <w:rPr>
        <w:rFonts w:ascii="Courier New" w:hAnsi="Courier New" w:cs="Courier New" w:hint="default"/>
      </w:rPr>
    </w:lvl>
    <w:lvl w:ilvl="5" w:tplc="0C0A0005" w:tentative="1">
      <w:start w:val="1"/>
      <w:numFmt w:val="bullet"/>
      <w:lvlText w:val=""/>
      <w:lvlJc w:val="left"/>
      <w:pPr>
        <w:tabs>
          <w:tab w:val="num" w:pos="4414"/>
        </w:tabs>
        <w:ind w:left="4414" w:hanging="360"/>
      </w:pPr>
      <w:rPr>
        <w:rFonts w:ascii="Wingdings" w:hAnsi="Wingdings" w:hint="default"/>
      </w:rPr>
    </w:lvl>
    <w:lvl w:ilvl="6" w:tplc="0C0A0001" w:tentative="1">
      <w:start w:val="1"/>
      <w:numFmt w:val="bullet"/>
      <w:lvlText w:val=""/>
      <w:lvlJc w:val="left"/>
      <w:pPr>
        <w:tabs>
          <w:tab w:val="num" w:pos="5134"/>
        </w:tabs>
        <w:ind w:left="5134" w:hanging="360"/>
      </w:pPr>
      <w:rPr>
        <w:rFonts w:ascii="Symbol" w:hAnsi="Symbol" w:hint="default"/>
      </w:rPr>
    </w:lvl>
    <w:lvl w:ilvl="7" w:tplc="0C0A0003" w:tentative="1">
      <w:start w:val="1"/>
      <w:numFmt w:val="bullet"/>
      <w:lvlText w:val="o"/>
      <w:lvlJc w:val="left"/>
      <w:pPr>
        <w:tabs>
          <w:tab w:val="num" w:pos="5854"/>
        </w:tabs>
        <w:ind w:left="5854" w:hanging="360"/>
      </w:pPr>
      <w:rPr>
        <w:rFonts w:ascii="Courier New" w:hAnsi="Courier New" w:cs="Courier New" w:hint="default"/>
      </w:rPr>
    </w:lvl>
    <w:lvl w:ilvl="8" w:tplc="0C0A0005" w:tentative="1">
      <w:start w:val="1"/>
      <w:numFmt w:val="bullet"/>
      <w:lvlText w:val=""/>
      <w:lvlJc w:val="left"/>
      <w:pPr>
        <w:tabs>
          <w:tab w:val="num" w:pos="6574"/>
        </w:tabs>
        <w:ind w:left="6574" w:hanging="360"/>
      </w:pPr>
      <w:rPr>
        <w:rFonts w:ascii="Wingdings" w:hAnsi="Wingdings" w:hint="default"/>
      </w:rPr>
    </w:lvl>
  </w:abstractNum>
  <w:abstractNum w:abstractNumId="10">
    <w:nsid w:val="4E542E65"/>
    <w:multiLevelType w:val="multilevel"/>
    <w:tmpl w:val="3B5CAE6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E787431"/>
    <w:multiLevelType w:val="hybridMultilevel"/>
    <w:tmpl w:val="E5686B40"/>
    <w:lvl w:ilvl="0" w:tplc="CA501768">
      <w:start w:val="1"/>
      <w:numFmt w:val="lowerRoman"/>
      <w:lvlText w:val="%1)"/>
      <w:lvlJc w:val="left"/>
      <w:pPr>
        <w:tabs>
          <w:tab w:val="num" w:pos="1080"/>
        </w:tabs>
        <w:ind w:left="1080" w:hanging="720"/>
      </w:pPr>
      <w:rPr>
        <w:rFonts w:hint="default"/>
      </w:rPr>
    </w:lvl>
    <w:lvl w:ilvl="1" w:tplc="EACE8F8E">
      <w:start w:val="1"/>
      <w:numFmt w:val="low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63161CD6"/>
    <w:multiLevelType w:val="hybridMultilevel"/>
    <w:tmpl w:val="D02498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6E2B3208"/>
    <w:multiLevelType w:val="multilevel"/>
    <w:tmpl w:val="37309F56"/>
    <w:lvl w:ilvl="0">
      <w:start w:val="6"/>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F8030E4"/>
    <w:multiLevelType w:val="hybridMultilevel"/>
    <w:tmpl w:val="180CF528"/>
    <w:lvl w:ilvl="0" w:tplc="C1382FE2">
      <w:start w:val="1"/>
      <w:numFmt w:val="decimal"/>
      <w:lvlText w:val="%1."/>
      <w:lvlJc w:val="left"/>
      <w:pPr>
        <w:tabs>
          <w:tab w:val="num" w:pos="720"/>
        </w:tabs>
        <w:ind w:left="720" w:hanging="360"/>
      </w:pPr>
      <w:rPr>
        <w:b/>
        <w:shadow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1"/>
  </w:num>
  <w:num w:numId="2">
    <w:abstractNumId w:val="3"/>
  </w:num>
  <w:num w:numId="3">
    <w:abstractNumId w:val="9"/>
  </w:num>
  <w:num w:numId="4">
    <w:abstractNumId w:val="4"/>
  </w:num>
  <w:num w:numId="5">
    <w:abstractNumId w:val="6"/>
  </w:num>
  <w:num w:numId="6">
    <w:abstractNumId w:val="12"/>
  </w:num>
  <w:num w:numId="7">
    <w:abstractNumId w:val="8"/>
  </w:num>
  <w:num w:numId="8">
    <w:abstractNumId w:val="13"/>
  </w:num>
  <w:num w:numId="9">
    <w:abstractNumId w:val="10"/>
  </w:num>
  <w:num w:numId="10">
    <w:abstractNumId w:val="5"/>
  </w:num>
  <w:num w:numId="11">
    <w:abstractNumId w:val="2"/>
  </w:num>
  <w:num w:numId="12">
    <w:abstractNumId w:val="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B55340"/>
    <w:rsid w:val="00164CA4"/>
    <w:rsid w:val="004F7E86"/>
    <w:rsid w:val="006E37A2"/>
    <w:rsid w:val="00710598"/>
    <w:rsid w:val="007B06DE"/>
    <w:rsid w:val="008C37B6"/>
    <w:rsid w:val="009F758B"/>
    <w:rsid w:val="00AB0E85"/>
    <w:rsid w:val="00B55340"/>
    <w:rsid w:val="00DC58D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340"/>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B55340"/>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B55340"/>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B55340"/>
    <w:pPr>
      <w:jc w:val="both"/>
    </w:pPr>
    <w:rPr>
      <w:rFonts w:ascii="Arial" w:hAnsi="Arial"/>
      <w:sz w:val="24"/>
      <w:lang w:val="es-PE"/>
    </w:rPr>
  </w:style>
  <w:style w:type="character" w:customStyle="1" w:styleId="TextoindependienteCar">
    <w:name w:val="Texto independiente Car"/>
    <w:basedOn w:val="Fuentedeprrafopredeter"/>
    <w:link w:val="Textoindependiente"/>
    <w:rsid w:val="00B55340"/>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B55340"/>
  </w:style>
  <w:style w:type="character" w:customStyle="1" w:styleId="TextonotapieCar">
    <w:name w:val="Texto nota pie Car"/>
    <w:basedOn w:val="Fuentedeprrafopredeter"/>
    <w:link w:val="Textonotapie"/>
    <w:semiHidden/>
    <w:rsid w:val="00B55340"/>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B55340"/>
    <w:rPr>
      <w:vertAlign w:val="superscript"/>
    </w:rPr>
  </w:style>
  <w:style w:type="character" w:styleId="Nmerodepgina">
    <w:name w:val="page number"/>
    <w:basedOn w:val="Fuentedeprrafopredeter"/>
    <w:rsid w:val="00B55340"/>
  </w:style>
  <w:style w:type="paragraph" w:styleId="Textoindependiente2">
    <w:name w:val="Body Text 2"/>
    <w:basedOn w:val="Normal"/>
    <w:link w:val="Textoindependiente2Car"/>
    <w:unhideWhenUsed/>
    <w:rsid w:val="00B55340"/>
    <w:pPr>
      <w:spacing w:after="120" w:line="480" w:lineRule="auto"/>
    </w:pPr>
  </w:style>
  <w:style w:type="character" w:customStyle="1" w:styleId="Textoindependiente2Car">
    <w:name w:val="Texto independiente 2 Car"/>
    <w:basedOn w:val="Fuentedeprrafopredeter"/>
    <w:link w:val="Textoindependiente2"/>
    <w:rsid w:val="00B55340"/>
    <w:rPr>
      <w:rFonts w:ascii="Times New Roman" w:eastAsia="Times New Roman" w:hAnsi="Times New Roman" w:cs="Times New Roman"/>
      <w:sz w:val="20"/>
      <w:szCs w:val="20"/>
      <w:lang w:eastAsia="es-ES"/>
    </w:rPr>
  </w:style>
  <w:style w:type="character" w:styleId="Hipervnculo">
    <w:name w:val="Hyperlink"/>
    <w:basedOn w:val="Fuentedeprrafopredeter"/>
    <w:rsid w:val="00B55340"/>
    <w:rPr>
      <w:color w:val="0000FF"/>
      <w:u w:val="single"/>
    </w:rPr>
  </w:style>
  <w:style w:type="paragraph" w:styleId="Prrafodelista">
    <w:name w:val="List Paragraph"/>
    <w:basedOn w:val="Normal"/>
    <w:uiPriority w:val="34"/>
    <w:qFormat/>
    <w:rsid w:val="00B55340"/>
    <w:pPr>
      <w:ind w:left="720"/>
      <w:contextualSpacing/>
    </w:pPr>
  </w:style>
</w:styles>
</file>

<file path=word/webSettings.xml><?xml version="1.0" encoding="utf-8"?>
<w:webSettings xmlns:r="http://schemas.openxmlformats.org/officeDocument/2006/relationships" xmlns:w="http://schemas.openxmlformats.org/wordprocessingml/2006/main">
  <w:divs>
    <w:div w:id="5513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3600</Words>
  <Characters>19805</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2116-2007/TC-S3</dc:title>
  <dc:subject>APLICACIÓN DE SANCION</dc:subject>
  <dc:creator>TRIBUNAL</dc:creator>
  <cp:keywords>DOCUMENTACION FALSA</cp:keywords>
  <dc:description/>
  <cp:lastModifiedBy>erueda</cp:lastModifiedBy>
  <cp:revision>2</cp:revision>
  <cp:lastPrinted>2007-11-30T23:37:00Z</cp:lastPrinted>
  <dcterms:created xsi:type="dcterms:W3CDTF">2007-12-14T16:22:00Z</dcterms:created>
  <dcterms:modified xsi:type="dcterms:W3CDTF">2007-12-14T16:22:00Z</dcterms:modified>
  <cp:category>RESOLUCIÓN - TRIBUNAL</cp:category>
</cp:coreProperties>
</file>