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EB0" w:rsidRDefault="00510EB0" w:rsidP="00510EB0">
      <w:pPr>
        <w:tabs>
          <w:tab w:val="left" w:pos="2700"/>
          <w:tab w:val="left" w:pos="2880"/>
          <w:tab w:val="left" w:pos="6840"/>
        </w:tabs>
        <w:ind w:left="2700" w:right="2060" w:hanging="1080"/>
        <w:jc w:val="both"/>
        <w:rPr>
          <w:rFonts w:ascii="Tahoma" w:hAnsi="Tahoma" w:cs="Tahoma"/>
          <w:b/>
          <w:i/>
        </w:rPr>
      </w:pPr>
      <w:r>
        <w:rPr>
          <w:rFonts w:ascii="Tahoma" w:hAnsi="Tahoma" w:cs="Tahoma"/>
          <w:b/>
          <w:i/>
        </w:rPr>
        <w:tab/>
        <w:t>RESOLUCIÓN N</w:t>
      </w:r>
      <w:proofErr w:type="gramStart"/>
      <w:r>
        <w:rPr>
          <w:rFonts w:ascii="Tahoma" w:hAnsi="Tahoma" w:cs="Tahoma"/>
          <w:b/>
          <w:i/>
        </w:rPr>
        <w:t>.º</w:t>
      </w:r>
      <w:proofErr w:type="gramEnd"/>
      <w:r>
        <w:rPr>
          <w:rFonts w:ascii="Tahoma" w:hAnsi="Tahoma" w:cs="Tahoma"/>
          <w:b/>
          <w:i/>
        </w:rPr>
        <w:t xml:space="preserve"> 2114-2007/TC-S3</w:t>
      </w:r>
    </w:p>
    <w:p w:rsidR="00510EB0" w:rsidRDefault="00510EB0" w:rsidP="00510EB0">
      <w:pPr>
        <w:tabs>
          <w:tab w:val="left" w:pos="2700"/>
          <w:tab w:val="left" w:pos="2880"/>
          <w:tab w:val="left" w:pos="6840"/>
        </w:tabs>
        <w:ind w:left="2700" w:right="2060" w:hanging="1080"/>
        <w:jc w:val="both"/>
        <w:rPr>
          <w:rFonts w:ascii="Tahoma" w:hAnsi="Tahoma" w:cs="Tahoma"/>
          <w:b/>
          <w:i/>
        </w:rPr>
      </w:pPr>
    </w:p>
    <w:p w:rsidR="00510EB0" w:rsidRPr="00FF299F" w:rsidRDefault="00510EB0" w:rsidP="00510EB0">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FF299F">
        <w:rPr>
          <w:rFonts w:ascii="Tahoma" w:hAnsi="Tahoma" w:cs="Tahoma"/>
          <w:i/>
        </w:rPr>
        <w:t>En casos de procesos de selección según relación de ítems, cada uno de los ítems constituye un proceso menor dentro del proceso de selección principal, de conformidad a lo establecido en el artículo 79 del mencionado Reglamento, siéndoles aplicables las reglas correspondientes al proceso principal, con las excepciones previstas en el Reglamento</w:t>
      </w:r>
      <w:r>
        <w:rPr>
          <w:rFonts w:ascii="Tahoma" w:hAnsi="Tahoma" w:cs="Tahoma"/>
          <w:i/>
        </w:rPr>
        <w:t>.</w:t>
      </w:r>
    </w:p>
    <w:p w:rsidR="00510EB0" w:rsidRPr="008A15CB" w:rsidRDefault="00510EB0" w:rsidP="00510EB0">
      <w:pPr>
        <w:tabs>
          <w:tab w:val="left" w:pos="2700"/>
          <w:tab w:val="left" w:pos="2880"/>
          <w:tab w:val="left" w:pos="6840"/>
        </w:tabs>
        <w:ind w:left="2700" w:right="2060" w:hanging="1080"/>
        <w:jc w:val="both"/>
        <w:rPr>
          <w:rFonts w:ascii="Tahoma" w:hAnsi="Tahoma" w:cs="Tahoma"/>
          <w:i/>
          <w:lang w:val="es-ES_tradnl"/>
        </w:rPr>
      </w:pPr>
    </w:p>
    <w:p w:rsidR="00510EB0" w:rsidRDefault="00510EB0" w:rsidP="00510EB0">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Pr>
          <w:rFonts w:ascii="Tahoma" w:hAnsi="Tahoma" w:cs="Tahoma"/>
          <w:b/>
          <w:sz w:val="20"/>
          <w:szCs w:val="20"/>
        </w:rPr>
        <w:t>30 DE NOVIEMBRE DE 2007</w:t>
      </w:r>
    </w:p>
    <w:p w:rsidR="00510EB0" w:rsidRPr="00F107B5" w:rsidRDefault="00510EB0" w:rsidP="00510EB0">
      <w:pPr>
        <w:pStyle w:val="Textoindependiente3"/>
        <w:ind w:left="4956" w:firstLine="84"/>
        <w:rPr>
          <w:rFonts w:ascii="Tahoma" w:hAnsi="Tahoma" w:cs="Tahoma"/>
          <w:b/>
          <w:sz w:val="20"/>
          <w:szCs w:val="20"/>
        </w:rPr>
      </w:pPr>
    </w:p>
    <w:p w:rsidR="00510EB0" w:rsidRPr="00F107B5" w:rsidRDefault="00510EB0" w:rsidP="00510EB0">
      <w:pPr>
        <w:jc w:val="both"/>
        <w:rPr>
          <w:rFonts w:ascii="Tahoma" w:hAnsi="Tahoma" w:cs="Tahoma"/>
        </w:rPr>
      </w:pPr>
      <w:r w:rsidRPr="00F107B5">
        <w:rPr>
          <w:rFonts w:ascii="Tahoma" w:hAnsi="Tahoma" w:cs="Tahoma"/>
          <w:b/>
        </w:rPr>
        <w:t>Visto</w:t>
      </w:r>
      <w:r>
        <w:rPr>
          <w:rFonts w:ascii="Tahoma" w:hAnsi="Tahoma" w:cs="Tahoma"/>
        </w:rPr>
        <w:t xml:space="preserve"> en sesión de fecha 28 </w:t>
      </w:r>
      <w:r w:rsidRPr="00F107B5">
        <w:rPr>
          <w:rFonts w:ascii="Tahoma" w:hAnsi="Tahoma" w:cs="Tahoma"/>
        </w:rPr>
        <w:t>de</w:t>
      </w:r>
      <w:r>
        <w:rPr>
          <w:rFonts w:ascii="Tahoma" w:hAnsi="Tahoma" w:cs="Tahoma"/>
        </w:rPr>
        <w:t xml:space="preserve"> noviembre </w:t>
      </w:r>
      <w:r w:rsidRPr="00F107B5">
        <w:rPr>
          <w:rFonts w:ascii="Tahoma" w:hAnsi="Tahoma" w:cs="Tahoma"/>
        </w:rPr>
        <w:t>de 2007 de la Tercera Sala del Tribunal de Contrataciones y Adquisiciones del Estado el Expediente N.°</w:t>
      </w:r>
      <w:r>
        <w:rPr>
          <w:rFonts w:ascii="Tahoma" w:hAnsi="Tahoma" w:cs="Tahoma"/>
        </w:rPr>
        <w:t xml:space="preserve"> 252</w:t>
      </w:r>
      <w:r w:rsidRPr="00F107B5">
        <w:rPr>
          <w:rFonts w:ascii="Tahoma" w:hAnsi="Tahoma" w:cs="Tahoma"/>
        </w:rPr>
        <w:t>.2007.TC, sobre el procedimiento de aplicación de sanción a</w:t>
      </w:r>
      <w:r>
        <w:rPr>
          <w:rFonts w:ascii="Tahoma" w:hAnsi="Tahoma" w:cs="Tahoma"/>
        </w:rPr>
        <w:t xml:space="preserve">l Sr. </w:t>
      </w:r>
      <w:proofErr w:type="spellStart"/>
      <w:r w:rsidRPr="00C663F7">
        <w:rPr>
          <w:rFonts w:ascii="Tahoma" w:hAnsi="Tahoma" w:cs="Tahoma"/>
        </w:rPr>
        <w:t>Wilmer</w:t>
      </w:r>
      <w:proofErr w:type="spellEnd"/>
      <w:r w:rsidRPr="00C663F7">
        <w:rPr>
          <w:rFonts w:ascii="Tahoma" w:hAnsi="Tahoma" w:cs="Tahoma"/>
        </w:rPr>
        <w:t xml:space="preserve"> David Quintana Villanueva</w:t>
      </w:r>
      <w:r w:rsidRPr="001C2AE2">
        <w:rPr>
          <w:rFonts w:ascii="Tahoma" w:hAnsi="Tahoma" w:cs="Tahoma"/>
        </w:rPr>
        <w:t>,</w:t>
      </w:r>
      <w:r w:rsidRPr="00F107B5">
        <w:rPr>
          <w:rFonts w:ascii="Tahoma" w:hAnsi="Tahoma" w:cs="Tahoma"/>
        </w:rPr>
        <w:t xml:space="preserve"> por</w:t>
      </w:r>
      <w:r>
        <w:rPr>
          <w:rFonts w:ascii="Tahoma" w:hAnsi="Tahoma" w:cs="Tahoma"/>
        </w:rPr>
        <w:t xml:space="preserve"> supuesta </w:t>
      </w:r>
      <w:r w:rsidRPr="00C663F7">
        <w:rPr>
          <w:rFonts w:ascii="Tahoma" w:hAnsi="Tahoma" w:cs="Tahoma"/>
          <w:lang w:val="es-PE"/>
        </w:rPr>
        <w:t xml:space="preserve">responsabilidad </w:t>
      </w:r>
      <w:r>
        <w:rPr>
          <w:rFonts w:ascii="Tahoma" w:hAnsi="Tahoma" w:cs="Tahoma"/>
          <w:lang w:val="es-PE"/>
        </w:rPr>
        <w:t>en</w:t>
      </w:r>
      <w:r w:rsidRPr="00C663F7">
        <w:rPr>
          <w:rFonts w:ascii="Tahoma" w:hAnsi="Tahoma" w:cs="Tahoma"/>
          <w:lang w:val="es-PE"/>
        </w:rPr>
        <w:t xml:space="preserve"> la no suscripción de contrato </w:t>
      </w:r>
      <w:r>
        <w:rPr>
          <w:rFonts w:ascii="Tahoma" w:hAnsi="Tahoma" w:cs="Tahoma"/>
          <w:lang w:val="es-PE"/>
        </w:rPr>
        <w:t xml:space="preserve">respecto del </w:t>
      </w:r>
      <w:proofErr w:type="spellStart"/>
      <w:r>
        <w:rPr>
          <w:rFonts w:ascii="Tahoma" w:hAnsi="Tahoma" w:cs="Tahoma"/>
          <w:lang w:val="es-PE"/>
        </w:rPr>
        <w:t>Item</w:t>
      </w:r>
      <w:proofErr w:type="spellEnd"/>
      <w:r>
        <w:rPr>
          <w:rFonts w:ascii="Tahoma" w:hAnsi="Tahoma" w:cs="Tahoma"/>
          <w:lang w:val="es-PE"/>
        </w:rPr>
        <w:t xml:space="preserve"> N.º 08, derivado de </w:t>
      </w:r>
      <w:r w:rsidRPr="00C663F7">
        <w:rPr>
          <w:rFonts w:ascii="Tahoma" w:hAnsi="Tahoma" w:cs="Tahoma"/>
          <w:lang w:val="es-PE"/>
        </w:rPr>
        <w:t xml:space="preserve">la </w:t>
      </w:r>
      <w:r w:rsidRPr="00C663F7">
        <w:rPr>
          <w:rFonts w:ascii="Tahoma" w:hAnsi="Tahoma" w:cs="Tahoma"/>
        </w:rPr>
        <w:t>Adjudicación Directa Selectiva Nº008-2006-CEP-CSJLI/P</w:t>
      </w:r>
      <w:r>
        <w:rPr>
          <w:rFonts w:ascii="Tahoma" w:hAnsi="Tahoma" w:cs="Tahoma"/>
        </w:rPr>
        <w:t>,</w:t>
      </w:r>
      <w:r w:rsidRPr="00545365">
        <w:rPr>
          <w:rFonts w:ascii="Tahoma" w:hAnsi="Tahoma" w:cs="Tahoma"/>
        </w:rPr>
        <w:t xml:space="preserve"> </w:t>
      </w:r>
      <w:r>
        <w:rPr>
          <w:rFonts w:ascii="Tahoma" w:hAnsi="Tahoma" w:cs="Tahoma"/>
        </w:rPr>
        <w:t xml:space="preserve">convocada  por el </w:t>
      </w:r>
      <w:r w:rsidRPr="00C663F7">
        <w:rPr>
          <w:rFonts w:ascii="Tahoma" w:hAnsi="Tahoma" w:cs="Tahoma"/>
        </w:rPr>
        <w:t>Poder Judicial</w:t>
      </w:r>
      <w:r>
        <w:rPr>
          <w:rFonts w:ascii="Tahoma" w:hAnsi="Tahoma" w:cs="Tahoma"/>
        </w:rPr>
        <w:t xml:space="preserve">, para la adquisición </w:t>
      </w:r>
      <w:r w:rsidRPr="00C663F7">
        <w:rPr>
          <w:rFonts w:ascii="Tahoma" w:hAnsi="Tahoma" w:cs="Tahoma"/>
        </w:rPr>
        <w:t>de mobiliario para el fortalecimiento de los órganos jurisdiccionales de la Corte Superior de Justicia de Lima</w:t>
      </w:r>
      <w:r w:rsidRPr="00F107B5">
        <w:rPr>
          <w:rFonts w:ascii="Tahoma" w:hAnsi="Tahoma" w:cs="Tahoma"/>
        </w:rPr>
        <w:t>;</w:t>
      </w:r>
      <w:r w:rsidRPr="00F107B5">
        <w:rPr>
          <w:rFonts w:ascii="Tahoma" w:hAnsi="Tahoma" w:cs="Tahoma"/>
          <w:color w:val="000000"/>
        </w:rPr>
        <w:t xml:space="preserve"> y atendiendo a los siguientes:    </w:t>
      </w:r>
    </w:p>
    <w:p w:rsidR="00510EB0" w:rsidRDefault="00510EB0" w:rsidP="00510EB0">
      <w:pPr>
        <w:pStyle w:val="Textoindependiente"/>
        <w:widowControl/>
        <w:tabs>
          <w:tab w:val="left" w:pos="540"/>
        </w:tabs>
        <w:suppressAutoHyphens w:val="0"/>
        <w:rPr>
          <w:rFonts w:cs="Tahoma"/>
          <w:sz w:val="20"/>
        </w:rPr>
      </w:pPr>
    </w:p>
    <w:p w:rsidR="00510EB0" w:rsidRDefault="00510EB0" w:rsidP="00510EB0">
      <w:pPr>
        <w:jc w:val="both"/>
        <w:rPr>
          <w:rFonts w:ascii="Tahoma" w:hAnsi="Tahoma" w:cs="Tahoma"/>
          <w:b/>
          <w:shadow/>
        </w:rPr>
      </w:pPr>
      <w:r w:rsidRPr="00F107B5">
        <w:rPr>
          <w:rFonts w:ascii="Tahoma" w:hAnsi="Tahoma" w:cs="Tahoma"/>
          <w:b/>
          <w:shadow/>
        </w:rPr>
        <w:t>ANTECEDENTES:</w:t>
      </w:r>
    </w:p>
    <w:p w:rsidR="00510EB0" w:rsidRPr="00C663F7" w:rsidRDefault="00510EB0" w:rsidP="00510EB0">
      <w:pPr>
        <w:jc w:val="both"/>
        <w:rPr>
          <w:rFonts w:ascii="Tahoma" w:hAnsi="Tahoma" w:cs="Tahoma"/>
        </w:rPr>
      </w:pPr>
    </w:p>
    <w:p w:rsidR="00510EB0" w:rsidRPr="00C663F7" w:rsidRDefault="00510EB0" w:rsidP="00510EB0">
      <w:pPr>
        <w:numPr>
          <w:ilvl w:val="0"/>
          <w:numId w:val="1"/>
        </w:numPr>
        <w:jc w:val="both"/>
        <w:rPr>
          <w:rFonts w:ascii="Tahoma" w:hAnsi="Tahoma" w:cs="Tahoma"/>
        </w:rPr>
      </w:pPr>
      <w:r w:rsidRPr="00C663F7">
        <w:rPr>
          <w:rFonts w:ascii="Tahoma" w:hAnsi="Tahoma" w:cs="Tahoma"/>
        </w:rPr>
        <w:t xml:space="preserve">El 12 de octubre de 2006, el Poder Judicial convocó a la Adjudicación Directa Selectiva Nº 008-2006-CEP-CSJLI/PJ, para la adquisición de mobiliario para el fortalecimiento de los órganos jurisdiccionales de la Corte Superior de Justicia de Lima.  En el ítem 08 del referido proceso de selección se consignó el bien denominado Armario de madera con 4 gavetas de 1.30x0.50x049 </w:t>
      </w:r>
      <w:proofErr w:type="spellStart"/>
      <w:r w:rsidRPr="00C663F7">
        <w:rPr>
          <w:rFonts w:ascii="Tahoma" w:hAnsi="Tahoma" w:cs="Tahoma"/>
        </w:rPr>
        <w:t>mts</w:t>
      </w:r>
      <w:proofErr w:type="spellEnd"/>
      <w:r w:rsidRPr="00C663F7">
        <w:rPr>
          <w:rFonts w:ascii="Tahoma" w:hAnsi="Tahoma" w:cs="Tahoma"/>
        </w:rPr>
        <w:t>. con un valor referencial ascendente a S/. 1 200,00 (Mil doscientos con 00/100 Nuevos Soles).</w:t>
      </w:r>
    </w:p>
    <w:p w:rsidR="00510EB0" w:rsidRPr="00C663F7" w:rsidRDefault="00510EB0" w:rsidP="00510EB0">
      <w:pPr>
        <w:ind w:left="360"/>
        <w:jc w:val="both"/>
        <w:rPr>
          <w:rFonts w:ascii="Tahoma" w:hAnsi="Tahoma" w:cs="Tahoma"/>
        </w:rPr>
      </w:pPr>
    </w:p>
    <w:p w:rsidR="00510EB0" w:rsidRPr="00C663F7" w:rsidRDefault="00510EB0" w:rsidP="00510EB0">
      <w:pPr>
        <w:numPr>
          <w:ilvl w:val="0"/>
          <w:numId w:val="1"/>
        </w:numPr>
        <w:jc w:val="both"/>
        <w:rPr>
          <w:rFonts w:ascii="Tahoma" w:hAnsi="Tahoma" w:cs="Tahoma"/>
        </w:rPr>
      </w:pPr>
      <w:r w:rsidRPr="00C663F7">
        <w:rPr>
          <w:rFonts w:ascii="Tahoma" w:hAnsi="Tahoma" w:cs="Tahoma"/>
        </w:rPr>
        <w:t xml:space="preserve">El 26 de octubre de 2006 se llevó a cabo el acto privado de presentación de propuestas, con la participación de </w:t>
      </w:r>
      <w:proofErr w:type="spellStart"/>
      <w:r w:rsidRPr="00C663F7">
        <w:rPr>
          <w:rFonts w:ascii="Tahoma" w:hAnsi="Tahoma" w:cs="Tahoma"/>
        </w:rPr>
        <w:t>Wilmer</w:t>
      </w:r>
      <w:proofErr w:type="spellEnd"/>
      <w:r w:rsidRPr="00C663F7">
        <w:rPr>
          <w:rFonts w:ascii="Tahoma" w:hAnsi="Tahoma" w:cs="Tahoma"/>
        </w:rPr>
        <w:t xml:space="preserve"> David Quintana Villanueva, en adelante el Postor, quien se presentó como participante en los ítems </w:t>
      </w:r>
      <w:proofErr w:type="spellStart"/>
      <w:r w:rsidRPr="00C663F7">
        <w:rPr>
          <w:rFonts w:ascii="Tahoma" w:hAnsi="Tahoma" w:cs="Tahoma"/>
        </w:rPr>
        <w:t>Nros</w:t>
      </w:r>
      <w:proofErr w:type="spellEnd"/>
      <w:r w:rsidRPr="00C663F7">
        <w:rPr>
          <w:rFonts w:ascii="Tahoma" w:hAnsi="Tahoma" w:cs="Tahoma"/>
        </w:rPr>
        <w:t xml:space="preserve"> 06,07 y 08, siendo adjudicado con la buena pro en el ítem 08 del referido proceso.</w:t>
      </w:r>
    </w:p>
    <w:p w:rsidR="00510EB0" w:rsidRPr="00C663F7" w:rsidRDefault="00510EB0" w:rsidP="00510EB0">
      <w:pPr>
        <w:ind w:left="360"/>
        <w:jc w:val="both"/>
        <w:rPr>
          <w:rFonts w:ascii="Tahoma" w:hAnsi="Tahoma" w:cs="Tahoma"/>
        </w:rPr>
      </w:pPr>
    </w:p>
    <w:p w:rsidR="00510EB0" w:rsidRPr="00C663F7" w:rsidRDefault="00510EB0" w:rsidP="00510EB0">
      <w:pPr>
        <w:numPr>
          <w:ilvl w:val="0"/>
          <w:numId w:val="1"/>
        </w:numPr>
        <w:jc w:val="both"/>
        <w:rPr>
          <w:rFonts w:ascii="Tahoma" w:hAnsi="Tahoma" w:cs="Tahoma"/>
        </w:rPr>
      </w:pPr>
      <w:r w:rsidRPr="00C663F7">
        <w:rPr>
          <w:rFonts w:ascii="Tahoma" w:hAnsi="Tahoma" w:cs="Tahoma"/>
        </w:rPr>
        <w:t>Con fecha 16 de noviembre de 2006, mediante carta Nº157-2006-A-CSJLI/PJ, la Entidad citó al postor para la suscripción del contrato correspondiente dentro del plazo de diez (10) días hábiles, debiendo para ello remitir la documentación correspondiente.</w:t>
      </w:r>
    </w:p>
    <w:p w:rsidR="00510EB0" w:rsidRPr="00C663F7" w:rsidRDefault="00510EB0" w:rsidP="00510EB0">
      <w:pPr>
        <w:ind w:left="360"/>
        <w:jc w:val="both"/>
        <w:rPr>
          <w:rFonts w:ascii="Tahoma" w:hAnsi="Tahoma" w:cs="Tahoma"/>
        </w:rPr>
      </w:pPr>
    </w:p>
    <w:p w:rsidR="00510EB0" w:rsidRPr="00C663F7" w:rsidRDefault="00510EB0" w:rsidP="00510EB0">
      <w:pPr>
        <w:numPr>
          <w:ilvl w:val="0"/>
          <w:numId w:val="1"/>
        </w:numPr>
        <w:jc w:val="both"/>
        <w:rPr>
          <w:rFonts w:ascii="Tahoma" w:hAnsi="Tahoma" w:cs="Tahoma"/>
        </w:rPr>
      </w:pPr>
      <w:r w:rsidRPr="00C663F7">
        <w:rPr>
          <w:rFonts w:ascii="Tahoma" w:hAnsi="Tahoma" w:cs="Tahoma"/>
        </w:rPr>
        <w:t>El 28 de noviembre de 2006, mediante carta S/N el Postor comunicó a la Entidad su desistimiento a la Buena Pro, aduciendo motivos netamente personales.</w:t>
      </w:r>
    </w:p>
    <w:p w:rsidR="00510EB0" w:rsidRPr="00C663F7" w:rsidRDefault="00510EB0" w:rsidP="00510EB0">
      <w:pPr>
        <w:jc w:val="both"/>
        <w:rPr>
          <w:rFonts w:ascii="Tahoma" w:hAnsi="Tahoma" w:cs="Tahoma"/>
        </w:rPr>
      </w:pPr>
    </w:p>
    <w:p w:rsidR="00510EB0" w:rsidRPr="00C663F7" w:rsidRDefault="00510EB0" w:rsidP="00510EB0">
      <w:pPr>
        <w:numPr>
          <w:ilvl w:val="0"/>
          <w:numId w:val="1"/>
        </w:numPr>
        <w:jc w:val="both"/>
        <w:rPr>
          <w:rFonts w:ascii="Tahoma" w:hAnsi="Tahoma" w:cs="Tahoma"/>
        </w:rPr>
      </w:pPr>
      <w:r w:rsidRPr="00C663F7">
        <w:rPr>
          <w:rFonts w:ascii="Tahoma" w:hAnsi="Tahoma" w:cs="Tahoma"/>
        </w:rPr>
        <w:t>El 14 de febrero de 2007, la Entidad solicitó al Tribunal de Contrataciones y Adquisiciones del Estado que imponga sanción administrativa al Postor por la  no suscripción de contrato durante el proceso de selección de la referencia.</w:t>
      </w:r>
    </w:p>
    <w:p w:rsidR="00510EB0" w:rsidRPr="00C663F7" w:rsidRDefault="00510EB0" w:rsidP="00510EB0">
      <w:pPr>
        <w:ind w:left="360"/>
        <w:jc w:val="both"/>
        <w:rPr>
          <w:rFonts w:ascii="Tahoma" w:hAnsi="Tahoma" w:cs="Tahoma"/>
        </w:rPr>
      </w:pPr>
    </w:p>
    <w:p w:rsidR="00510EB0" w:rsidRPr="00C663F7" w:rsidRDefault="00510EB0" w:rsidP="00510EB0">
      <w:pPr>
        <w:numPr>
          <w:ilvl w:val="0"/>
          <w:numId w:val="1"/>
        </w:numPr>
        <w:jc w:val="both"/>
        <w:rPr>
          <w:rFonts w:ascii="Tahoma" w:hAnsi="Tahoma" w:cs="Tahoma"/>
        </w:rPr>
      </w:pPr>
      <w:r w:rsidRPr="00C663F7">
        <w:rPr>
          <w:rFonts w:ascii="Tahoma" w:hAnsi="Tahoma" w:cs="Tahoma"/>
        </w:rPr>
        <w:t xml:space="preserve">El 15 de febrero de 2007, el Tribunal a fin de iniciar de ser el caso el correspondiente procedimiento administrativo sancionador, requirió a la Entidad cumpla con remitir entre otros los siguientes documentos; informe técnico o legal de su asesoría sobre la procedencia y supuesta responsabilidad en la que habría incurrido el señor </w:t>
      </w:r>
      <w:proofErr w:type="spellStart"/>
      <w:r w:rsidRPr="00C663F7">
        <w:rPr>
          <w:rFonts w:ascii="Tahoma" w:hAnsi="Tahoma" w:cs="Tahoma"/>
        </w:rPr>
        <w:t>Wilmer</w:t>
      </w:r>
      <w:proofErr w:type="spellEnd"/>
      <w:r w:rsidRPr="00C663F7">
        <w:rPr>
          <w:rFonts w:ascii="Tahoma" w:hAnsi="Tahoma" w:cs="Tahoma"/>
        </w:rPr>
        <w:t xml:space="preserve"> David Quintana Villanueva, además de remitir los antecedentes administrativos.</w:t>
      </w:r>
    </w:p>
    <w:p w:rsidR="00510EB0" w:rsidRPr="00C663F7" w:rsidRDefault="00510EB0" w:rsidP="00510EB0">
      <w:pPr>
        <w:pStyle w:val="Prrafodelista"/>
        <w:rPr>
          <w:rFonts w:ascii="Tahoma" w:hAnsi="Tahoma" w:cs="Tahoma"/>
          <w:sz w:val="20"/>
          <w:szCs w:val="20"/>
        </w:rPr>
      </w:pPr>
    </w:p>
    <w:p w:rsidR="00510EB0" w:rsidRPr="00C663F7" w:rsidRDefault="00510EB0" w:rsidP="00510EB0">
      <w:pPr>
        <w:numPr>
          <w:ilvl w:val="0"/>
          <w:numId w:val="1"/>
        </w:numPr>
        <w:jc w:val="both"/>
        <w:rPr>
          <w:rFonts w:ascii="Tahoma" w:hAnsi="Tahoma" w:cs="Tahoma"/>
        </w:rPr>
      </w:pPr>
      <w:r w:rsidRPr="00C663F7">
        <w:rPr>
          <w:rFonts w:ascii="Tahoma" w:hAnsi="Tahoma" w:cs="Tahoma"/>
        </w:rPr>
        <w:t>El 14 de marzo de 2007, la Entidad mediante oficio Nº 051-2007-OAL-GG-PJ cumple con remitir la documentación solicitada mediante decreto del 15 de febrero de 2007.</w:t>
      </w:r>
    </w:p>
    <w:p w:rsidR="00510EB0" w:rsidRPr="00C663F7" w:rsidRDefault="00510EB0" w:rsidP="00510EB0">
      <w:pPr>
        <w:pStyle w:val="Prrafodelista"/>
        <w:rPr>
          <w:rFonts w:ascii="Tahoma" w:hAnsi="Tahoma" w:cs="Tahoma"/>
          <w:sz w:val="20"/>
          <w:szCs w:val="20"/>
        </w:rPr>
      </w:pPr>
    </w:p>
    <w:p w:rsidR="00510EB0" w:rsidRPr="00C663F7" w:rsidRDefault="00510EB0" w:rsidP="00510EB0">
      <w:pPr>
        <w:numPr>
          <w:ilvl w:val="0"/>
          <w:numId w:val="1"/>
        </w:numPr>
        <w:jc w:val="both"/>
        <w:rPr>
          <w:rFonts w:ascii="Tahoma" w:hAnsi="Tahoma" w:cs="Tahoma"/>
        </w:rPr>
      </w:pPr>
      <w:r w:rsidRPr="00C663F7">
        <w:rPr>
          <w:rFonts w:ascii="Tahoma" w:hAnsi="Tahoma" w:cs="Tahoma"/>
        </w:rPr>
        <w:t xml:space="preserve"> El 16 de marzo de 2007, el Tribunal inició procedimiento administrativo sancionador al Postor por supuesta comisión de la infracción tipificada en el numeral 1) del artículo 294 del Reglamento de la Ley de Contrataciones y Adquisiciones del Estado, aprobado por Decreto Supremo N.° 084-2004-PCM, y lo emplazó para que formule sus descargos.</w:t>
      </w:r>
    </w:p>
    <w:p w:rsidR="00510EB0" w:rsidRPr="00C663F7" w:rsidRDefault="00510EB0" w:rsidP="00510EB0">
      <w:pPr>
        <w:jc w:val="both"/>
        <w:rPr>
          <w:rFonts w:ascii="Tahoma" w:hAnsi="Tahoma" w:cs="Tahoma"/>
        </w:rPr>
      </w:pPr>
    </w:p>
    <w:p w:rsidR="00510EB0" w:rsidRPr="00C663F7" w:rsidRDefault="00510EB0" w:rsidP="00510EB0">
      <w:pPr>
        <w:numPr>
          <w:ilvl w:val="0"/>
          <w:numId w:val="1"/>
        </w:numPr>
        <w:jc w:val="both"/>
        <w:rPr>
          <w:rFonts w:ascii="Tahoma" w:hAnsi="Tahoma" w:cs="Tahoma"/>
        </w:rPr>
      </w:pPr>
      <w:r w:rsidRPr="00C663F7">
        <w:rPr>
          <w:rFonts w:ascii="Tahoma" w:hAnsi="Tahoma" w:cs="Tahoma"/>
        </w:rPr>
        <w:t>El 12 de abril de 2007, vista la razón expuesta por la Secretaría del Tribunal y no habiendo cumplido el Postor con presentar sus descargos y obrando en autos los antecedentes administrativos remitidos por la Entidad, se hizo efectivo el apercibimiento de resolver con la documentación obrante en autos, remitiéndose el expediente a la Tercera Sala del Tribunal para que resuelva.</w:t>
      </w:r>
    </w:p>
    <w:p w:rsidR="00510EB0" w:rsidRDefault="00510EB0" w:rsidP="00510EB0">
      <w:pPr>
        <w:pStyle w:val="NormalWeb"/>
        <w:tabs>
          <w:tab w:val="num" w:pos="900"/>
        </w:tabs>
        <w:spacing w:before="0" w:beforeAutospacing="0" w:after="0" w:afterAutospacing="0"/>
        <w:ind w:left="360"/>
        <w:jc w:val="both"/>
        <w:rPr>
          <w:rFonts w:ascii="Tahoma" w:hAnsi="Tahoma" w:cs="Tahoma"/>
          <w:sz w:val="20"/>
          <w:szCs w:val="20"/>
        </w:rPr>
      </w:pPr>
    </w:p>
    <w:p w:rsidR="00510EB0" w:rsidRDefault="00510EB0" w:rsidP="00510EB0">
      <w:pPr>
        <w:jc w:val="both"/>
        <w:rPr>
          <w:rFonts w:ascii="Tahoma" w:hAnsi="Tahoma" w:cs="Tahoma"/>
          <w:b/>
          <w:shadow/>
        </w:rPr>
      </w:pPr>
      <w:r w:rsidRPr="00F107B5">
        <w:rPr>
          <w:rFonts w:ascii="Tahoma" w:hAnsi="Tahoma" w:cs="Tahoma"/>
          <w:b/>
          <w:shadow/>
        </w:rPr>
        <w:t>FUNDAMENTACIÓN:</w:t>
      </w:r>
    </w:p>
    <w:p w:rsidR="00510EB0" w:rsidRPr="00C663F7" w:rsidRDefault="00510EB0" w:rsidP="00510EB0">
      <w:pPr>
        <w:jc w:val="both"/>
        <w:rPr>
          <w:rFonts w:ascii="Tahoma" w:hAnsi="Tahoma" w:cs="Tahoma"/>
        </w:rPr>
      </w:pPr>
    </w:p>
    <w:p w:rsidR="00510EB0" w:rsidRPr="00C663F7" w:rsidRDefault="00510EB0" w:rsidP="00510EB0">
      <w:pPr>
        <w:numPr>
          <w:ilvl w:val="0"/>
          <w:numId w:val="2"/>
        </w:numPr>
        <w:tabs>
          <w:tab w:val="num" w:pos="454"/>
        </w:tabs>
        <w:jc w:val="both"/>
        <w:rPr>
          <w:rFonts w:ascii="Tahoma" w:hAnsi="Tahoma" w:cs="Tahoma"/>
        </w:rPr>
      </w:pPr>
      <w:r w:rsidRPr="00C663F7">
        <w:rPr>
          <w:rFonts w:ascii="Tahoma" w:hAnsi="Tahoma" w:cs="Tahoma"/>
          <w:lang w:val="es-ES_tradnl"/>
        </w:rPr>
        <w:t xml:space="preserve">El presente caso está referido a la imputación formulada contra el Postor WILMER DAVID QUINTANA VILLANUEVA. por su supuesta responsabilidad en la no suscripción de contrato, a pesar de haber resultado ganador de la buena pro del ítem 08 de la </w:t>
      </w:r>
      <w:r w:rsidRPr="00C663F7">
        <w:rPr>
          <w:rFonts w:ascii="Tahoma" w:hAnsi="Tahoma" w:cs="Tahoma"/>
        </w:rPr>
        <w:t>Adjudicación Directa Selectiva Nº 008-2006-CEP-CSJLI/PJ, convocada para la adquisición de mobiliario para el fortalecimiento de Órganos Jurisdiccionales de la Corte Superior de Justicia de Lima- Poder Judicial, infracción tipificada en el numeral 1) del artículo 294 del Reglamento de la Ley de Contrataciones y Adquisiciones del Estado, aprobado por Decreto Supremo N.° 084-2004-PCM, en adelante el Reglamento, norma vigente durante la ocurrencia de los hechos.</w:t>
      </w:r>
    </w:p>
    <w:p w:rsidR="00510EB0" w:rsidRPr="00C663F7" w:rsidRDefault="00510EB0" w:rsidP="00510EB0">
      <w:pPr>
        <w:ind w:left="360"/>
        <w:jc w:val="both"/>
        <w:rPr>
          <w:rFonts w:ascii="Tahoma" w:hAnsi="Tahoma" w:cs="Tahoma"/>
        </w:rPr>
      </w:pPr>
    </w:p>
    <w:p w:rsidR="00510EB0" w:rsidRPr="00C663F7" w:rsidRDefault="00510EB0" w:rsidP="00510EB0">
      <w:pPr>
        <w:numPr>
          <w:ilvl w:val="0"/>
          <w:numId w:val="2"/>
        </w:numPr>
        <w:tabs>
          <w:tab w:val="num" w:pos="454"/>
        </w:tabs>
        <w:jc w:val="both"/>
        <w:rPr>
          <w:rFonts w:ascii="Tahoma" w:hAnsi="Tahoma" w:cs="Tahoma"/>
        </w:rPr>
      </w:pPr>
      <w:r w:rsidRPr="00C663F7">
        <w:rPr>
          <w:rFonts w:ascii="Tahoma" w:hAnsi="Tahoma" w:cs="Tahoma"/>
        </w:rPr>
        <w:t>En forma previa al análisis de la supuesta responsabilidad del Postor, corresponde determinar si la adquisición realizada se encuentra dentro de los alcances de la normativa de contrataciones y adquisiciones del Estado, puesto que el monto de la adquisición del Armario de dos puertas batientes de 1.80x0.90x0.40mts correspondiente al ítem 08, es menor a una Unidad Impositiva Tributaria y, como consecuencia de ello, establecer si este Tribunal es competente para emitir su pronunciamiento respecto a la imputación formulada contra el Postor.</w:t>
      </w:r>
    </w:p>
    <w:p w:rsidR="00510EB0" w:rsidRPr="00C663F7" w:rsidRDefault="00510EB0" w:rsidP="00510EB0">
      <w:pPr>
        <w:jc w:val="both"/>
        <w:rPr>
          <w:rFonts w:ascii="Tahoma" w:hAnsi="Tahoma" w:cs="Tahoma"/>
        </w:rPr>
      </w:pPr>
    </w:p>
    <w:p w:rsidR="00510EB0" w:rsidRPr="00C663F7" w:rsidRDefault="00510EB0" w:rsidP="00510EB0">
      <w:pPr>
        <w:numPr>
          <w:ilvl w:val="0"/>
          <w:numId w:val="2"/>
        </w:numPr>
        <w:tabs>
          <w:tab w:val="num" w:pos="454"/>
        </w:tabs>
        <w:jc w:val="both"/>
        <w:rPr>
          <w:rFonts w:ascii="Tahoma" w:hAnsi="Tahoma" w:cs="Tahoma"/>
        </w:rPr>
      </w:pPr>
      <w:r w:rsidRPr="00C663F7">
        <w:rPr>
          <w:rFonts w:ascii="Tahoma" w:hAnsi="Tahoma" w:cs="Tahoma"/>
        </w:rPr>
        <w:t>En ese sentido, cabe señalar que en casos de procesos de selección según relación de ítems, cada uno de los ítems constituye un proceso menor dentro del proceso de selección principal, de conformidad a lo establecido en el artículo 79 del mencionado Reglamento, siéndoles aplicables las reglas correspondientes al proceso principal, con las excepciones previstas en el Reglamento.</w:t>
      </w:r>
    </w:p>
    <w:p w:rsidR="00510EB0" w:rsidRPr="00C663F7" w:rsidRDefault="00510EB0" w:rsidP="00510EB0">
      <w:pPr>
        <w:jc w:val="both"/>
        <w:rPr>
          <w:rFonts w:ascii="Tahoma" w:hAnsi="Tahoma" w:cs="Tahoma"/>
        </w:rPr>
      </w:pPr>
    </w:p>
    <w:p w:rsidR="00510EB0" w:rsidRPr="00C663F7" w:rsidRDefault="00510EB0" w:rsidP="00510EB0">
      <w:pPr>
        <w:numPr>
          <w:ilvl w:val="0"/>
          <w:numId w:val="2"/>
        </w:numPr>
        <w:tabs>
          <w:tab w:val="num" w:pos="454"/>
        </w:tabs>
        <w:jc w:val="both"/>
        <w:rPr>
          <w:rFonts w:ascii="Tahoma" w:hAnsi="Tahoma" w:cs="Tahoma"/>
        </w:rPr>
      </w:pPr>
      <w:r w:rsidRPr="00C663F7">
        <w:rPr>
          <w:rFonts w:ascii="Tahoma" w:hAnsi="Tahoma" w:cs="Tahoma"/>
        </w:rPr>
        <w:t>Atendiendo a lo expuesto, resulta conveniente mencionar que el literal g) del numeral 2.3 del artículo 2 del Texto Único Ordenado de la Ley de Contrataciones y Adquisiciones del Estado, aprobado por Decreto Supremo N.° 083-2004-PCM ha contemplado los supuestos de hecho en los cuales dicho cuerpo legal resulta inaplicable. Entre dichos supuestos se encuentra el referido a las adquisiciones y contrataciones cuyos montos sean iguales o inferiores a una Unidad Impositiva Tributaria vigente al momento de la transacción.</w:t>
      </w:r>
    </w:p>
    <w:p w:rsidR="00510EB0" w:rsidRPr="00C663F7" w:rsidRDefault="00510EB0" w:rsidP="00510EB0">
      <w:pPr>
        <w:pStyle w:val="Prrafodelista"/>
        <w:rPr>
          <w:rFonts w:ascii="Tahoma" w:hAnsi="Tahoma" w:cs="Tahoma"/>
          <w:sz w:val="20"/>
          <w:szCs w:val="20"/>
        </w:rPr>
      </w:pPr>
    </w:p>
    <w:p w:rsidR="00510EB0" w:rsidRPr="00C663F7" w:rsidRDefault="00510EB0" w:rsidP="00510EB0">
      <w:pPr>
        <w:numPr>
          <w:ilvl w:val="0"/>
          <w:numId w:val="2"/>
        </w:numPr>
        <w:tabs>
          <w:tab w:val="num" w:pos="454"/>
        </w:tabs>
        <w:jc w:val="both"/>
        <w:rPr>
          <w:rFonts w:ascii="Tahoma" w:hAnsi="Tahoma" w:cs="Tahoma"/>
        </w:rPr>
      </w:pPr>
      <w:r w:rsidRPr="00C663F7">
        <w:rPr>
          <w:rFonts w:ascii="Tahoma" w:hAnsi="Tahoma" w:cs="Tahoma"/>
        </w:rPr>
        <w:t xml:space="preserve">Fluye de los antecedentes reseñados que el monto de la adquisición del bien armario de dos puertas batientes de 1.80 X 0.90 x 0.40 </w:t>
      </w:r>
      <w:proofErr w:type="spellStart"/>
      <w:r w:rsidRPr="00C663F7">
        <w:rPr>
          <w:rFonts w:ascii="Tahoma" w:hAnsi="Tahoma" w:cs="Tahoma"/>
        </w:rPr>
        <w:t>mts</w:t>
      </w:r>
      <w:proofErr w:type="spellEnd"/>
      <w:r w:rsidRPr="00C663F7">
        <w:rPr>
          <w:rFonts w:ascii="Tahoma" w:hAnsi="Tahoma" w:cs="Tahoma"/>
        </w:rPr>
        <w:t>. es menor a una Unidad Impositiva Tributaria (S/. 1 200.00 Nuevos Soles); motivo por el cual se colige que dicha adquisición se encuentra fuera de los alcances de la normativa de contrataciones y adquisiciones del Estado.</w:t>
      </w:r>
    </w:p>
    <w:p w:rsidR="00510EB0" w:rsidRPr="00C663F7" w:rsidRDefault="00510EB0" w:rsidP="00510EB0">
      <w:pPr>
        <w:jc w:val="both"/>
        <w:rPr>
          <w:rFonts w:ascii="Tahoma" w:hAnsi="Tahoma" w:cs="Tahoma"/>
        </w:rPr>
      </w:pPr>
    </w:p>
    <w:p w:rsidR="00510EB0" w:rsidRPr="00C663F7" w:rsidRDefault="00510EB0" w:rsidP="00510EB0">
      <w:pPr>
        <w:numPr>
          <w:ilvl w:val="0"/>
          <w:numId w:val="2"/>
        </w:numPr>
        <w:tabs>
          <w:tab w:val="num" w:pos="454"/>
        </w:tabs>
        <w:jc w:val="both"/>
        <w:rPr>
          <w:rFonts w:ascii="Tahoma" w:hAnsi="Tahoma" w:cs="Tahoma"/>
          <w:color w:val="000000"/>
        </w:rPr>
      </w:pPr>
      <w:r w:rsidRPr="00C663F7">
        <w:rPr>
          <w:rFonts w:ascii="Tahoma" w:hAnsi="Tahoma" w:cs="Tahoma"/>
        </w:rPr>
        <w:t>En consecuencia, no corresponde evaluar la existencia de eventuales responsabilidades administrativas por parte del Postor en el caso que nos ocupa, toda vez que al no ser de aplicación la Ley de Contrataciones y Adquisiciones del Estado y su Reglamento, este Tribunal carece de competencia para pronunciarse sobre los hechos expuestos precedentemente.</w:t>
      </w:r>
    </w:p>
    <w:p w:rsidR="00510EB0" w:rsidRPr="00FF299F" w:rsidRDefault="00510EB0" w:rsidP="00510EB0">
      <w:pPr>
        <w:ind w:left="900" w:hanging="720"/>
        <w:jc w:val="both"/>
        <w:rPr>
          <w:rFonts w:ascii="Tahoma" w:hAnsi="Tahoma" w:cs="Tahoma"/>
        </w:rPr>
      </w:pPr>
    </w:p>
    <w:p w:rsidR="00510EB0" w:rsidRPr="00F107B5" w:rsidRDefault="00510EB0" w:rsidP="00510EB0">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510EB0" w:rsidRPr="00F107B5" w:rsidRDefault="00510EB0" w:rsidP="00510EB0">
      <w:pPr>
        <w:tabs>
          <w:tab w:val="num" w:pos="360"/>
        </w:tabs>
        <w:ind w:left="-180" w:firstLine="180"/>
        <w:jc w:val="both"/>
        <w:rPr>
          <w:rFonts w:ascii="Tahoma" w:hAnsi="Tahoma" w:cs="Tahoma"/>
          <w:b/>
          <w:shadow/>
        </w:rPr>
      </w:pPr>
    </w:p>
    <w:p w:rsidR="00510EB0" w:rsidRPr="00F107B5" w:rsidRDefault="00510EB0" w:rsidP="00510EB0">
      <w:pPr>
        <w:tabs>
          <w:tab w:val="num" w:pos="360"/>
        </w:tabs>
        <w:ind w:left="-180" w:firstLine="180"/>
        <w:jc w:val="both"/>
        <w:rPr>
          <w:rFonts w:ascii="Tahoma" w:hAnsi="Tahoma" w:cs="Tahoma"/>
          <w:b/>
          <w:shadow/>
        </w:rPr>
      </w:pPr>
      <w:r w:rsidRPr="00F107B5">
        <w:rPr>
          <w:rFonts w:ascii="Tahoma" w:hAnsi="Tahoma" w:cs="Tahoma"/>
          <w:b/>
          <w:shadow/>
        </w:rPr>
        <w:t>LA SALA RESUELVE:</w:t>
      </w:r>
    </w:p>
    <w:p w:rsidR="00510EB0" w:rsidRDefault="00510EB0" w:rsidP="00510EB0">
      <w:pPr>
        <w:jc w:val="both"/>
        <w:rPr>
          <w:rFonts w:ascii="Tahoma" w:hAnsi="Tahoma" w:cs="Tahoma"/>
          <w:b/>
          <w:shadow/>
        </w:rPr>
      </w:pPr>
    </w:p>
    <w:p w:rsidR="00510EB0" w:rsidRPr="00D52AF9" w:rsidRDefault="00510EB0" w:rsidP="00510EB0">
      <w:pPr>
        <w:jc w:val="both"/>
        <w:rPr>
          <w:rFonts w:ascii="Tahoma" w:hAnsi="Tahoma" w:cs="Tahoma"/>
          <w:b/>
          <w:shadow/>
        </w:rPr>
      </w:pPr>
    </w:p>
    <w:p w:rsidR="00510EB0" w:rsidRPr="00D52AF9" w:rsidRDefault="00510EB0" w:rsidP="00510EB0">
      <w:pPr>
        <w:tabs>
          <w:tab w:val="num" w:pos="540"/>
        </w:tabs>
        <w:ind w:left="540" w:hanging="540"/>
        <w:jc w:val="both"/>
        <w:rPr>
          <w:rFonts w:ascii="Tahoma" w:hAnsi="Tahoma" w:cs="Tahoma"/>
        </w:rPr>
      </w:pPr>
      <w:r w:rsidRPr="00D52AF9">
        <w:rPr>
          <w:rFonts w:ascii="Tahoma" w:hAnsi="Tahoma" w:cs="Tahoma"/>
          <w:b/>
        </w:rPr>
        <w:t>1.</w:t>
      </w:r>
      <w:r w:rsidRPr="00D52AF9">
        <w:rPr>
          <w:rFonts w:ascii="Tahoma" w:hAnsi="Tahoma" w:cs="Tahoma"/>
          <w:b/>
        </w:rPr>
        <w:tab/>
      </w:r>
      <w:r w:rsidRPr="00C663F7">
        <w:rPr>
          <w:rFonts w:ascii="Tahoma" w:hAnsi="Tahoma" w:cs="Tahoma"/>
          <w:lang w:val="es-PE"/>
        </w:rPr>
        <w:t xml:space="preserve">Declarar que este Tribunal carece de competencia para pronunciarse respecto a la supuesta responsabilidad del Postor </w:t>
      </w:r>
      <w:proofErr w:type="spellStart"/>
      <w:r w:rsidRPr="00612EBB">
        <w:rPr>
          <w:rFonts w:ascii="Tahoma" w:hAnsi="Tahoma" w:cs="Tahoma"/>
          <w:b/>
          <w:lang w:val="es-PE"/>
        </w:rPr>
        <w:t>Wilmer</w:t>
      </w:r>
      <w:proofErr w:type="spellEnd"/>
      <w:r w:rsidRPr="00612EBB">
        <w:rPr>
          <w:rFonts w:ascii="Tahoma" w:hAnsi="Tahoma" w:cs="Tahoma"/>
          <w:b/>
          <w:lang w:val="es-PE"/>
        </w:rPr>
        <w:t xml:space="preserve"> David Quintana Villanueva</w:t>
      </w:r>
      <w:r>
        <w:rPr>
          <w:rFonts w:ascii="Tahoma" w:hAnsi="Tahoma" w:cs="Tahoma"/>
          <w:b/>
          <w:lang w:val="es-PE"/>
        </w:rPr>
        <w:t>,</w:t>
      </w:r>
      <w:r w:rsidRPr="00C663F7">
        <w:rPr>
          <w:rFonts w:ascii="Tahoma" w:hAnsi="Tahoma" w:cs="Tahoma"/>
          <w:lang w:val="es-PE"/>
        </w:rPr>
        <w:t xml:space="preserve"> por la supuesta responsabilidad </w:t>
      </w:r>
      <w:r>
        <w:rPr>
          <w:rFonts w:ascii="Tahoma" w:hAnsi="Tahoma" w:cs="Tahoma"/>
          <w:lang w:val="es-PE"/>
        </w:rPr>
        <w:t>en</w:t>
      </w:r>
      <w:r w:rsidRPr="00C663F7">
        <w:rPr>
          <w:rFonts w:ascii="Tahoma" w:hAnsi="Tahoma" w:cs="Tahoma"/>
          <w:lang w:val="es-PE"/>
        </w:rPr>
        <w:t xml:space="preserve"> la no suscripción de contrato durante la </w:t>
      </w:r>
      <w:r w:rsidRPr="00C663F7">
        <w:rPr>
          <w:rFonts w:ascii="Tahoma" w:hAnsi="Tahoma" w:cs="Tahoma"/>
        </w:rPr>
        <w:t>Adjudicación Directa Selectiva Nº008-2006-CEP-CSJLI/PJ</w:t>
      </w:r>
      <w:r w:rsidRPr="00C663F7">
        <w:rPr>
          <w:rFonts w:ascii="Tahoma" w:hAnsi="Tahoma" w:cs="Tahoma"/>
          <w:lang w:val="es-PE"/>
        </w:rPr>
        <w:t>; sin perjuicio de las acciones que la Entidad estime por conveniente adoptar en salvaguarda de sus intereses</w:t>
      </w:r>
      <w:r w:rsidRPr="00D52AF9">
        <w:rPr>
          <w:rFonts w:ascii="Tahoma" w:hAnsi="Tahoma" w:cs="Tahoma"/>
        </w:rPr>
        <w:t>.</w:t>
      </w:r>
    </w:p>
    <w:p w:rsidR="00510EB0" w:rsidRDefault="00510EB0" w:rsidP="00510EB0">
      <w:pPr>
        <w:pStyle w:val="Textoindependiente21"/>
        <w:rPr>
          <w:rFonts w:cs="Tahoma"/>
          <w:sz w:val="20"/>
        </w:rPr>
      </w:pPr>
    </w:p>
    <w:p w:rsidR="00510EB0" w:rsidRPr="00F107B5" w:rsidRDefault="00510EB0" w:rsidP="00510EB0">
      <w:pPr>
        <w:pStyle w:val="Textoindependiente21"/>
        <w:ind w:firstLine="360"/>
        <w:rPr>
          <w:rFonts w:cs="Tahoma"/>
          <w:sz w:val="20"/>
        </w:rPr>
      </w:pPr>
      <w:r w:rsidRPr="00F107B5">
        <w:rPr>
          <w:rFonts w:cs="Tahoma"/>
          <w:sz w:val="20"/>
        </w:rPr>
        <w:t>Regístrese, comuníquese y publíquese.</w:t>
      </w:r>
    </w:p>
    <w:p w:rsidR="00510EB0" w:rsidRPr="00F107B5" w:rsidRDefault="00510EB0" w:rsidP="00510EB0">
      <w:pPr>
        <w:jc w:val="center"/>
        <w:rPr>
          <w:rFonts w:ascii="Tahoma" w:hAnsi="Tahoma" w:cs="Tahoma"/>
          <w:b/>
          <w:lang w:val="es-ES_tradnl"/>
        </w:rPr>
      </w:pPr>
    </w:p>
    <w:p w:rsidR="00510EB0" w:rsidRDefault="00510EB0" w:rsidP="00510EB0">
      <w:pPr>
        <w:jc w:val="center"/>
        <w:rPr>
          <w:rFonts w:ascii="Tahoma" w:hAnsi="Tahoma" w:cs="Tahoma"/>
          <w:b/>
        </w:rPr>
      </w:pPr>
    </w:p>
    <w:p w:rsidR="00510EB0" w:rsidRDefault="00510EB0" w:rsidP="00510EB0">
      <w:pPr>
        <w:jc w:val="center"/>
        <w:rPr>
          <w:rFonts w:ascii="Tahoma" w:hAnsi="Tahoma" w:cs="Tahoma"/>
          <w:b/>
        </w:rPr>
      </w:pPr>
    </w:p>
    <w:p w:rsidR="00510EB0" w:rsidRDefault="00510EB0" w:rsidP="00510EB0">
      <w:pPr>
        <w:jc w:val="center"/>
        <w:rPr>
          <w:rFonts w:ascii="Tahoma" w:hAnsi="Tahoma" w:cs="Tahoma"/>
          <w:b/>
        </w:rPr>
      </w:pPr>
    </w:p>
    <w:p w:rsidR="00510EB0" w:rsidRPr="00F107B5" w:rsidRDefault="00510EB0" w:rsidP="00510EB0">
      <w:pPr>
        <w:jc w:val="center"/>
        <w:rPr>
          <w:rFonts w:ascii="Tahoma" w:hAnsi="Tahoma" w:cs="Tahoma"/>
          <w:b/>
        </w:rPr>
      </w:pPr>
    </w:p>
    <w:p w:rsidR="00510EB0" w:rsidRPr="00F107B5" w:rsidRDefault="00510EB0" w:rsidP="00510EB0">
      <w:pPr>
        <w:jc w:val="center"/>
        <w:rPr>
          <w:rFonts w:ascii="Tahoma" w:hAnsi="Tahoma" w:cs="Tahoma"/>
          <w:b/>
        </w:rPr>
      </w:pPr>
    </w:p>
    <w:p w:rsidR="00510EB0" w:rsidRPr="00F107B5" w:rsidRDefault="00510EB0" w:rsidP="00510EB0">
      <w:pPr>
        <w:jc w:val="center"/>
        <w:rPr>
          <w:rFonts w:ascii="Tahoma" w:hAnsi="Tahoma" w:cs="Tahoma"/>
          <w:b/>
          <w:shadow/>
          <w:lang w:val="pt-BR"/>
        </w:rPr>
      </w:pPr>
      <w:r w:rsidRPr="00F107B5">
        <w:rPr>
          <w:rFonts w:ascii="Tahoma" w:hAnsi="Tahoma" w:cs="Tahoma"/>
          <w:b/>
          <w:shadow/>
          <w:lang w:val="pt-BR"/>
        </w:rPr>
        <w:t>PRESIDENTE</w:t>
      </w:r>
    </w:p>
    <w:p w:rsidR="00510EB0" w:rsidRPr="00F107B5" w:rsidRDefault="00510EB0" w:rsidP="00510EB0">
      <w:pPr>
        <w:jc w:val="center"/>
        <w:rPr>
          <w:rFonts w:ascii="Tahoma" w:hAnsi="Tahoma" w:cs="Tahoma"/>
          <w:b/>
          <w:shadow/>
          <w:lang w:val="pt-BR"/>
        </w:rPr>
      </w:pPr>
    </w:p>
    <w:p w:rsidR="00510EB0" w:rsidRPr="00F107B5" w:rsidRDefault="00510EB0" w:rsidP="00510EB0">
      <w:pPr>
        <w:jc w:val="center"/>
        <w:rPr>
          <w:rFonts w:ascii="Tahoma" w:hAnsi="Tahoma" w:cs="Tahoma"/>
          <w:b/>
          <w:shadow/>
          <w:lang w:val="pt-BR"/>
        </w:rPr>
      </w:pPr>
    </w:p>
    <w:p w:rsidR="00510EB0" w:rsidRPr="00F107B5" w:rsidRDefault="00510EB0" w:rsidP="00510EB0">
      <w:pPr>
        <w:jc w:val="center"/>
        <w:rPr>
          <w:rFonts w:ascii="Tahoma" w:hAnsi="Tahoma" w:cs="Tahoma"/>
          <w:b/>
          <w:shadow/>
          <w:lang w:val="pt-BR"/>
        </w:rPr>
      </w:pPr>
    </w:p>
    <w:p w:rsidR="00510EB0" w:rsidRPr="00F107B5" w:rsidRDefault="00510EB0" w:rsidP="00510EB0">
      <w:pPr>
        <w:jc w:val="center"/>
        <w:rPr>
          <w:rFonts w:ascii="Tahoma" w:hAnsi="Tahoma" w:cs="Tahoma"/>
          <w:b/>
          <w:shadow/>
          <w:lang w:val="pt-BR"/>
        </w:rPr>
      </w:pPr>
    </w:p>
    <w:p w:rsidR="00510EB0" w:rsidRPr="00F107B5" w:rsidRDefault="00510EB0" w:rsidP="00510EB0">
      <w:pPr>
        <w:jc w:val="center"/>
        <w:rPr>
          <w:rFonts w:ascii="Tahoma" w:hAnsi="Tahoma" w:cs="Tahoma"/>
          <w:b/>
          <w:shadow/>
          <w:lang w:val="pt-BR"/>
        </w:rPr>
      </w:pPr>
    </w:p>
    <w:p w:rsidR="00510EB0" w:rsidRPr="00F107B5" w:rsidRDefault="00510EB0" w:rsidP="00510EB0">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510EB0" w:rsidRPr="00F107B5" w:rsidRDefault="00510EB0" w:rsidP="00510EB0">
      <w:pPr>
        <w:ind w:firstLine="708"/>
        <w:rPr>
          <w:rFonts w:ascii="Tahoma" w:hAnsi="Tahoma" w:cs="Tahoma"/>
          <w:b/>
          <w:shadow/>
          <w:lang w:val="pt-BR"/>
        </w:rPr>
      </w:pPr>
    </w:p>
    <w:p w:rsidR="00510EB0" w:rsidRPr="00F107B5" w:rsidRDefault="00510EB0" w:rsidP="00510EB0">
      <w:pPr>
        <w:ind w:firstLine="708"/>
        <w:rPr>
          <w:rFonts w:ascii="Tahoma" w:hAnsi="Tahoma" w:cs="Tahoma"/>
          <w:b/>
          <w:shadow/>
          <w:lang w:val="pt-BR"/>
        </w:rPr>
      </w:pPr>
    </w:p>
    <w:p w:rsidR="00510EB0" w:rsidRPr="00F107B5" w:rsidRDefault="00510EB0" w:rsidP="00510EB0">
      <w:pPr>
        <w:ind w:firstLine="708"/>
        <w:rPr>
          <w:rFonts w:ascii="Tahoma" w:hAnsi="Tahoma" w:cs="Tahoma"/>
          <w:b/>
          <w:shadow/>
          <w:lang w:val="pt-BR"/>
        </w:rPr>
      </w:pPr>
    </w:p>
    <w:p w:rsidR="00510EB0" w:rsidRPr="00F107B5" w:rsidRDefault="00510EB0" w:rsidP="00510EB0">
      <w:pPr>
        <w:ind w:firstLine="708"/>
        <w:rPr>
          <w:rFonts w:ascii="Tahoma" w:hAnsi="Tahoma" w:cs="Tahoma"/>
          <w:b/>
          <w:shadow/>
          <w:lang w:val="pt-BR"/>
        </w:rPr>
      </w:pPr>
    </w:p>
    <w:p w:rsidR="00510EB0" w:rsidRPr="00F107B5" w:rsidRDefault="00510EB0" w:rsidP="00510EB0">
      <w:pPr>
        <w:ind w:firstLine="708"/>
        <w:rPr>
          <w:rFonts w:ascii="Tahoma" w:hAnsi="Tahoma" w:cs="Tahoma"/>
          <w:b/>
          <w:shadow/>
          <w:lang w:val="pt-BR"/>
        </w:rPr>
      </w:pPr>
    </w:p>
    <w:p w:rsidR="00510EB0" w:rsidRPr="00F107B5" w:rsidRDefault="00510EB0" w:rsidP="00510EB0">
      <w:pPr>
        <w:ind w:firstLine="708"/>
        <w:rPr>
          <w:rFonts w:ascii="Tahoma" w:hAnsi="Tahoma" w:cs="Tahoma"/>
          <w:b/>
          <w:shadow/>
          <w:lang w:val="pt-BR"/>
        </w:rPr>
      </w:pPr>
    </w:p>
    <w:p w:rsidR="00510EB0" w:rsidRPr="00E54A4A" w:rsidRDefault="00510EB0" w:rsidP="00510EB0">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510EB0" w:rsidRPr="00E54A4A" w:rsidRDefault="00510EB0" w:rsidP="00510EB0">
      <w:pPr>
        <w:pStyle w:val="Textoindependiente21"/>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510EB0" w:rsidRPr="00E54A4A" w:rsidRDefault="00510EB0" w:rsidP="00510EB0">
      <w:pPr>
        <w:pStyle w:val="Textoindependiente21"/>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510EB0" w:rsidRPr="00E54A4A" w:rsidRDefault="00510EB0" w:rsidP="00510EB0">
      <w:pPr>
        <w:pStyle w:val="Textoindependiente21"/>
        <w:tabs>
          <w:tab w:val="left" w:pos="7740"/>
        </w:tabs>
        <w:rPr>
          <w:rFonts w:cs="Tahoma"/>
          <w:sz w:val="18"/>
          <w:szCs w:val="18"/>
        </w:rPr>
      </w:pPr>
      <w:r w:rsidRPr="00E54A4A">
        <w:rPr>
          <w:rFonts w:cs="Tahoma"/>
          <w:sz w:val="18"/>
          <w:szCs w:val="18"/>
        </w:rPr>
        <w:t>Navas Rondón.</w:t>
      </w:r>
    </w:p>
    <w:p w:rsidR="00510EB0" w:rsidRDefault="00510EB0" w:rsidP="00510EB0"/>
    <w:p w:rsidR="00DD5730" w:rsidRDefault="00510EB0"/>
    <w:sectPr w:rsidR="00DD5730" w:rsidSect="00E47D0E">
      <w:footerReference w:type="even" r:id="rId5"/>
      <w:footerReference w:type="default" r:id="rId6"/>
      <w:pgSz w:w="11907" w:h="16840" w:code="9"/>
      <w:pgMar w:top="3235" w:right="1107" w:bottom="1618" w:left="1260" w:header="720" w:footer="1077"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0E" w:rsidRDefault="00510EB0" w:rsidP="00E47D0E">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E47D0E" w:rsidRDefault="00510EB0">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0E" w:rsidRPr="00864C03" w:rsidRDefault="00510EB0">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4</w:t>
    </w:r>
    <w:r w:rsidRPr="00864C03">
      <w:rPr>
        <w:rStyle w:val="Nmerodepgina"/>
        <w:i/>
        <w:sz w:val="20"/>
      </w:rPr>
      <w:fldChar w:fldCharType="end"/>
    </w:r>
  </w:p>
  <w:p w:rsidR="00E47D0E" w:rsidRDefault="00510EB0">
    <w:pPr>
      <w:pStyle w:val="Piedepgin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40523823"/>
    <w:multiLevelType w:val="hybridMultilevel"/>
    <w:tmpl w:val="438220C4"/>
    <w:lvl w:ilvl="0" w:tplc="63703E60">
      <w:start w:val="1"/>
      <w:numFmt w:val="decimal"/>
      <w:lvlText w:val="%1."/>
      <w:lvlJc w:val="left"/>
      <w:pPr>
        <w:tabs>
          <w:tab w:val="num" w:pos="720"/>
        </w:tabs>
        <w:ind w:left="72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510EB0"/>
    <w:rsid w:val="00510EB0"/>
    <w:rsid w:val="005F15D1"/>
    <w:rsid w:val="00896EE1"/>
    <w:rsid w:val="00AB63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EB0"/>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510EB0"/>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510EB0"/>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510EB0"/>
  </w:style>
  <w:style w:type="paragraph" w:styleId="Textoindependiente">
    <w:name w:val="Body Text"/>
    <w:basedOn w:val="Normal"/>
    <w:link w:val="TextoindependienteCar"/>
    <w:rsid w:val="00510EB0"/>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510EB0"/>
    <w:rPr>
      <w:rFonts w:ascii="Tahoma" w:eastAsia="Times New Roman" w:hAnsi="Tahoma" w:cs="Times New Roman"/>
      <w:szCs w:val="20"/>
      <w:lang w:val="es-ES_tradnl" w:eastAsia="es-ES"/>
    </w:rPr>
  </w:style>
  <w:style w:type="paragraph" w:customStyle="1" w:styleId="Textoindependiente21">
    <w:name w:val="Texto independiente 21"/>
    <w:basedOn w:val="Normal"/>
    <w:rsid w:val="00510EB0"/>
    <w:pPr>
      <w:jc w:val="both"/>
    </w:pPr>
    <w:rPr>
      <w:rFonts w:ascii="Tahoma" w:hAnsi="Tahoma"/>
      <w:sz w:val="22"/>
    </w:rPr>
  </w:style>
  <w:style w:type="paragraph" w:styleId="Textoindependiente3">
    <w:name w:val="Body Text 3"/>
    <w:basedOn w:val="Normal"/>
    <w:link w:val="Textoindependiente3Car"/>
    <w:rsid w:val="00510EB0"/>
    <w:pPr>
      <w:spacing w:after="120"/>
    </w:pPr>
    <w:rPr>
      <w:sz w:val="16"/>
      <w:szCs w:val="16"/>
      <w:lang w:val="es-PE"/>
    </w:rPr>
  </w:style>
  <w:style w:type="character" w:customStyle="1" w:styleId="Textoindependiente3Car">
    <w:name w:val="Texto independiente 3 Car"/>
    <w:basedOn w:val="Fuentedeprrafopredeter"/>
    <w:link w:val="Textoindependiente3"/>
    <w:rsid w:val="00510EB0"/>
    <w:rPr>
      <w:rFonts w:ascii="Times New Roman" w:eastAsia="Times New Roman" w:hAnsi="Times New Roman" w:cs="Times New Roman"/>
      <w:sz w:val="16"/>
      <w:szCs w:val="16"/>
      <w:lang w:val="es-PE" w:eastAsia="es-ES"/>
    </w:rPr>
  </w:style>
  <w:style w:type="paragraph" w:styleId="NormalWeb">
    <w:name w:val="Normal (Web)"/>
    <w:basedOn w:val="Normal"/>
    <w:rsid w:val="00510EB0"/>
    <w:pPr>
      <w:spacing w:before="100" w:beforeAutospacing="1" w:after="100" w:afterAutospacing="1"/>
    </w:pPr>
    <w:rPr>
      <w:sz w:val="24"/>
      <w:szCs w:val="24"/>
    </w:rPr>
  </w:style>
  <w:style w:type="paragraph" w:styleId="Prrafodelista">
    <w:name w:val="List Paragraph"/>
    <w:basedOn w:val="Normal"/>
    <w:uiPriority w:val="34"/>
    <w:qFormat/>
    <w:rsid w:val="00510EB0"/>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1260</Words>
  <Characters>6932</Characters>
  <Application>Microsoft Office Word</Application>
  <DocSecurity>0</DocSecurity>
  <Lines>57</Lines>
  <Paragraphs>16</Paragraphs>
  <ScaleCrop>false</ScaleCrop>
  <Company/>
  <LinksUpToDate>false</LinksUpToDate>
  <CharactersWithSpaces>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2114-2007</dc:title>
  <dc:subject>APLICACIÓN DE SANCIÓN CONTRA EL SEÑOR  DAVID VILLANUEVA</dc:subject>
  <dc:creator>TRIBUNAL</dc:creator>
  <cp:keywords>CARECE DE OBJETO</cp:keywords>
  <dc:description/>
  <cp:lastModifiedBy>jcabrera</cp:lastModifiedBy>
  <cp:revision>1</cp:revision>
  <dcterms:created xsi:type="dcterms:W3CDTF">2007-12-13T20:20:00Z</dcterms:created>
  <dcterms:modified xsi:type="dcterms:W3CDTF">2007-12-13T20:22:00Z</dcterms:modified>
  <cp:category>RESOLUCION - TRIBUNAL</cp:category>
</cp:coreProperties>
</file>