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0758" w:rsidRDefault="00E50758" w:rsidP="00D64E39">
      <w:pPr>
        <w:tabs>
          <w:tab w:val="left" w:pos="2520"/>
        </w:tabs>
        <w:ind w:left="2520" w:right="765" w:hanging="1102"/>
        <w:jc w:val="both"/>
        <w:rPr>
          <w:rFonts w:ascii="Tahoma" w:hAnsi="Tahoma" w:cs="Tahoma"/>
          <w:b/>
        </w:rPr>
      </w:pPr>
    </w:p>
    <w:p w:rsidR="00E50758" w:rsidRDefault="00E50758" w:rsidP="00D64E39">
      <w:pPr>
        <w:tabs>
          <w:tab w:val="left" w:pos="2520"/>
        </w:tabs>
        <w:ind w:left="2520" w:right="765" w:hanging="1102"/>
        <w:jc w:val="both"/>
        <w:rPr>
          <w:rFonts w:ascii="Tahoma" w:hAnsi="Tahoma" w:cs="Tahoma"/>
          <w:b/>
        </w:rPr>
      </w:pPr>
    </w:p>
    <w:p w:rsidR="00E50758" w:rsidRDefault="00E50758" w:rsidP="00E50758">
      <w:pPr>
        <w:tabs>
          <w:tab w:val="left" w:pos="2520"/>
        </w:tabs>
        <w:ind w:left="2520" w:right="765" w:hanging="1102"/>
        <w:jc w:val="center"/>
        <w:rPr>
          <w:rFonts w:ascii="Tahoma" w:hAnsi="Tahoma" w:cs="Tahoma"/>
          <w:b/>
          <w:sz w:val="24"/>
          <w:szCs w:val="24"/>
        </w:rPr>
      </w:pPr>
      <w:bookmarkStart w:id="0" w:name="OLE_LINK1"/>
      <w:bookmarkStart w:id="1" w:name="OLE_LINK2"/>
      <w:r>
        <w:rPr>
          <w:rFonts w:ascii="Tahoma" w:hAnsi="Tahoma" w:cs="Tahoma"/>
          <w:b/>
          <w:sz w:val="24"/>
          <w:szCs w:val="24"/>
        </w:rPr>
        <w:t>Resolución N. º 2112-2007/TC-S3</w:t>
      </w:r>
    </w:p>
    <w:bookmarkEnd w:id="0"/>
    <w:bookmarkEnd w:id="1"/>
    <w:p w:rsidR="00E50758" w:rsidRDefault="00E50758" w:rsidP="00D64E39">
      <w:pPr>
        <w:tabs>
          <w:tab w:val="left" w:pos="2520"/>
        </w:tabs>
        <w:ind w:left="2520" w:right="765" w:hanging="1102"/>
        <w:jc w:val="both"/>
        <w:rPr>
          <w:rFonts w:ascii="Tahoma" w:hAnsi="Tahoma" w:cs="Tahoma"/>
          <w:b/>
        </w:rPr>
      </w:pPr>
    </w:p>
    <w:p w:rsidR="00E50758" w:rsidRDefault="00E50758" w:rsidP="00D64E39">
      <w:pPr>
        <w:tabs>
          <w:tab w:val="left" w:pos="2520"/>
        </w:tabs>
        <w:ind w:left="2520" w:right="765" w:hanging="1102"/>
        <w:jc w:val="both"/>
        <w:rPr>
          <w:rFonts w:ascii="Tahoma" w:hAnsi="Tahoma" w:cs="Tahoma"/>
          <w:b/>
        </w:rPr>
      </w:pPr>
    </w:p>
    <w:p w:rsidR="00D64E39" w:rsidRPr="00D64E39" w:rsidRDefault="00D64E39" w:rsidP="00D64E39">
      <w:pPr>
        <w:tabs>
          <w:tab w:val="left" w:pos="2520"/>
        </w:tabs>
        <w:ind w:left="2520" w:right="765" w:hanging="1102"/>
        <w:jc w:val="both"/>
        <w:rPr>
          <w:rFonts w:ascii="Tahoma" w:hAnsi="Tahoma" w:cs="Tahoma"/>
          <w:lang w:val="es-PE"/>
        </w:rPr>
      </w:pPr>
      <w:r w:rsidRPr="00D64E39">
        <w:rPr>
          <w:rFonts w:ascii="Tahoma" w:hAnsi="Tahoma" w:cs="Tahoma"/>
          <w:b/>
        </w:rPr>
        <w:t>Sumilla</w:t>
      </w:r>
      <w:r w:rsidRPr="00D64E39">
        <w:rPr>
          <w:rFonts w:ascii="Tahoma" w:hAnsi="Tahoma" w:cs="Tahoma"/>
        </w:rPr>
        <w:t xml:space="preserve">:  </w:t>
      </w:r>
      <w:r w:rsidRPr="00D64E39">
        <w:rPr>
          <w:rFonts w:ascii="Tahoma" w:hAnsi="Tahoma" w:cs="Tahoma"/>
        </w:rPr>
        <w:tab/>
        <w:t xml:space="preserve">El artículo 306º del Reglamento señala que contra lo resuelto por el Tribunal en un procedimiento sancionador podrá interponerse recurso de reconsideración dentro de los tres (3) días hábiles de notificada o publicada la respectiva resolución; debiendo tenerse en cuenta que los plazos fijados por norma expresa son improrrogables, salvo disposición habilitante en contrario, conforme lo dispuesto en </w:t>
      </w:r>
      <w:r w:rsidRPr="00D64E39">
        <w:rPr>
          <w:rFonts w:ascii="Tahoma" w:hAnsi="Tahoma" w:cs="Tahoma"/>
          <w:lang w:val="es-ES_tradnl"/>
        </w:rPr>
        <w:t xml:space="preserve">el numeral 136.1 del </w:t>
      </w:r>
      <w:r w:rsidRPr="00D64E39">
        <w:rPr>
          <w:rFonts w:ascii="Tahoma" w:hAnsi="Tahoma" w:cs="Tahoma"/>
        </w:rPr>
        <w:t>artículo 136 de la Ley del Procedimiento Administrativo General - Ley N.° 27444.</w:t>
      </w:r>
    </w:p>
    <w:p w:rsidR="00D64E39" w:rsidRPr="00D64E39" w:rsidRDefault="00D64E39" w:rsidP="00D64E39">
      <w:pPr>
        <w:ind w:left="3540" w:firstLine="708"/>
        <w:jc w:val="center"/>
        <w:rPr>
          <w:rFonts w:ascii="Tahoma" w:hAnsi="Tahoma" w:cs="Tahoma"/>
          <w:lang w:val="es-PE"/>
        </w:rPr>
      </w:pPr>
    </w:p>
    <w:p w:rsidR="00D64E39" w:rsidRPr="00D64E39" w:rsidRDefault="00D64E39" w:rsidP="00D64E39">
      <w:pPr>
        <w:ind w:left="3540" w:firstLine="708"/>
        <w:jc w:val="center"/>
        <w:rPr>
          <w:rFonts w:ascii="Tahoma" w:hAnsi="Tahoma" w:cs="Tahoma"/>
          <w:lang w:val="es-PE"/>
        </w:rPr>
      </w:pPr>
      <w:r w:rsidRPr="00D64E39">
        <w:rPr>
          <w:rFonts w:ascii="Tahoma" w:hAnsi="Tahoma" w:cs="Tahoma"/>
          <w:lang w:val="es-PE"/>
        </w:rPr>
        <w:t xml:space="preserve">Lima, </w:t>
      </w:r>
      <w:r w:rsidR="00E50758">
        <w:rPr>
          <w:rFonts w:ascii="Tahoma" w:hAnsi="Tahoma" w:cs="Tahoma"/>
          <w:lang w:val="es-PE"/>
        </w:rPr>
        <w:t>30 de noviembre de 2007</w:t>
      </w:r>
    </w:p>
    <w:p w:rsidR="00D64E39" w:rsidRPr="00D64E39" w:rsidRDefault="00D64E39" w:rsidP="00D64E39">
      <w:pPr>
        <w:ind w:right="-136"/>
        <w:jc w:val="both"/>
        <w:rPr>
          <w:rFonts w:ascii="Tahoma" w:hAnsi="Tahoma" w:cs="Tahoma"/>
          <w:lang w:val="es-PE"/>
        </w:rPr>
      </w:pPr>
    </w:p>
    <w:p w:rsidR="00D64E39" w:rsidRPr="00D64E39" w:rsidRDefault="00D64E39" w:rsidP="00D64E39">
      <w:pPr>
        <w:pStyle w:val="Textoindependiente"/>
        <w:tabs>
          <w:tab w:val="left" w:pos="5400"/>
        </w:tabs>
        <w:rPr>
          <w:rFonts w:ascii="Tahoma" w:hAnsi="Tahoma" w:cs="Tahoma"/>
          <w:sz w:val="20"/>
        </w:rPr>
      </w:pPr>
      <w:r w:rsidRPr="00D64E39">
        <w:rPr>
          <w:rFonts w:ascii="Tahoma" w:hAnsi="Tahoma" w:cs="Tahoma"/>
          <w:sz w:val="20"/>
        </w:rPr>
        <w:t xml:space="preserve">Visto, en sesión de fecha 28.11.2007 de la Tercera Sala del Tribunal de Contrataciones y Adquisiciones del Estado el Expediente N.º 0447/2007.TC sobre el recurso de reconsideración interpuesto por la empresa </w:t>
      </w:r>
      <w:proofErr w:type="spellStart"/>
      <w:r w:rsidRPr="00D64E39">
        <w:rPr>
          <w:rFonts w:ascii="Tahoma" w:hAnsi="Tahoma" w:cs="Tahoma"/>
          <w:sz w:val="20"/>
        </w:rPr>
        <w:t>Hidraulic</w:t>
      </w:r>
      <w:proofErr w:type="spellEnd"/>
      <w:r w:rsidRPr="00D64E39">
        <w:rPr>
          <w:rFonts w:ascii="Tahoma" w:hAnsi="Tahoma" w:cs="Tahoma"/>
          <w:sz w:val="20"/>
        </w:rPr>
        <w:t xml:space="preserve"> </w:t>
      </w:r>
      <w:proofErr w:type="spellStart"/>
      <w:r w:rsidRPr="00D64E39">
        <w:rPr>
          <w:rFonts w:ascii="Tahoma" w:hAnsi="Tahoma" w:cs="Tahoma"/>
          <w:sz w:val="20"/>
        </w:rPr>
        <w:t>Systems</w:t>
      </w:r>
      <w:proofErr w:type="spellEnd"/>
      <w:r w:rsidRPr="00D64E39">
        <w:rPr>
          <w:rFonts w:ascii="Tahoma" w:hAnsi="Tahoma" w:cs="Tahoma"/>
          <w:sz w:val="20"/>
        </w:rPr>
        <w:t xml:space="preserve"> S.A.C. contra la Resolución N.° 1879/2007.TC-S3 expedida el 12.11.2007 que dispuso sancionarla con catorce (14) meses </w:t>
      </w:r>
      <w:r w:rsidRPr="00D64E39">
        <w:rPr>
          <w:rFonts w:ascii="Tahoma" w:hAnsi="Tahoma" w:cs="Tahoma"/>
          <w:sz w:val="20"/>
          <w:lang w:val="es-ES_tradnl"/>
        </w:rPr>
        <w:t xml:space="preserve">de inhabilitación temporal para participar en procesos de selección y contratar con el Estado, por haber incurrido en la causal de infracción administrativa tipificada en el numeral 2) del artículo 294 del Reglamento de la Ley de Contrataciones y Adquisiciones del Estado, aprobado mediante Decreto Supremo N.º 084-2004-PCM; y, atendiendo a los siguientes:  </w:t>
      </w:r>
      <w:r w:rsidRPr="00D64E39">
        <w:rPr>
          <w:rFonts w:ascii="Tahoma" w:hAnsi="Tahoma" w:cs="Tahoma"/>
          <w:bCs/>
          <w:shadow/>
          <w:sz w:val="20"/>
        </w:rPr>
        <w:t> </w:t>
      </w:r>
      <w:r w:rsidRPr="00D64E39">
        <w:rPr>
          <w:rFonts w:ascii="Tahoma" w:hAnsi="Tahoma" w:cs="Tahoma"/>
          <w:sz w:val="20"/>
        </w:rPr>
        <w:t xml:space="preserve">   </w:t>
      </w:r>
      <w:r w:rsidRPr="00D64E39">
        <w:rPr>
          <w:rFonts w:ascii="Tahoma" w:hAnsi="Tahoma" w:cs="Tahoma"/>
          <w:sz w:val="20"/>
        </w:rPr>
        <w:tab/>
      </w:r>
    </w:p>
    <w:p w:rsidR="00D64E39" w:rsidRPr="00D64E39" w:rsidRDefault="00D64E39" w:rsidP="00D64E39">
      <w:pPr>
        <w:rPr>
          <w:rFonts w:ascii="Tahoma" w:hAnsi="Tahoma" w:cs="Tahoma"/>
          <w:shadow/>
        </w:rPr>
      </w:pPr>
    </w:p>
    <w:p w:rsidR="00D64E39" w:rsidRPr="00D64E39" w:rsidRDefault="00D64E39" w:rsidP="00D64E39">
      <w:pPr>
        <w:jc w:val="both"/>
        <w:rPr>
          <w:rFonts w:ascii="Tahoma" w:hAnsi="Tahoma" w:cs="Tahoma"/>
          <w:b/>
          <w:shadow/>
        </w:rPr>
      </w:pPr>
      <w:r w:rsidRPr="00D64E39">
        <w:rPr>
          <w:rFonts w:ascii="Tahoma" w:hAnsi="Tahoma" w:cs="Tahoma"/>
          <w:b/>
          <w:shadow/>
        </w:rPr>
        <w:t>ANTECEDENTES</w:t>
      </w:r>
    </w:p>
    <w:p w:rsidR="00D64E39" w:rsidRPr="00D64E39" w:rsidRDefault="00D64E39" w:rsidP="00D64E39">
      <w:pPr>
        <w:jc w:val="both"/>
        <w:rPr>
          <w:rFonts w:ascii="Tahoma" w:hAnsi="Tahoma" w:cs="Tahoma"/>
          <w:b/>
          <w:shadow/>
        </w:rPr>
      </w:pPr>
    </w:p>
    <w:p w:rsidR="00D64E39" w:rsidRPr="00D64E39" w:rsidRDefault="00D64E39" w:rsidP="00D64E39">
      <w:pPr>
        <w:numPr>
          <w:ilvl w:val="0"/>
          <w:numId w:val="4"/>
        </w:numPr>
        <w:tabs>
          <w:tab w:val="clear" w:pos="454"/>
          <w:tab w:val="num" w:pos="540"/>
        </w:tabs>
        <w:ind w:left="540" w:hanging="540"/>
        <w:jc w:val="both"/>
        <w:rPr>
          <w:rFonts w:ascii="Tahoma" w:hAnsi="Tahoma" w:cs="Tahoma"/>
          <w:lang w:val="es-PE"/>
        </w:rPr>
      </w:pPr>
      <w:r w:rsidRPr="00D64E39">
        <w:rPr>
          <w:rFonts w:ascii="Tahoma" w:hAnsi="Tahoma" w:cs="Tahoma"/>
        </w:rPr>
        <w:t>El 13 de setiembre de 2006, Petróleos del Perú S.A. (PETROPERU S.A.), en lo sucesivo la Entidad, convocó la Adjudicación de Menor Cuantía N</w:t>
      </w:r>
      <w:proofErr w:type="gramStart"/>
      <w:r w:rsidRPr="00D64E39">
        <w:rPr>
          <w:rFonts w:ascii="Tahoma" w:hAnsi="Tahoma" w:cs="Tahoma"/>
        </w:rPr>
        <w:t>.º</w:t>
      </w:r>
      <w:proofErr w:type="gramEnd"/>
      <w:r w:rsidRPr="00D64E39">
        <w:rPr>
          <w:rFonts w:ascii="Tahoma" w:hAnsi="Tahoma" w:cs="Tahoma"/>
        </w:rPr>
        <w:t xml:space="preserve"> 0762-2006-RTL/PETROPERU (Segunda Convocatoria), para la adquisición de actuador hidráulico ensamblado, obteniendo la buena pro la empresa </w:t>
      </w:r>
      <w:proofErr w:type="spellStart"/>
      <w:r w:rsidRPr="00D64E39">
        <w:rPr>
          <w:rFonts w:ascii="Tahoma" w:hAnsi="Tahoma" w:cs="Tahoma"/>
        </w:rPr>
        <w:t>Hidraulic</w:t>
      </w:r>
      <w:proofErr w:type="spellEnd"/>
      <w:r w:rsidRPr="00D64E39">
        <w:rPr>
          <w:rFonts w:ascii="Tahoma" w:hAnsi="Tahoma" w:cs="Tahoma"/>
        </w:rPr>
        <w:t xml:space="preserve"> </w:t>
      </w:r>
      <w:proofErr w:type="spellStart"/>
      <w:r w:rsidRPr="00D64E39">
        <w:rPr>
          <w:rFonts w:ascii="Tahoma" w:hAnsi="Tahoma" w:cs="Tahoma"/>
        </w:rPr>
        <w:t>Systems</w:t>
      </w:r>
      <w:proofErr w:type="spellEnd"/>
      <w:r w:rsidRPr="00D64E39">
        <w:rPr>
          <w:rFonts w:ascii="Tahoma" w:hAnsi="Tahoma" w:cs="Tahoma"/>
        </w:rPr>
        <w:t xml:space="preserve"> S.A.C., en lo sucesivo el Contratista, por el monto total de $ 6,126.12 (Seis mil ciento veintiséis con 12/100 Dólares Americanos).</w:t>
      </w:r>
    </w:p>
    <w:p w:rsidR="00D64E39" w:rsidRPr="00D64E39" w:rsidRDefault="00D64E39" w:rsidP="00D64E39">
      <w:pPr>
        <w:jc w:val="both"/>
        <w:rPr>
          <w:rFonts w:ascii="Tahoma" w:hAnsi="Tahoma" w:cs="Tahoma"/>
          <w:lang w:val="es-PE"/>
        </w:rPr>
      </w:pPr>
    </w:p>
    <w:p w:rsidR="00D64E39" w:rsidRPr="00D64E39" w:rsidRDefault="00D64E39" w:rsidP="00D64E39">
      <w:pPr>
        <w:numPr>
          <w:ilvl w:val="0"/>
          <w:numId w:val="4"/>
        </w:numPr>
        <w:tabs>
          <w:tab w:val="clear" w:pos="454"/>
          <w:tab w:val="num" w:pos="540"/>
        </w:tabs>
        <w:ind w:left="540" w:hanging="540"/>
        <w:jc w:val="both"/>
        <w:rPr>
          <w:rFonts w:ascii="Tahoma" w:hAnsi="Tahoma" w:cs="Tahoma"/>
          <w:lang w:val="es-PE"/>
        </w:rPr>
      </w:pPr>
      <w:r w:rsidRPr="00D64E39">
        <w:rPr>
          <w:rFonts w:ascii="Tahoma" w:hAnsi="Tahoma" w:cs="Tahoma"/>
        </w:rPr>
        <w:t>El 05 de octubre de 2006 la Entidad remitió al Contratista la Orden de Compra N</w:t>
      </w:r>
      <w:proofErr w:type="gramStart"/>
      <w:r w:rsidRPr="00D64E39">
        <w:rPr>
          <w:rFonts w:ascii="Tahoma" w:hAnsi="Tahoma" w:cs="Tahoma"/>
        </w:rPr>
        <w:t>.º</w:t>
      </w:r>
      <w:proofErr w:type="gramEnd"/>
      <w:r w:rsidRPr="00D64E39">
        <w:rPr>
          <w:rFonts w:ascii="Tahoma" w:hAnsi="Tahoma" w:cs="Tahoma"/>
        </w:rPr>
        <w:t xml:space="preserve"> ONO-6330889-OF, la misma que fue </w:t>
      </w:r>
      <w:proofErr w:type="spellStart"/>
      <w:r w:rsidRPr="00D64E39">
        <w:rPr>
          <w:rFonts w:ascii="Tahoma" w:hAnsi="Tahoma" w:cs="Tahoma"/>
        </w:rPr>
        <w:t>recepcionada</w:t>
      </w:r>
      <w:proofErr w:type="spellEnd"/>
      <w:r w:rsidRPr="00D64E39">
        <w:rPr>
          <w:rFonts w:ascii="Tahoma" w:hAnsi="Tahoma" w:cs="Tahoma"/>
        </w:rPr>
        <w:t xml:space="preserve"> el 11 de octubre de 2006, en dicho documento se le otorgaba el plazo de diez (10) días para la entrega del bien adjudicado. </w:t>
      </w:r>
    </w:p>
    <w:p w:rsidR="00D64E39" w:rsidRPr="00D64E39" w:rsidRDefault="00D64E39" w:rsidP="00D64E39">
      <w:pPr>
        <w:jc w:val="both"/>
        <w:rPr>
          <w:rFonts w:ascii="Tahoma" w:hAnsi="Tahoma" w:cs="Tahoma"/>
          <w:lang w:val="es-PE"/>
        </w:rPr>
      </w:pPr>
    </w:p>
    <w:p w:rsidR="00D64E39" w:rsidRPr="00D64E39" w:rsidRDefault="00D64E39" w:rsidP="00D64E39">
      <w:pPr>
        <w:numPr>
          <w:ilvl w:val="0"/>
          <w:numId w:val="4"/>
        </w:numPr>
        <w:tabs>
          <w:tab w:val="clear" w:pos="454"/>
          <w:tab w:val="num" w:pos="540"/>
        </w:tabs>
        <w:ind w:left="540" w:hanging="540"/>
        <w:jc w:val="both"/>
        <w:rPr>
          <w:rFonts w:ascii="Tahoma" w:hAnsi="Tahoma" w:cs="Tahoma"/>
          <w:lang w:val="es-PE"/>
        </w:rPr>
      </w:pPr>
      <w:r w:rsidRPr="00D64E39">
        <w:rPr>
          <w:rFonts w:ascii="Tahoma" w:hAnsi="Tahoma" w:cs="Tahoma"/>
        </w:rPr>
        <w:t>Mediante Carta N</w:t>
      </w:r>
      <w:proofErr w:type="gramStart"/>
      <w:r w:rsidRPr="00D64E39">
        <w:rPr>
          <w:rFonts w:ascii="Tahoma" w:hAnsi="Tahoma" w:cs="Tahoma"/>
        </w:rPr>
        <w:t>.º</w:t>
      </w:r>
      <w:proofErr w:type="gramEnd"/>
      <w:r w:rsidRPr="00D64E39">
        <w:rPr>
          <w:rFonts w:ascii="Tahoma" w:hAnsi="Tahoma" w:cs="Tahoma"/>
        </w:rPr>
        <w:t xml:space="preserve"> TL-ULOG-4432-2006 del 11 de octubre de 2006, la Entidad comunicó al Contratista que el plazo de entrega de los materiales estaba próximo a vencer y que estos se requerían para los trabajos de la “XI Inspección General del Complejo de Craqueo Catalítico”.</w:t>
      </w:r>
    </w:p>
    <w:p w:rsidR="00D64E39" w:rsidRPr="00D64E39" w:rsidRDefault="00D64E39" w:rsidP="00D64E39">
      <w:pPr>
        <w:jc w:val="both"/>
        <w:rPr>
          <w:rFonts w:ascii="Tahoma" w:hAnsi="Tahoma" w:cs="Tahoma"/>
          <w:lang w:val="es-PE"/>
        </w:rPr>
      </w:pPr>
    </w:p>
    <w:p w:rsidR="00D64E39" w:rsidRPr="00D64E39" w:rsidRDefault="00D64E39" w:rsidP="00D64E39">
      <w:pPr>
        <w:numPr>
          <w:ilvl w:val="0"/>
          <w:numId w:val="4"/>
        </w:numPr>
        <w:tabs>
          <w:tab w:val="clear" w:pos="454"/>
          <w:tab w:val="num" w:pos="540"/>
        </w:tabs>
        <w:ind w:left="540" w:hanging="540"/>
        <w:jc w:val="both"/>
        <w:rPr>
          <w:rFonts w:ascii="Tahoma" w:hAnsi="Tahoma" w:cs="Tahoma"/>
          <w:lang w:val="es-PE"/>
        </w:rPr>
      </w:pPr>
      <w:r w:rsidRPr="00D64E39">
        <w:rPr>
          <w:rFonts w:ascii="Tahoma" w:hAnsi="Tahoma" w:cs="Tahoma"/>
        </w:rPr>
        <w:t xml:space="preserve">La Contratista solicitó a la Entidad, mediante Carta N.º PL-015/2006 del 20 de noviembre de 2006 remitida vía correo electrónico, la ampliación del plazo de entrega a quince (15) </w:t>
      </w:r>
      <w:r w:rsidRPr="00D64E39">
        <w:rPr>
          <w:rFonts w:ascii="Tahoma" w:hAnsi="Tahoma" w:cs="Tahoma"/>
        </w:rPr>
        <w:lastRenderedPageBreak/>
        <w:t>días útiles, debido a que se necesitaba mayor información respecto al funcionamiento del cilindro. En ese sentido, solicitó se le envíe la muestra del cilindro o en su defecto se le permita visitar sus instalaciones para verificar los datos requeridos.</w:t>
      </w:r>
    </w:p>
    <w:p w:rsidR="00D64E39" w:rsidRPr="00D64E39" w:rsidRDefault="00D64E39" w:rsidP="00D64E39">
      <w:pPr>
        <w:jc w:val="both"/>
        <w:rPr>
          <w:rFonts w:ascii="Tahoma" w:hAnsi="Tahoma" w:cs="Tahoma"/>
          <w:lang w:val="es-PE"/>
        </w:rPr>
      </w:pPr>
    </w:p>
    <w:p w:rsidR="00D64E39" w:rsidRPr="00D64E39" w:rsidRDefault="00D64E39" w:rsidP="00D64E39">
      <w:pPr>
        <w:numPr>
          <w:ilvl w:val="0"/>
          <w:numId w:val="4"/>
        </w:numPr>
        <w:tabs>
          <w:tab w:val="clear" w:pos="454"/>
          <w:tab w:val="num" w:pos="540"/>
        </w:tabs>
        <w:ind w:left="540" w:hanging="540"/>
        <w:jc w:val="both"/>
        <w:rPr>
          <w:rFonts w:ascii="Tahoma" w:hAnsi="Tahoma" w:cs="Tahoma"/>
          <w:lang w:val="es-PE"/>
        </w:rPr>
      </w:pPr>
      <w:r w:rsidRPr="00D64E39">
        <w:rPr>
          <w:rFonts w:ascii="Tahoma" w:hAnsi="Tahoma" w:cs="Tahoma"/>
          <w:lang w:val="es-PE"/>
        </w:rPr>
        <w:t>Con Carta N</w:t>
      </w:r>
      <w:proofErr w:type="gramStart"/>
      <w:r w:rsidRPr="00D64E39">
        <w:rPr>
          <w:rFonts w:ascii="Tahoma" w:hAnsi="Tahoma" w:cs="Tahoma"/>
          <w:lang w:val="es-PE"/>
        </w:rPr>
        <w:t>.º</w:t>
      </w:r>
      <w:proofErr w:type="gramEnd"/>
      <w:r w:rsidRPr="00D64E39">
        <w:rPr>
          <w:rFonts w:ascii="Tahoma" w:hAnsi="Tahoma" w:cs="Tahoma"/>
          <w:lang w:val="es-PE"/>
        </w:rPr>
        <w:t xml:space="preserve"> TL-ULOG-5053-2006 TLULOG-CG-2247-2006 de fecha 24 de noviembre de 2006 la Entidad rechazó lo solicitado por el Contratista, señalando que resulta extemporánea la solicitud de información en la fase de ejecución contractual, y añadió que dicha información debió requerirse durante el proceso de selección, por lo que lo exhortó a cumplir con la entrega de los materiales en el menor plazo posible, ya que había acumulado el máximo de penalidad por mora. </w:t>
      </w:r>
    </w:p>
    <w:p w:rsidR="00D64E39" w:rsidRPr="00D64E39" w:rsidRDefault="00D64E39" w:rsidP="00D64E39">
      <w:pPr>
        <w:jc w:val="both"/>
        <w:rPr>
          <w:rFonts w:ascii="Tahoma" w:hAnsi="Tahoma" w:cs="Tahoma"/>
          <w:lang w:val="es-PE"/>
        </w:rPr>
      </w:pPr>
    </w:p>
    <w:p w:rsidR="00D64E39" w:rsidRPr="00D64E39" w:rsidRDefault="00D64E39" w:rsidP="00D64E39">
      <w:pPr>
        <w:numPr>
          <w:ilvl w:val="0"/>
          <w:numId w:val="4"/>
        </w:numPr>
        <w:tabs>
          <w:tab w:val="clear" w:pos="454"/>
          <w:tab w:val="num" w:pos="540"/>
        </w:tabs>
        <w:ind w:left="540" w:hanging="540"/>
        <w:jc w:val="both"/>
        <w:rPr>
          <w:rFonts w:ascii="Tahoma" w:hAnsi="Tahoma" w:cs="Tahoma"/>
          <w:lang w:val="es-PE"/>
        </w:rPr>
      </w:pPr>
      <w:r w:rsidRPr="00D64E39">
        <w:rPr>
          <w:rFonts w:ascii="Tahoma" w:hAnsi="Tahoma" w:cs="Tahoma"/>
          <w:lang w:val="es-PE"/>
        </w:rPr>
        <w:t>Mediante Carta Notarial N</w:t>
      </w:r>
      <w:proofErr w:type="gramStart"/>
      <w:r w:rsidRPr="00D64E39">
        <w:rPr>
          <w:rFonts w:ascii="Tahoma" w:hAnsi="Tahoma" w:cs="Tahoma"/>
          <w:lang w:val="es-PE"/>
        </w:rPr>
        <w:t>.º</w:t>
      </w:r>
      <w:proofErr w:type="gramEnd"/>
      <w:r w:rsidRPr="00D64E39">
        <w:rPr>
          <w:rFonts w:ascii="Tahoma" w:hAnsi="Tahoma" w:cs="Tahoma"/>
          <w:lang w:val="es-PE"/>
        </w:rPr>
        <w:t xml:space="preserve"> TL-ULOG-5054-2006/TL-ULOG-CG-2249-2006 recibida el 02 de diciembre de 2006, la Entidad requirió a la Contratista a fin que cumpla con las obligaciones derivadas de la Orden de Compra N.º ONO-6330889-OF</w:t>
      </w:r>
      <w:r w:rsidRPr="00D64E39">
        <w:rPr>
          <w:rFonts w:ascii="Tahoma" w:hAnsi="Tahoma" w:cs="Tahoma"/>
        </w:rPr>
        <w:t xml:space="preserve"> en un plazo máximo de tres (03) días, bajo apercibimiento de resolver el Contrato. </w:t>
      </w:r>
    </w:p>
    <w:p w:rsidR="00D64E39" w:rsidRPr="00D64E39" w:rsidRDefault="00D64E39" w:rsidP="00D64E39">
      <w:pPr>
        <w:jc w:val="both"/>
        <w:rPr>
          <w:rFonts w:ascii="Tahoma" w:hAnsi="Tahoma" w:cs="Tahoma"/>
          <w:lang w:val="es-PE"/>
        </w:rPr>
      </w:pPr>
    </w:p>
    <w:p w:rsidR="00D64E39" w:rsidRPr="00D64E39" w:rsidRDefault="00D64E39" w:rsidP="00D64E39">
      <w:pPr>
        <w:numPr>
          <w:ilvl w:val="0"/>
          <w:numId w:val="4"/>
        </w:numPr>
        <w:tabs>
          <w:tab w:val="clear" w:pos="454"/>
          <w:tab w:val="num" w:pos="540"/>
        </w:tabs>
        <w:ind w:left="540" w:hanging="540"/>
        <w:jc w:val="both"/>
        <w:rPr>
          <w:rFonts w:ascii="Tahoma" w:hAnsi="Tahoma" w:cs="Tahoma"/>
        </w:rPr>
      </w:pPr>
      <w:r w:rsidRPr="00D64E39">
        <w:rPr>
          <w:rFonts w:ascii="Tahoma" w:hAnsi="Tahoma" w:cs="Tahoma"/>
          <w:lang w:val="es-PE"/>
        </w:rPr>
        <w:t>L</w:t>
      </w:r>
      <w:r w:rsidRPr="00D64E39">
        <w:rPr>
          <w:rFonts w:ascii="Tahoma" w:hAnsi="Tahoma" w:cs="Tahoma"/>
        </w:rPr>
        <w:t>a Entidad mediante Carta Notarial N</w:t>
      </w:r>
      <w:proofErr w:type="gramStart"/>
      <w:r w:rsidRPr="00D64E39">
        <w:rPr>
          <w:rFonts w:ascii="Tahoma" w:hAnsi="Tahoma" w:cs="Tahoma"/>
        </w:rPr>
        <w:t>.º</w:t>
      </w:r>
      <w:proofErr w:type="gramEnd"/>
      <w:r w:rsidRPr="00D64E39">
        <w:rPr>
          <w:rFonts w:ascii="Tahoma" w:hAnsi="Tahoma" w:cs="Tahoma"/>
        </w:rPr>
        <w:t xml:space="preserve"> TL-ULOG-5134-2006 TL-ULOG-CG-2299-2006 debidamente recibida el 16 de diciembre de 2006 comunicó a la Contratista la resolución de la Orden de Compra N.º ONO-</w:t>
      </w:r>
      <w:r w:rsidRPr="00D64E39">
        <w:rPr>
          <w:rFonts w:ascii="Tahoma" w:hAnsi="Tahoma" w:cs="Tahoma"/>
          <w:lang w:val="es-PE"/>
        </w:rPr>
        <w:t>6330889-OF.</w:t>
      </w:r>
    </w:p>
    <w:p w:rsidR="00D64E39" w:rsidRPr="00D64E39" w:rsidRDefault="00D64E39" w:rsidP="00D64E39">
      <w:pPr>
        <w:jc w:val="both"/>
        <w:rPr>
          <w:rFonts w:ascii="Tahoma" w:hAnsi="Tahoma" w:cs="Tahoma"/>
        </w:rPr>
      </w:pPr>
      <w:r w:rsidRPr="00D64E39">
        <w:rPr>
          <w:rFonts w:ascii="Tahoma" w:hAnsi="Tahoma" w:cs="Tahoma"/>
        </w:rPr>
        <w:t xml:space="preserve"> </w:t>
      </w:r>
    </w:p>
    <w:p w:rsidR="00D64E39" w:rsidRPr="00D64E39" w:rsidRDefault="00D64E39" w:rsidP="00D64E39">
      <w:pPr>
        <w:numPr>
          <w:ilvl w:val="0"/>
          <w:numId w:val="4"/>
        </w:numPr>
        <w:tabs>
          <w:tab w:val="clear" w:pos="454"/>
          <w:tab w:val="num" w:pos="540"/>
        </w:tabs>
        <w:ind w:left="540" w:hanging="540"/>
        <w:jc w:val="both"/>
        <w:rPr>
          <w:rFonts w:ascii="Tahoma" w:hAnsi="Tahoma" w:cs="Tahoma"/>
          <w:lang w:val="es-PE"/>
        </w:rPr>
      </w:pPr>
      <w:r w:rsidRPr="00D64E39">
        <w:rPr>
          <w:rFonts w:ascii="Tahoma" w:hAnsi="Tahoma" w:cs="Tahoma"/>
          <w:lang w:val="es-PE"/>
        </w:rPr>
        <w:t xml:space="preserve">Con Carta N.º GOTL-SPAD-ULOG-CG-0054-2007 del 19 de marzo de 2007, la Entidad </w:t>
      </w:r>
      <w:r w:rsidRPr="00D64E39">
        <w:rPr>
          <w:rFonts w:ascii="Tahoma" w:hAnsi="Tahoma" w:cs="Tahoma"/>
        </w:rPr>
        <w:t xml:space="preserve">puso en conocimiento del Tribunal de Contrataciones y Adquisiciones del Estado que la empresa </w:t>
      </w:r>
      <w:proofErr w:type="spellStart"/>
      <w:r w:rsidRPr="00D64E39">
        <w:rPr>
          <w:rFonts w:ascii="Tahoma" w:hAnsi="Tahoma" w:cs="Tahoma"/>
        </w:rPr>
        <w:t>Hidraulic</w:t>
      </w:r>
      <w:proofErr w:type="spellEnd"/>
      <w:r w:rsidRPr="00D64E39">
        <w:rPr>
          <w:rFonts w:ascii="Tahoma" w:hAnsi="Tahoma" w:cs="Tahoma"/>
        </w:rPr>
        <w:t xml:space="preserve"> </w:t>
      </w:r>
      <w:proofErr w:type="spellStart"/>
      <w:r w:rsidRPr="00D64E39">
        <w:rPr>
          <w:rFonts w:ascii="Tahoma" w:hAnsi="Tahoma" w:cs="Tahoma"/>
        </w:rPr>
        <w:t>System</w:t>
      </w:r>
      <w:proofErr w:type="spellEnd"/>
      <w:r w:rsidRPr="00D64E39">
        <w:rPr>
          <w:rFonts w:ascii="Tahoma" w:hAnsi="Tahoma" w:cs="Tahoma"/>
        </w:rPr>
        <w:t xml:space="preserve"> S.A.C. habría incurrido en supuesta responsabilidad por la resolución de la Orden de Compra N.º ONO-</w:t>
      </w:r>
      <w:r w:rsidRPr="00D64E39">
        <w:rPr>
          <w:rFonts w:ascii="Tahoma" w:hAnsi="Tahoma" w:cs="Tahoma"/>
          <w:lang w:val="es-PE"/>
        </w:rPr>
        <w:t>6330889-OF</w:t>
      </w:r>
      <w:r w:rsidRPr="00D64E39">
        <w:rPr>
          <w:rFonts w:ascii="Tahoma" w:hAnsi="Tahoma" w:cs="Tahoma"/>
        </w:rPr>
        <w:t xml:space="preserve"> derivada del proceso de selección convocado.</w:t>
      </w:r>
    </w:p>
    <w:p w:rsidR="00D64E39" w:rsidRPr="00D64E39" w:rsidRDefault="00D64E39" w:rsidP="00D64E39">
      <w:pPr>
        <w:jc w:val="both"/>
        <w:rPr>
          <w:rFonts w:ascii="Tahoma" w:hAnsi="Tahoma" w:cs="Tahoma"/>
          <w:lang w:val="es-PE"/>
        </w:rPr>
      </w:pPr>
    </w:p>
    <w:p w:rsidR="00D64E39" w:rsidRPr="00D64E39" w:rsidRDefault="00D64E39" w:rsidP="00D64E39">
      <w:pPr>
        <w:numPr>
          <w:ilvl w:val="0"/>
          <w:numId w:val="4"/>
        </w:numPr>
        <w:tabs>
          <w:tab w:val="clear" w:pos="454"/>
          <w:tab w:val="num" w:pos="540"/>
        </w:tabs>
        <w:ind w:left="540" w:hanging="540"/>
        <w:jc w:val="both"/>
        <w:rPr>
          <w:rFonts w:ascii="Tahoma" w:hAnsi="Tahoma" w:cs="Tahoma"/>
        </w:rPr>
      </w:pPr>
      <w:r w:rsidRPr="00D64E39">
        <w:rPr>
          <w:rFonts w:ascii="Tahoma" w:hAnsi="Tahoma" w:cs="Tahoma"/>
        </w:rPr>
        <w:t>Con decreto de fecha 21 de marzo de 2007 se inició procedimiento administrativo sancionador contra el Contratista por su supuesta responsabilidad en la resolución de la  Orden de Compra N</w:t>
      </w:r>
      <w:proofErr w:type="gramStart"/>
      <w:r w:rsidRPr="00D64E39">
        <w:rPr>
          <w:rFonts w:ascii="Tahoma" w:hAnsi="Tahoma" w:cs="Tahoma"/>
        </w:rPr>
        <w:t>.º</w:t>
      </w:r>
      <w:proofErr w:type="gramEnd"/>
      <w:r w:rsidRPr="00D64E39">
        <w:rPr>
          <w:rFonts w:ascii="Tahoma" w:hAnsi="Tahoma" w:cs="Tahoma"/>
        </w:rPr>
        <w:t xml:space="preserve"> ONO-</w:t>
      </w:r>
      <w:r w:rsidRPr="00D64E39">
        <w:rPr>
          <w:rFonts w:ascii="Tahoma" w:hAnsi="Tahoma" w:cs="Tahoma"/>
          <w:lang w:val="es-PE"/>
        </w:rPr>
        <w:t>6330889-OF</w:t>
      </w:r>
      <w:r w:rsidRPr="00D64E39">
        <w:rPr>
          <w:rFonts w:ascii="Tahoma" w:hAnsi="Tahoma" w:cs="Tahoma"/>
        </w:rPr>
        <w:t xml:space="preserve"> derivada de la Adjudicación de Menor Cuantía N.º 0762-2006-RTL/PETROPERU (Segunda Convocatoria) por causa atribuible a su parte. Asimismo se le emplazó para la presentación de sus descargos.</w:t>
      </w:r>
    </w:p>
    <w:p w:rsidR="00D64E39" w:rsidRPr="00D64E39" w:rsidRDefault="00D64E39" w:rsidP="00D64E39">
      <w:pPr>
        <w:jc w:val="both"/>
        <w:rPr>
          <w:rFonts w:ascii="Tahoma" w:hAnsi="Tahoma" w:cs="Tahoma"/>
        </w:rPr>
      </w:pPr>
    </w:p>
    <w:p w:rsidR="00D64E39" w:rsidRPr="00D64E39" w:rsidRDefault="00D64E39" w:rsidP="00D64E39">
      <w:pPr>
        <w:numPr>
          <w:ilvl w:val="0"/>
          <w:numId w:val="4"/>
        </w:numPr>
        <w:tabs>
          <w:tab w:val="clear" w:pos="454"/>
          <w:tab w:val="num" w:pos="540"/>
        </w:tabs>
        <w:ind w:left="540" w:hanging="540"/>
        <w:jc w:val="both"/>
        <w:rPr>
          <w:rFonts w:ascii="Tahoma" w:hAnsi="Tahoma" w:cs="Tahoma"/>
        </w:rPr>
      </w:pPr>
      <w:r w:rsidRPr="00D64E39">
        <w:rPr>
          <w:rFonts w:ascii="Tahoma" w:hAnsi="Tahoma" w:cs="Tahoma"/>
        </w:rPr>
        <w:t>El 20 de abril de 2007, el Contratista presentó sus descargos en los siguientes términos:</w:t>
      </w:r>
    </w:p>
    <w:p w:rsidR="00D64E39" w:rsidRPr="00D64E39" w:rsidRDefault="00D64E39" w:rsidP="00D64E39">
      <w:pPr>
        <w:jc w:val="both"/>
        <w:rPr>
          <w:rFonts w:ascii="Tahoma" w:hAnsi="Tahoma" w:cs="Tahoma"/>
        </w:rPr>
      </w:pPr>
    </w:p>
    <w:p w:rsidR="00D64E39" w:rsidRPr="00D64E39" w:rsidRDefault="00D64E39" w:rsidP="00D64E39">
      <w:pPr>
        <w:numPr>
          <w:ilvl w:val="3"/>
          <w:numId w:val="4"/>
        </w:numPr>
        <w:tabs>
          <w:tab w:val="clear" w:pos="3240"/>
          <w:tab w:val="num" w:pos="1080"/>
        </w:tabs>
        <w:ind w:left="1080" w:hanging="540"/>
        <w:jc w:val="both"/>
        <w:rPr>
          <w:rFonts w:ascii="Tahoma" w:hAnsi="Tahoma" w:cs="Tahoma"/>
        </w:rPr>
      </w:pPr>
      <w:r w:rsidRPr="00D64E39">
        <w:rPr>
          <w:rFonts w:ascii="Tahoma" w:hAnsi="Tahoma" w:cs="Tahoma"/>
        </w:rPr>
        <w:t>Se solicitó la ampliación del plazo debido a un atraso ajeno a la voluntad del Contratista, en concordancia con lo dispuesto por el artículo 42º de la Ley de Contrataciones y Adquisiciones del Estado, aprobado mediante Decreto Supremo N</w:t>
      </w:r>
      <w:proofErr w:type="gramStart"/>
      <w:r w:rsidRPr="00D64E39">
        <w:rPr>
          <w:rFonts w:ascii="Tahoma" w:hAnsi="Tahoma" w:cs="Tahoma"/>
        </w:rPr>
        <w:t>.º</w:t>
      </w:r>
      <w:proofErr w:type="gramEnd"/>
      <w:r w:rsidRPr="00D64E39">
        <w:rPr>
          <w:rFonts w:ascii="Tahoma" w:hAnsi="Tahoma" w:cs="Tahoma"/>
        </w:rPr>
        <w:t xml:space="preserve"> 083-2004-PCM, toda vez que para cumplir con la entrega de los materiales era necesario obtener mayor información respecto al funcionamiento del cilindro.</w:t>
      </w:r>
    </w:p>
    <w:p w:rsidR="00D64E39" w:rsidRPr="00D64E39" w:rsidRDefault="00D64E39" w:rsidP="00D64E39">
      <w:pPr>
        <w:ind w:left="540"/>
        <w:jc w:val="both"/>
        <w:rPr>
          <w:rFonts w:ascii="Tahoma" w:hAnsi="Tahoma" w:cs="Tahoma"/>
        </w:rPr>
      </w:pPr>
    </w:p>
    <w:p w:rsidR="00D64E39" w:rsidRPr="00D64E39" w:rsidRDefault="00D64E39" w:rsidP="00D64E39">
      <w:pPr>
        <w:numPr>
          <w:ilvl w:val="3"/>
          <w:numId w:val="4"/>
        </w:numPr>
        <w:tabs>
          <w:tab w:val="clear" w:pos="3240"/>
          <w:tab w:val="num" w:pos="1080"/>
        </w:tabs>
        <w:ind w:left="1080" w:hanging="540"/>
        <w:jc w:val="both"/>
        <w:rPr>
          <w:rFonts w:ascii="Tahoma" w:hAnsi="Tahoma" w:cs="Tahoma"/>
        </w:rPr>
      </w:pPr>
      <w:r w:rsidRPr="00D64E39">
        <w:rPr>
          <w:rFonts w:ascii="Tahoma" w:hAnsi="Tahoma" w:cs="Tahoma"/>
        </w:rPr>
        <w:t>Sin la información solicitada y/o sin la autorización para visitar las instalaciones de la Entidad, resultó humanamente imposible poder cumplir dentro del plazo establecido.</w:t>
      </w:r>
    </w:p>
    <w:p w:rsidR="00D64E39" w:rsidRPr="00D64E39" w:rsidRDefault="00D64E39" w:rsidP="00D64E39">
      <w:pPr>
        <w:jc w:val="both"/>
        <w:rPr>
          <w:rFonts w:ascii="Tahoma" w:hAnsi="Tahoma" w:cs="Tahoma"/>
        </w:rPr>
      </w:pPr>
    </w:p>
    <w:p w:rsidR="00D64E39" w:rsidRPr="00D64E39" w:rsidRDefault="00D64E39" w:rsidP="00D64E39">
      <w:pPr>
        <w:numPr>
          <w:ilvl w:val="0"/>
          <w:numId w:val="4"/>
        </w:numPr>
        <w:tabs>
          <w:tab w:val="clear" w:pos="454"/>
          <w:tab w:val="num" w:pos="540"/>
        </w:tabs>
        <w:ind w:left="540" w:hanging="540"/>
        <w:jc w:val="both"/>
        <w:rPr>
          <w:rFonts w:ascii="Tahoma" w:hAnsi="Tahoma" w:cs="Tahoma"/>
        </w:rPr>
      </w:pPr>
      <w:r w:rsidRPr="00D64E39">
        <w:rPr>
          <w:rFonts w:ascii="Tahoma" w:hAnsi="Tahoma" w:cs="Tahoma"/>
        </w:rPr>
        <w:t>Con decreto de fecha 25 de abril de 2007 se remitió el expediente a la Tercera Sala del Tribunal para que resuelva.</w:t>
      </w:r>
    </w:p>
    <w:p w:rsidR="00D64E39" w:rsidRPr="00D64E39" w:rsidRDefault="00D64E39" w:rsidP="00D64E39">
      <w:pPr>
        <w:ind w:left="540"/>
        <w:jc w:val="both"/>
        <w:rPr>
          <w:rFonts w:ascii="Tahoma" w:hAnsi="Tahoma" w:cs="Tahoma"/>
        </w:rPr>
      </w:pPr>
    </w:p>
    <w:p w:rsidR="00D64E39" w:rsidRPr="00D64E39" w:rsidRDefault="00D64E39" w:rsidP="00D64E39">
      <w:pPr>
        <w:numPr>
          <w:ilvl w:val="0"/>
          <w:numId w:val="4"/>
        </w:numPr>
        <w:tabs>
          <w:tab w:val="clear" w:pos="454"/>
          <w:tab w:val="num" w:pos="540"/>
        </w:tabs>
        <w:ind w:left="540" w:hanging="540"/>
        <w:jc w:val="both"/>
        <w:rPr>
          <w:rFonts w:ascii="Tahoma" w:hAnsi="Tahoma" w:cs="Tahoma"/>
        </w:rPr>
      </w:pPr>
      <w:r w:rsidRPr="00D64E39">
        <w:rPr>
          <w:rFonts w:ascii="Tahoma" w:hAnsi="Tahoma" w:cs="Tahoma"/>
        </w:rPr>
        <w:t xml:space="preserve">Mediante Resolución Nº 1879-2007-TC-S3 expedida el 12 de noviembre de 2007, la Tercera Sala del Tribunal, resolvió sancionar a la empresa </w:t>
      </w:r>
      <w:proofErr w:type="spellStart"/>
      <w:r w:rsidRPr="00D64E39">
        <w:rPr>
          <w:rFonts w:ascii="Tahoma" w:hAnsi="Tahoma" w:cs="Tahoma"/>
        </w:rPr>
        <w:t>Hidraulic</w:t>
      </w:r>
      <w:proofErr w:type="spellEnd"/>
      <w:r w:rsidRPr="00D64E39">
        <w:rPr>
          <w:rFonts w:ascii="Tahoma" w:hAnsi="Tahoma" w:cs="Tahoma"/>
        </w:rPr>
        <w:t xml:space="preserve"> </w:t>
      </w:r>
      <w:proofErr w:type="spellStart"/>
      <w:r w:rsidRPr="00D64E39">
        <w:rPr>
          <w:rFonts w:ascii="Tahoma" w:hAnsi="Tahoma" w:cs="Tahoma"/>
        </w:rPr>
        <w:t>Systems</w:t>
      </w:r>
      <w:proofErr w:type="spellEnd"/>
      <w:r w:rsidRPr="00D64E39">
        <w:rPr>
          <w:rFonts w:ascii="Tahoma" w:hAnsi="Tahoma" w:cs="Tahoma"/>
        </w:rPr>
        <w:t xml:space="preserve"> S.A.C. con catorce (14) meses de inhabilitación temporal para participar en procesos de selección y contratar con el Estado. Se precisa que dicha Resolución fue notificada el 13 de octubre de 2007</w:t>
      </w:r>
      <w:r w:rsidRPr="00D64E39">
        <w:rPr>
          <w:rStyle w:val="Refdenotaalpie"/>
          <w:rFonts w:ascii="Tahoma" w:hAnsi="Tahoma" w:cs="Tahoma"/>
        </w:rPr>
        <w:footnoteReference w:id="2"/>
      </w:r>
      <w:r w:rsidRPr="00D64E39">
        <w:rPr>
          <w:rFonts w:ascii="Tahoma" w:hAnsi="Tahoma" w:cs="Tahoma"/>
        </w:rPr>
        <w:t>.</w:t>
      </w:r>
    </w:p>
    <w:p w:rsidR="00D64E39" w:rsidRPr="00D64E39" w:rsidRDefault="00D64E39" w:rsidP="00D64E39">
      <w:pPr>
        <w:pStyle w:val="Prrafodelista"/>
        <w:rPr>
          <w:rFonts w:ascii="Tahoma" w:hAnsi="Tahoma" w:cs="Tahoma"/>
          <w:sz w:val="20"/>
        </w:rPr>
      </w:pPr>
    </w:p>
    <w:p w:rsidR="00D64E39" w:rsidRPr="00D64E39" w:rsidRDefault="00D64E39" w:rsidP="00D64E39">
      <w:pPr>
        <w:pStyle w:val="Textoindependiente"/>
        <w:numPr>
          <w:ilvl w:val="0"/>
          <w:numId w:val="4"/>
        </w:numPr>
        <w:tabs>
          <w:tab w:val="left" w:pos="5400"/>
        </w:tabs>
        <w:rPr>
          <w:rFonts w:ascii="Tahoma" w:hAnsi="Tahoma" w:cs="Tahoma"/>
          <w:sz w:val="20"/>
        </w:rPr>
      </w:pPr>
      <w:r w:rsidRPr="00D64E39">
        <w:rPr>
          <w:rFonts w:ascii="Tahoma" w:hAnsi="Tahoma" w:cs="Tahoma"/>
          <w:sz w:val="20"/>
        </w:rPr>
        <w:t>El 19 de noviembre de 2007 la Contratista interpuso recurso de reconsideración contra la decisión del Tribunal descrita en el numeral anterior, solicitando se revoque lo dispuesto por la Resolución N</w:t>
      </w:r>
      <w:proofErr w:type="gramStart"/>
      <w:r w:rsidRPr="00D64E39">
        <w:rPr>
          <w:rFonts w:ascii="Tahoma" w:hAnsi="Tahoma" w:cs="Tahoma"/>
          <w:sz w:val="20"/>
        </w:rPr>
        <w:t>.º</w:t>
      </w:r>
      <w:proofErr w:type="gramEnd"/>
      <w:r w:rsidRPr="00D64E39">
        <w:rPr>
          <w:rFonts w:ascii="Tahoma" w:hAnsi="Tahoma" w:cs="Tahoma"/>
          <w:sz w:val="20"/>
        </w:rPr>
        <w:t xml:space="preserve"> 1879-2007-TC-S3, y en consecuencia se declare no ha lugar a la imposición de sanción.</w:t>
      </w:r>
    </w:p>
    <w:p w:rsidR="00D64E39" w:rsidRPr="00D64E39" w:rsidRDefault="00D64E39" w:rsidP="00D64E39">
      <w:pPr>
        <w:pStyle w:val="Prrafodelista"/>
        <w:rPr>
          <w:rFonts w:ascii="Tahoma" w:hAnsi="Tahoma" w:cs="Tahoma"/>
          <w:sz w:val="20"/>
        </w:rPr>
      </w:pPr>
    </w:p>
    <w:p w:rsidR="00D64E39" w:rsidRPr="00D64E39" w:rsidRDefault="00D64E39" w:rsidP="00D64E39">
      <w:pPr>
        <w:pStyle w:val="Textoindependiente"/>
        <w:tabs>
          <w:tab w:val="left" w:pos="5400"/>
        </w:tabs>
        <w:ind w:left="454"/>
        <w:rPr>
          <w:rFonts w:ascii="Tahoma" w:hAnsi="Tahoma" w:cs="Tahoma"/>
          <w:sz w:val="20"/>
        </w:rPr>
      </w:pPr>
      <w:r w:rsidRPr="00D64E39">
        <w:rPr>
          <w:rFonts w:ascii="Tahoma" w:hAnsi="Tahoma" w:cs="Tahoma"/>
          <w:sz w:val="20"/>
        </w:rPr>
        <w:t>La Contratista fundamentó su recurso sobre la base de las siguientes consideraciones:</w:t>
      </w:r>
    </w:p>
    <w:p w:rsidR="00D64E39" w:rsidRPr="00D64E39" w:rsidRDefault="00D64E39" w:rsidP="00D64E39">
      <w:pPr>
        <w:pStyle w:val="Prrafodelista"/>
        <w:rPr>
          <w:rFonts w:ascii="Tahoma" w:hAnsi="Tahoma" w:cs="Tahoma"/>
          <w:sz w:val="20"/>
          <w:lang w:val="es-ES"/>
        </w:rPr>
      </w:pPr>
    </w:p>
    <w:p w:rsidR="00D64E39" w:rsidRPr="00D64E39" w:rsidRDefault="00D64E39" w:rsidP="00D64E39">
      <w:pPr>
        <w:numPr>
          <w:ilvl w:val="3"/>
          <w:numId w:val="4"/>
        </w:numPr>
        <w:tabs>
          <w:tab w:val="clear" w:pos="3240"/>
          <w:tab w:val="num" w:pos="1080"/>
        </w:tabs>
        <w:ind w:left="1080" w:hanging="540"/>
        <w:jc w:val="both"/>
        <w:rPr>
          <w:rFonts w:ascii="Tahoma" w:hAnsi="Tahoma" w:cs="Tahoma"/>
        </w:rPr>
      </w:pPr>
      <w:r w:rsidRPr="00D64E39">
        <w:rPr>
          <w:rFonts w:ascii="Tahoma" w:hAnsi="Tahoma" w:cs="Tahoma"/>
        </w:rPr>
        <w:t>Se solicitó la ampliación del plazo debido a un atraso ajeno a la voluntad del Contratista, en concordancia con lo dispuesto por el artículo 42º de la Ley de Contrataciones y Adquisiciones del Estado, aprobado mediante Decreto Supremo N</w:t>
      </w:r>
      <w:proofErr w:type="gramStart"/>
      <w:r w:rsidRPr="00D64E39">
        <w:rPr>
          <w:rFonts w:ascii="Tahoma" w:hAnsi="Tahoma" w:cs="Tahoma"/>
        </w:rPr>
        <w:t>.º</w:t>
      </w:r>
      <w:proofErr w:type="gramEnd"/>
      <w:r w:rsidRPr="00D64E39">
        <w:rPr>
          <w:rFonts w:ascii="Tahoma" w:hAnsi="Tahoma" w:cs="Tahoma"/>
        </w:rPr>
        <w:t xml:space="preserve"> 083-2004-PCM, toda vez que para cumplir con la entrega de los materiales era necesario obtener mayor información respecto al funcionamiento del cilindro.</w:t>
      </w:r>
    </w:p>
    <w:p w:rsidR="00D64E39" w:rsidRPr="00D64E39" w:rsidRDefault="00D64E39" w:rsidP="00D64E39">
      <w:pPr>
        <w:ind w:left="540"/>
        <w:jc w:val="both"/>
        <w:rPr>
          <w:rFonts w:ascii="Tahoma" w:hAnsi="Tahoma" w:cs="Tahoma"/>
        </w:rPr>
      </w:pPr>
    </w:p>
    <w:p w:rsidR="00D64E39" w:rsidRPr="00D64E39" w:rsidRDefault="00D64E39" w:rsidP="00D64E39">
      <w:pPr>
        <w:numPr>
          <w:ilvl w:val="3"/>
          <w:numId w:val="4"/>
        </w:numPr>
        <w:tabs>
          <w:tab w:val="clear" w:pos="3240"/>
          <w:tab w:val="num" w:pos="1080"/>
        </w:tabs>
        <w:ind w:left="1080" w:hanging="540"/>
        <w:jc w:val="both"/>
        <w:rPr>
          <w:rFonts w:ascii="Tahoma" w:hAnsi="Tahoma" w:cs="Tahoma"/>
        </w:rPr>
      </w:pPr>
      <w:r w:rsidRPr="00D64E39">
        <w:rPr>
          <w:rFonts w:ascii="Tahoma" w:hAnsi="Tahoma" w:cs="Tahoma"/>
        </w:rPr>
        <w:t>Sin la información solicitada y/o sin la autorización para visitar las instalaciones de la Entidad, resultó humanamente imposible poder cumplir dentro del plazo establecido.</w:t>
      </w:r>
    </w:p>
    <w:p w:rsidR="00D64E39" w:rsidRPr="00D64E39" w:rsidRDefault="00D64E39" w:rsidP="00D64E39">
      <w:pPr>
        <w:pStyle w:val="Textoindependiente"/>
        <w:tabs>
          <w:tab w:val="left" w:pos="5400"/>
        </w:tabs>
        <w:ind w:left="1134"/>
        <w:rPr>
          <w:rFonts w:ascii="Tahoma" w:hAnsi="Tahoma" w:cs="Tahoma"/>
          <w:sz w:val="20"/>
          <w:lang w:val="es-ES_tradnl"/>
        </w:rPr>
      </w:pPr>
    </w:p>
    <w:p w:rsidR="00D64E39" w:rsidRPr="00D64E39" w:rsidRDefault="00D64E39" w:rsidP="00D64E39">
      <w:pPr>
        <w:pStyle w:val="Textoindependiente"/>
        <w:numPr>
          <w:ilvl w:val="0"/>
          <w:numId w:val="4"/>
        </w:numPr>
        <w:tabs>
          <w:tab w:val="left" w:pos="5400"/>
        </w:tabs>
        <w:rPr>
          <w:rFonts w:ascii="Tahoma" w:hAnsi="Tahoma" w:cs="Tahoma"/>
          <w:sz w:val="20"/>
        </w:rPr>
      </w:pPr>
      <w:r w:rsidRPr="00D64E39">
        <w:rPr>
          <w:rFonts w:ascii="Tahoma" w:hAnsi="Tahoma" w:cs="Tahoma"/>
          <w:sz w:val="20"/>
        </w:rPr>
        <w:t>Mediante decreto de fecha 22 de noviembre de 2007 se remitió el expediente a la Tercera Sala del Tribunal para el pronunciamiento correspondiente.</w:t>
      </w:r>
    </w:p>
    <w:p w:rsidR="00D64E39" w:rsidRPr="00D64E39" w:rsidRDefault="00D64E39" w:rsidP="00D64E39">
      <w:pPr>
        <w:ind w:left="540"/>
        <w:jc w:val="both"/>
        <w:rPr>
          <w:rFonts w:ascii="Tahoma" w:hAnsi="Tahoma" w:cs="Tahoma"/>
        </w:rPr>
      </w:pPr>
    </w:p>
    <w:p w:rsidR="00D64E39" w:rsidRPr="00D64E39" w:rsidRDefault="00D64E39" w:rsidP="00D64E39">
      <w:pPr>
        <w:rPr>
          <w:rFonts w:ascii="Tahoma" w:hAnsi="Tahoma" w:cs="Tahoma"/>
          <w:b/>
          <w:shadow/>
        </w:rPr>
      </w:pPr>
    </w:p>
    <w:p w:rsidR="00D64E39" w:rsidRPr="00D64E39" w:rsidRDefault="00D64E39" w:rsidP="00D64E39">
      <w:pPr>
        <w:rPr>
          <w:rFonts w:ascii="Tahoma" w:hAnsi="Tahoma" w:cs="Tahoma"/>
          <w:b/>
          <w:shadow/>
        </w:rPr>
      </w:pPr>
    </w:p>
    <w:p w:rsidR="00D64E39" w:rsidRPr="00D64E39" w:rsidRDefault="00D64E39" w:rsidP="00D64E39">
      <w:pPr>
        <w:rPr>
          <w:rFonts w:ascii="Tahoma" w:hAnsi="Tahoma" w:cs="Tahoma"/>
          <w:b/>
          <w:shadow/>
        </w:rPr>
      </w:pPr>
      <w:r w:rsidRPr="00D64E39">
        <w:rPr>
          <w:rFonts w:ascii="Tahoma" w:hAnsi="Tahoma" w:cs="Tahoma"/>
          <w:b/>
          <w:shadow/>
        </w:rPr>
        <w:t>FUNDAMENTOS</w:t>
      </w:r>
    </w:p>
    <w:p w:rsidR="00D64E39" w:rsidRPr="00D64E39" w:rsidRDefault="00D64E39" w:rsidP="00D64E39">
      <w:pPr>
        <w:tabs>
          <w:tab w:val="left" w:pos="540"/>
        </w:tabs>
        <w:ind w:left="360"/>
        <w:jc w:val="both"/>
        <w:rPr>
          <w:rFonts w:ascii="Tahoma" w:hAnsi="Tahoma" w:cs="Tahoma"/>
        </w:rPr>
      </w:pPr>
    </w:p>
    <w:p w:rsidR="00D64E39" w:rsidRPr="00D64E39" w:rsidRDefault="00D64E39" w:rsidP="00D64E39">
      <w:pPr>
        <w:tabs>
          <w:tab w:val="left" w:pos="540"/>
        </w:tabs>
        <w:ind w:left="360"/>
        <w:jc w:val="both"/>
        <w:rPr>
          <w:rFonts w:ascii="Tahoma" w:hAnsi="Tahoma" w:cs="Tahoma"/>
        </w:rPr>
      </w:pPr>
    </w:p>
    <w:p w:rsidR="00D64E39" w:rsidRPr="00D64E39" w:rsidRDefault="00D64E39" w:rsidP="00D64E39">
      <w:pPr>
        <w:widowControl w:val="0"/>
        <w:numPr>
          <w:ilvl w:val="0"/>
          <w:numId w:val="6"/>
        </w:numPr>
        <w:suppressAutoHyphens/>
        <w:jc w:val="both"/>
        <w:rPr>
          <w:rFonts w:ascii="Tahoma" w:hAnsi="Tahoma" w:cs="Tahoma"/>
        </w:rPr>
      </w:pPr>
      <w:r w:rsidRPr="00D64E39">
        <w:rPr>
          <w:rFonts w:ascii="Tahoma" w:hAnsi="Tahoma" w:cs="Tahoma"/>
        </w:rPr>
        <w:t xml:space="preserve">En el caso materia de análisis la empresa </w:t>
      </w:r>
      <w:proofErr w:type="spellStart"/>
      <w:r w:rsidRPr="00D64E39">
        <w:rPr>
          <w:rFonts w:ascii="Tahoma" w:hAnsi="Tahoma" w:cs="Tahoma"/>
        </w:rPr>
        <w:t>Hidraulic</w:t>
      </w:r>
      <w:proofErr w:type="spellEnd"/>
      <w:r w:rsidRPr="00D64E39">
        <w:rPr>
          <w:rFonts w:ascii="Tahoma" w:hAnsi="Tahoma" w:cs="Tahoma"/>
        </w:rPr>
        <w:t xml:space="preserve"> </w:t>
      </w:r>
      <w:proofErr w:type="spellStart"/>
      <w:r w:rsidRPr="00D64E39">
        <w:rPr>
          <w:rFonts w:ascii="Tahoma" w:hAnsi="Tahoma" w:cs="Tahoma"/>
        </w:rPr>
        <w:t>Systems</w:t>
      </w:r>
      <w:proofErr w:type="spellEnd"/>
      <w:r w:rsidRPr="00D64E39">
        <w:rPr>
          <w:rFonts w:ascii="Tahoma" w:hAnsi="Tahoma" w:cs="Tahoma"/>
        </w:rPr>
        <w:t xml:space="preserve"> S.A.C. ha interpuesto recurso de reconsideración contra lo resuelto en la Resolución N.° 1879-2007/TC-S3 de fecha 12 de noviembre de 2007, mediante la cual la Tercera Sala del Tribunal de Contrataciones y Adquisiciones del Estado la sancionó con catorce (14) meses de inhabilitación temporal en su derecho de participar en procesos de selección y contratar con el Estado por la comisión de la infracción tipificada en el numeral 2) del artículo 294º del Reglamento. </w:t>
      </w:r>
    </w:p>
    <w:p w:rsidR="00D64E39" w:rsidRPr="00D64E39" w:rsidRDefault="00D64E39" w:rsidP="00D64E39">
      <w:pPr>
        <w:ind w:left="360"/>
        <w:jc w:val="both"/>
        <w:rPr>
          <w:rFonts w:ascii="Tahoma" w:hAnsi="Tahoma" w:cs="Tahoma"/>
        </w:rPr>
      </w:pPr>
    </w:p>
    <w:p w:rsidR="00D64E39" w:rsidRPr="00D64E39" w:rsidRDefault="00D64E39" w:rsidP="00D64E39">
      <w:pPr>
        <w:widowControl w:val="0"/>
        <w:numPr>
          <w:ilvl w:val="0"/>
          <w:numId w:val="6"/>
        </w:numPr>
        <w:tabs>
          <w:tab w:val="clear" w:pos="720"/>
          <w:tab w:val="num" w:pos="360"/>
        </w:tabs>
        <w:suppressAutoHyphens/>
        <w:jc w:val="both"/>
        <w:rPr>
          <w:rFonts w:ascii="Tahoma" w:hAnsi="Tahoma" w:cs="Tahoma"/>
        </w:rPr>
      </w:pPr>
      <w:r w:rsidRPr="00D64E39">
        <w:rPr>
          <w:rFonts w:ascii="Tahoma" w:hAnsi="Tahoma" w:cs="Tahoma"/>
        </w:rPr>
        <w:t>Sobre el particular, cabe señalar que el recurso de reconsideración en los procedimientos administrativos sancionadores a cargo de este Tribunal ha sido regulado en el artículo 306</w:t>
      </w:r>
      <w:r w:rsidRPr="00D64E39">
        <w:rPr>
          <w:rStyle w:val="Refdenotaalpie"/>
          <w:rFonts w:ascii="Tahoma" w:hAnsi="Tahoma" w:cs="Tahoma"/>
        </w:rPr>
        <w:footnoteReference w:id="3"/>
      </w:r>
      <w:r w:rsidRPr="00D64E39">
        <w:rPr>
          <w:rFonts w:ascii="Tahoma" w:hAnsi="Tahoma" w:cs="Tahoma"/>
        </w:rPr>
        <w:t xml:space="preserve"> del citado Reglamento, el cual debe ser resuelto en el </w:t>
      </w:r>
      <w:r w:rsidRPr="00D64E39">
        <w:rPr>
          <w:rFonts w:ascii="Tahoma" w:hAnsi="Tahoma" w:cs="Tahoma"/>
        </w:rPr>
        <w:lastRenderedPageBreak/>
        <w:t>término de quince (15) días hábiles desde su interposición.</w:t>
      </w:r>
    </w:p>
    <w:p w:rsidR="00D64E39" w:rsidRPr="00D64E39" w:rsidRDefault="00D64E39" w:rsidP="00D64E39">
      <w:pPr>
        <w:jc w:val="both"/>
        <w:rPr>
          <w:rFonts w:ascii="Tahoma" w:hAnsi="Tahoma" w:cs="Tahoma"/>
        </w:rPr>
      </w:pPr>
    </w:p>
    <w:p w:rsidR="00D64E39" w:rsidRPr="00D64E39" w:rsidRDefault="00D64E39" w:rsidP="00D64E39">
      <w:pPr>
        <w:widowControl w:val="0"/>
        <w:numPr>
          <w:ilvl w:val="0"/>
          <w:numId w:val="6"/>
        </w:numPr>
        <w:tabs>
          <w:tab w:val="clear" w:pos="720"/>
          <w:tab w:val="num" w:pos="360"/>
        </w:tabs>
        <w:suppressAutoHyphens/>
        <w:jc w:val="both"/>
        <w:rPr>
          <w:rFonts w:ascii="Tahoma" w:hAnsi="Tahoma" w:cs="Tahoma"/>
        </w:rPr>
      </w:pPr>
      <w:r w:rsidRPr="00D64E39">
        <w:rPr>
          <w:rFonts w:ascii="Tahoma" w:hAnsi="Tahoma" w:cs="Tahoma"/>
        </w:rPr>
        <w:t>En relación a lo expuesto, una cuestión previa que debe analizar esta Sala es determinar si el recurso materia de análisis fue interpuesto oportunamente, es decir, dentro del plazo otorgado expresamente por la normativa para dicho fin.</w:t>
      </w:r>
    </w:p>
    <w:p w:rsidR="00D64E39" w:rsidRPr="00D64E39" w:rsidRDefault="00D64E39" w:rsidP="00D64E39">
      <w:pPr>
        <w:pStyle w:val="Textoindependiente"/>
        <w:ind w:left="708"/>
        <w:rPr>
          <w:rFonts w:ascii="Tahoma" w:hAnsi="Tahoma" w:cs="Tahoma"/>
          <w:sz w:val="20"/>
        </w:rPr>
      </w:pPr>
    </w:p>
    <w:p w:rsidR="00D64E39" w:rsidRPr="00D64E39" w:rsidRDefault="00D64E39" w:rsidP="00D64E39">
      <w:pPr>
        <w:pStyle w:val="Textoindependiente"/>
        <w:ind w:left="708"/>
        <w:rPr>
          <w:rFonts w:ascii="Tahoma" w:hAnsi="Tahoma" w:cs="Tahoma"/>
          <w:sz w:val="20"/>
        </w:rPr>
      </w:pPr>
      <w:r w:rsidRPr="00D64E39">
        <w:rPr>
          <w:rFonts w:ascii="Tahoma" w:hAnsi="Tahoma" w:cs="Tahoma"/>
          <w:sz w:val="20"/>
        </w:rPr>
        <w:t xml:space="preserve">Al respecto, el artículo 306 del indicado cuerpo reglamentario señala que contra lo resuelto por el Tribunal en un procedimiento sancionador </w:t>
      </w:r>
      <w:r w:rsidRPr="00D64E39">
        <w:rPr>
          <w:rFonts w:ascii="Tahoma" w:hAnsi="Tahoma" w:cs="Tahoma"/>
          <w:b/>
          <w:sz w:val="20"/>
        </w:rPr>
        <w:t>podrá interponerse recurso de reconsideración dentro de los tres (3) días hábiles de notificada o publicada la respectiva resolución</w:t>
      </w:r>
      <w:r w:rsidRPr="00D64E39">
        <w:rPr>
          <w:rFonts w:ascii="Tahoma" w:hAnsi="Tahoma" w:cs="Tahoma"/>
          <w:sz w:val="20"/>
        </w:rPr>
        <w:t xml:space="preserve">; debiendo tenerse en cuenta que </w:t>
      </w:r>
      <w:r w:rsidRPr="00D64E39">
        <w:rPr>
          <w:rFonts w:ascii="Tahoma" w:hAnsi="Tahoma" w:cs="Tahoma"/>
          <w:b/>
          <w:sz w:val="20"/>
        </w:rPr>
        <w:t>los plazos fijados por norma expresa son improrrogables</w:t>
      </w:r>
      <w:r w:rsidRPr="00D64E39">
        <w:rPr>
          <w:rFonts w:ascii="Tahoma" w:hAnsi="Tahoma" w:cs="Tahoma"/>
          <w:sz w:val="20"/>
        </w:rPr>
        <w:t xml:space="preserve">, salvo disposición habilitante en contrario, conforme lo dispuesto en </w:t>
      </w:r>
      <w:r w:rsidRPr="00D64E39">
        <w:rPr>
          <w:rFonts w:ascii="Tahoma" w:hAnsi="Tahoma" w:cs="Tahoma"/>
          <w:sz w:val="20"/>
          <w:lang w:val="es-ES_tradnl"/>
        </w:rPr>
        <w:t xml:space="preserve">el numeral 136.1 del </w:t>
      </w:r>
      <w:r w:rsidRPr="00D64E39">
        <w:rPr>
          <w:rFonts w:ascii="Tahoma" w:hAnsi="Tahoma" w:cs="Tahoma"/>
          <w:sz w:val="20"/>
        </w:rPr>
        <w:t>artículo 136 de la Ley del Procedimiento Administrativo General - Ley N.° 27444.</w:t>
      </w:r>
    </w:p>
    <w:p w:rsidR="00D64E39" w:rsidRPr="00D64E39" w:rsidRDefault="00D64E39" w:rsidP="00D64E39">
      <w:pPr>
        <w:pStyle w:val="Textoindependiente"/>
        <w:ind w:left="454"/>
        <w:rPr>
          <w:rFonts w:ascii="Tahoma" w:hAnsi="Tahoma" w:cs="Tahoma"/>
          <w:sz w:val="20"/>
        </w:rPr>
      </w:pPr>
    </w:p>
    <w:p w:rsidR="00D64E39" w:rsidRPr="00D64E39" w:rsidRDefault="00D64E39" w:rsidP="00D64E39">
      <w:pPr>
        <w:pStyle w:val="Textoindependiente"/>
        <w:widowControl w:val="0"/>
        <w:suppressAutoHyphens/>
        <w:ind w:left="701" w:hanging="435"/>
        <w:rPr>
          <w:rFonts w:ascii="Tahoma" w:hAnsi="Tahoma" w:cs="Tahoma"/>
          <w:sz w:val="20"/>
        </w:rPr>
      </w:pPr>
      <w:r w:rsidRPr="00D64E39">
        <w:rPr>
          <w:rFonts w:ascii="Tahoma" w:hAnsi="Tahoma" w:cs="Tahoma"/>
          <w:b/>
          <w:sz w:val="20"/>
        </w:rPr>
        <w:t>4.</w:t>
      </w:r>
      <w:r w:rsidRPr="00D64E39">
        <w:rPr>
          <w:rFonts w:ascii="Tahoma" w:hAnsi="Tahoma" w:cs="Tahoma"/>
          <w:b/>
          <w:sz w:val="20"/>
        </w:rPr>
        <w:tab/>
      </w:r>
      <w:r w:rsidRPr="00D64E39">
        <w:rPr>
          <w:rFonts w:ascii="Tahoma" w:hAnsi="Tahoma" w:cs="Tahoma"/>
          <w:sz w:val="20"/>
        </w:rPr>
        <w:t>Atendiendo a las normas antes glosadas, así como a la revisión de la documentación obrante en autos, esta Sala advierte que la Resolución N.° 1879-2007/TC-S3 fue notificada a la empresa Contratista el 13 de noviembre de 2007, por lo que se podía interponer válidamente el recurso impugnativo correspondiente dentro de los tres (03) días hábiles siguientes, en virtud a lo establecido en el artículo 306 del citado Reglamento; es decir, hasta el 16 de noviembre de 2007.</w:t>
      </w:r>
    </w:p>
    <w:p w:rsidR="00D64E39" w:rsidRPr="00D64E39" w:rsidRDefault="00D64E39" w:rsidP="00D64E39">
      <w:pPr>
        <w:pStyle w:val="Textoindependiente"/>
        <w:widowControl w:val="0"/>
        <w:suppressAutoHyphens/>
        <w:rPr>
          <w:rFonts w:ascii="Tahoma" w:hAnsi="Tahoma" w:cs="Tahoma"/>
          <w:sz w:val="20"/>
        </w:rPr>
      </w:pPr>
    </w:p>
    <w:p w:rsidR="00D64E39" w:rsidRPr="00D64E39" w:rsidRDefault="00D64E39" w:rsidP="00D64E39">
      <w:pPr>
        <w:pStyle w:val="Textoindependiente"/>
        <w:widowControl w:val="0"/>
        <w:numPr>
          <w:ilvl w:val="0"/>
          <w:numId w:val="5"/>
        </w:numPr>
        <w:tabs>
          <w:tab w:val="clear" w:pos="454"/>
          <w:tab w:val="num" w:pos="720"/>
        </w:tabs>
        <w:suppressAutoHyphens/>
        <w:ind w:left="720"/>
        <w:rPr>
          <w:rFonts w:ascii="Tahoma" w:hAnsi="Tahoma" w:cs="Tahoma"/>
          <w:sz w:val="20"/>
        </w:rPr>
      </w:pPr>
      <w:r w:rsidRPr="00D64E39">
        <w:rPr>
          <w:rFonts w:ascii="Tahoma" w:hAnsi="Tahoma" w:cs="Tahoma"/>
          <w:sz w:val="20"/>
        </w:rPr>
        <w:t>En consecuencia, al haber presentado la Contratista su recurso de reconsideración el día 19 de noviembre del presente año, este Colegiado debe calificar el mismo como extemporáneo, quedando firme lo resuelto mediante la resolución materia de impugnación, según lo establecido en el artículo 212</w:t>
      </w:r>
      <w:r w:rsidRPr="00D64E39">
        <w:rPr>
          <w:rStyle w:val="Refdenotaalpie"/>
          <w:rFonts w:ascii="Tahoma" w:hAnsi="Tahoma" w:cs="Tahoma"/>
          <w:sz w:val="20"/>
        </w:rPr>
        <w:footnoteReference w:id="4"/>
      </w:r>
      <w:r w:rsidRPr="00D64E39">
        <w:rPr>
          <w:rFonts w:ascii="Tahoma" w:hAnsi="Tahoma" w:cs="Tahoma"/>
          <w:sz w:val="20"/>
        </w:rPr>
        <w:t xml:space="preserve"> de la Ley N.° 27444. Cabe señalar que con la presente decisión se agota la vía administrativa, situación que deberá considerar la Contratista a efectos que, de estimarlo pertinente, haga uso de los recursos que la ley prevé. </w:t>
      </w:r>
    </w:p>
    <w:p w:rsidR="00D64E39" w:rsidRPr="00D64E39" w:rsidRDefault="00D64E39" w:rsidP="00D64E39">
      <w:pPr>
        <w:tabs>
          <w:tab w:val="left" w:pos="360"/>
        </w:tabs>
        <w:ind w:left="360"/>
        <w:jc w:val="both"/>
        <w:rPr>
          <w:rFonts w:ascii="Tahoma" w:hAnsi="Tahoma" w:cs="Tahoma"/>
          <w:lang w:val="es-PE"/>
        </w:rPr>
      </w:pPr>
    </w:p>
    <w:p w:rsidR="00D64E39" w:rsidRPr="00D64E39" w:rsidRDefault="00D64E39" w:rsidP="00D64E39">
      <w:pPr>
        <w:tabs>
          <w:tab w:val="left" w:pos="0"/>
        </w:tabs>
        <w:jc w:val="both"/>
        <w:rPr>
          <w:rFonts w:ascii="Tahoma" w:hAnsi="Tahoma" w:cs="Tahoma"/>
        </w:rPr>
      </w:pPr>
      <w:r w:rsidRPr="00D64E39">
        <w:rPr>
          <w:rFonts w:ascii="Tahoma" w:hAnsi="Tahoma" w:cs="Tahoma"/>
        </w:rPr>
        <w:t xml:space="preserve">Por estos fundamentos, de conformidad con el informe del vocal ponente Dr. Juan Carlos Valdivia </w:t>
      </w:r>
      <w:proofErr w:type="spellStart"/>
      <w:r w:rsidRPr="00D64E39">
        <w:rPr>
          <w:rFonts w:ascii="Tahoma" w:hAnsi="Tahoma" w:cs="Tahoma"/>
        </w:rPr>
        <w:t>Huaringa</w:t>
      </w:r>
      <w:proofErr w:type="spellEnd"/>
      <w:r w:rsidRPr="00D64E39">
        <w:rPr>
          <w:rFonts w:ascii="Tahoma" w:hAnsi="Tahoma" w:cs="Tahoma"/>
        </w:rPr>
        <w:t xml:space="preserve"> y la intervención de los vocales Dra. </w:t>
      </w:r>
      <w:proofErr w:type="spellStart"/>
      <w:r w:rsidRPr="00D64E39">
        <w:rPr>
          <w:rFonts w:ascii="Tahoma" w:hAnsi="Tahoma" w:cs="Tahoma"/>
        </w:rPr>
        <w:t>Janette</w:t>
      </w:r>
      <w:proofErr w:type="spellEnd"/>
      <w:r w:rsidRPr="00D64E39">
        <w:rPr>
          <w:rFonts w:ascii="Tahoma" w:hAnsi="Tahoma" w:cs="Tahoma"/>
        </w:rPr>
        <w:t xml:space="preserve"> </w:t>
      </w:r>
      <w:proofErr w:type="spellStart"/>
      <w:r w:rsidRPr="00D64E39">
        <w:rPr>
          <w:rFonts w:ascii="Tahoma" w:hAnsi="Tahoma" w:cs="Tahoma"/>
        </w:rPr>
        <w:t>Elke</w:t>
      </w:r>
      <w:proofErr w:type="spellEnd"/>
      <w:r w:rsidRPr="00D64E39">
        <w:rPr>
          <w:rFonts w:ascii="Tahoma" w:hAnsi="Tahoma" w:cs="Tahoma"/>
        </w:rPr>
        <w:t xml:space="preserve"> Ramírez </w:t>
      </w:r>
      <w:proofErr w:type="spellStart"/>
      <w:r w:rsidRPr="00D64E39">
        <w:rPr>
          <w:rFonts w:ascii="Tahoma" w:hAnsi="Tahoma" w:cs="Tahoma"/>
        </w:rPr>
        <w:t>Maynetto</w:t>
      </w:r>
      <w:proofErr w:type="spellEnd"/>
      <w:r w:rsidRPr="00D64E39">
        <w:rPr>
          <w:rFonts w:ascii="Tahoma" w:hAnsi="Tahoma" w:cs="Tahoma"/>
        </w:rPr>
        <w:t xml:space="preserve"> y Dr. Carlos Navas Rondón, atendiendo a la </w:t>
      </w:r>
      <w:proofErr w:type="spellStart"/>
      <w:r w:rsidRPr="00D64E39">
        <w:rPr>
          <w:rFonts w:ascii="Tahoma" w:hAnsi="Tahoma" w:cs="Tahoma"/>
        </w:rPr>
        <w:t>reconformación</w:t>
      </w:r>
      <w:proofErr w:type="spellEnd"/>
      <w:r w:rsidRPr="00D64E39">
        <w:rPr>
          <w:rFonts w:ascii="Tahoma" w:hAnsi="Tahoma" w:cs="Tahoma"/>
        </w:rPr>
        <w:t xml:space="preserve"> de la Tercera Sala del Tribunal de Contrataciones y Adquisiciones del Estado, según lo dispuesto en la Resolución N.º 279-2007-CONSUCODE/PRE, expedida el 21 de mayo de 2007 y, en ejercicio de las facultades conferidas en los artículos 53, 59 y 61 del Texto Único Ordenado de la Ley de Contrataciones y Adquisiciones del Estado, aprobado por Decreto Supremo N.º 083-2004-PCM y su Reglamento, aprobado por Decreto Supremo N.º 084-2004-PCM y los artículos 17 y 18 del Reglamento de </w:t>
      </w:r>
      <w:r w:rsidRPr="00D64E39">
        <w:rPr>
          <w:rFonts w:ascii="Tahoma" w:hAnsi="Tahoma" w:cs="Tahoma"/>
        </w:rPr>
        <w:lastRenderedPageBreak/>
        <w:t>Organización y Funciones del CONSUCODE, aprobado por Decreto Supremo N.º 054-2007-EF; analizados los antecedentes y luego de agotado el debate correspondiente, por unanimidad; </w:t>
      </w:r>
    </w:p>
    <w:p w:rsidR="00D64E39" w:rsidRPr="00D64E39" w:rsidRDefault="00D64E39" w:rsidP="00D64E39">
      <w:pPr>
        <w:jc w:val="both"/>
        <w:rPr>
          <w:rFonts w:ascii="Tahoma" w:hAnsi="Tahoma" w:cs="Tahoma"/>
          <w:b/>
          <w:shadow/>
        </w:rPr>
      </w:pPr>
    </w:p>
    <w:p w:rsidR="00D64E39" w:rsidRPr="00D64E39" w:rsidRDefault="00D64E39" w:rsidP="00D64E39">
      <w:pPr>
        <w:jc w:val="both"/>
        <w:rPr>
          <w:rFonts w:ascii="Tahoma" w:hAnsi="Tahoma" w:cs="Tahoma"/>
          <w:b/>
          <w:shadow/>
        </w:rPr>
      </w:pPr>
    </w:p>
    <w:p w:rsidR="00D64E39" w:rsidRPr="00D64E39" w:rsidRDefault="00D64E39" w:rsidP="00D64E39">
      <w:pPr>
        <w:jc w:val="both"/>
        <w:rPr>
          <w:rFonts w:ascii="Tahoma" w:hAnsi="Tahoma" w:cs="Tahoma"/>
          <w:b/>
          <w:shadow/>
        </w:rPr>
      </w:pPr>
      <w:r w:rsidRPr="00D64E39">
        <w:rPr>
          <w:rFonts w:ascii="Tahoma" w:hAnsi="Tahoma" w:cs="Tahoma"/>
          <w:b/>
          <w:shadow/>
        </w:rPr>
        <w:t xml:space="preserve">LA SALA RESUELVE: </w:t>
      </w:r>
    </w:p>
    <w:p w:rsidR="00D64E39" w:rsidRPr="00D64E39" w:rsidRDefault="00D64E39" w:rsidP="00D64E39">
      <w:pPr>
        <w:jc w:val="both"/>
        <w:rPr>
          <w:rFonts w:ascii="Tahoma" w:hAnsi="Tahoma" w:cs="Tahoma"/>
        </w:rPr>
      </w:pPr>
    </w:p>
    <w:p w:rsidR="00D64E39" w:rsidRPr="00D64E39" w:rsidRDefault="00D64E39" w:rsidP="00D64E39">
      <w:pPr>
        <w:numPr>
          <w:ilvl w:val="1"/>
          <w:numId w:val="7"/>
        </w:numPr>
        <w:tabs>
          <w:tab w:val="clear" w:pos="1440"/>
          <w:tab w:val="num" w:pos="567"/>
        </w:tabs>
        <w:ind w:left="567" w:hanging="540"/>
        <w:jc w:val="both"/>
        <w:rPr>
          <w:rFonts w:ascii="Tahoma" w:hAnsi="Tahoma" w:cs="Tahoma"/>
        </w:rPr>
      </w:pPr>
      <w:r w:rsidRPr="00D64E39">
        <w:rPr>
          <w:rFonts w:ascii="Tahoma" w:hAnsi="Tahoma" w:cs="Tahoma"/>
        </w:rPr>
        <w:t xml:space="preserve">Declarar </w:t>
      </w:r>
      <w:r w:rsidRPr="00D64E39">
        <w:rPr>
          <w:rFonts w:ascii="Tahoma" w:hAnsi="Tahoma" w:cs="Tahoma"/>
          <w:b/>
        </w:rPr>
        <w:t>IMPROCEDENTE</w:t>
      </w:r>
      <w:r w:rsidRPr="00D64E39">
        <w:rPr>
          <w:rFonts w:ascii="Tahoma" w:hAnsi="Tahoma" w:cs="Tahoma"/>
        </w:rPr>
        <w:t xml:space="preserve"> por extemporáneo el recurso de reconsideración interpuesto por la empresa </w:t>
      </w:r>
      <w:proofErr w:type="spellStart"/>
      <w:r w:rsidRPr="00D64E39">
        <w:rPr>
          <w:rFonts w:ascii="Tahoma" w:hAnsi="Tahoma" w:cs="Tahoma"/>
        </w:rPr>
        <w:t>Hidraulic</w:t>
      </w:r>
      <w:proofErr w:type="spellEnd"/>
      <w:r w:rsidRPr="00D64E39">
        <w:rPr>
          <w:rFonts w:ascii="Tahoma" w:hAnsi="Tahoma" w:cs="Tahoma"/>
        </w:rPr>
        <w:t xml:space="preserve"> </w:t>
      </w:r>
      <w:proofErr w:type="spellStart"/>
      <w:r w:rsidRPr="00D64E39">
        <w:rPr>
          <w:rFonts w:ascii="Tahoma" w:hAnsi="Tahoma" w:cs="Tahoma"/>
        </w:rPr>
        <w:t>Systems</w:t>
      </w:r>
      <w:proofErr w:type="spellEnd"/>
      <w:r w:rsidRPr="00D64E39">
        <w:rPr>
          <w:rFonts w:ascii="Tahoma" w:hAnsi="Tahoma" w:cs="Tahoma"/>
        </w:rPr>
        <w:t xml:space="preserve"> S.A.C., por los fundamentos expuestos.</w:t>
      </w:r>
    </w:p>
    <w:p w:rsidR="00D64E39" w:rsidRPr="00D64E39" w:rsidRDefault="00D64E39" w:rsidP="00D64E39">
      <w:pPr>
        <w:tabs>
          <w:tab w:val="num" w:pos="567"/>
        </w:tabs>
        <w:ind w:left="567"/>
        <w:jc w:val="both"/>
        <w:rPr>
          <w:rFonts w:ascii="Tahoma" w:hAnsi="Tahoma" w:cs="Tahoma"/>
        </w:rPr>
      </w:pPr>
    </w:p>
    <w:p w:rsidR="00D64E39" w:rsidRPr="00D64E39" w:rsidRDefault="00D64E39" w:rsidP="00D64E39">
      <w:pPr>
        <w:numPr>
          <w:ilvl w:val="1"/>
          <w:numId w:val="7"/>
        </w:numPr>
        <w:tabs>
          <w:tab w:val="clear" w:pos="1440"/>
          <w:tab w:val="num" w:pos="567"/>
        </w:tabs>
        <w:ind w:left="567" w:hanging="540"/>
        <w:jc w:val="both"/>
        <w:rPr>
          <w:rFonts w:ascii="Tahoma" w:hAnsi="Tahoma" w:cs="Tahoma"/>
        </w:rPr>
      </w:pPr>
      <w:r w:rsidRPr="00D64E39">
        <w:rPr>
          <w:rFonts w:ascii="Tahoma" w:hAnsi="Tahoma" w:cs="Tahoma"/>
        </w:rPr>
        <w:t xml:space="preserve">Dar por agotada la vía administrativa. </w:t>
      </w:r>
    </w:p>
    <w:p w:rsidR="00D64E39" w:rsidRPr="00D64E39" w:rsidRDefault="00D64E39" w:rsidP="00D64E39">
      <w:pPr>
        <w:ind w:firstLine="454"/>
        <w:jc w:val="both"/>
        <w:rPr>
          <w:rFonts w:ascii="Tahoma" w:hAnsi="Tahoma" w:cs="Tahoma"/>
          <w:b/>
          <w:shadow/>
        </w:rPr>
      </w:pPr>
    </w:p>
    <w:p w:rsidR="00D64E39" w:rsidRPr="00D64E39" w:rsidRDefault="00D64E39" w:rsidP="00D64E39">
      <w:pPr>
        <w:jc w:val="both"/>
        <w:rPr>
          <w:rFonts w:ascii="Tahoma" w:hAnsi="Tahoma" w:cs="Tahoma"/>
        </w:rPr>
      </w:pPr>
      <w:r w:rsidRPr="00D64E39">
        <w:rPr>
          <w:rFonts w:ascii="Tahoma" w:hAnsi="Tahoma" w:cs="Tahoma"/>
        </w:rPr>
        <w:t>Regístrese, Comuníquese y Publíquese.</w:t>
      </w:r>
    </w:p>
    <w:p w:rsidR="00D64E39" w:rsidRPr="00D64E39" w:rsidRDefault="00D64E39" w:rsidP="00D64E39">
      <w:pPr>
        <w:jc w:val="both"/>
        <w:rPr>
          <w:rFonts w:ascii="Tahoma" w:hAnsi="Tahoma" w:cs="Tahoma"/>
        </w:rPr>
      </w:pPr>
    </w:p>
    <w:p w:rsidR="00D64E39" w:rsidRPr="00D64E39" w:rsidRDefault="00D64E39" w:rsidP="00D64E39">
      <w:pPr>
        <w:jc w:val="both"/>
        <w:rPr>
          <w:rFonts w:ascii="Tahoma" w:hAnsi="Tahoma" w:cs="Tahoma"/>
        </w:rPr>
      </w:pPr>
    </w:p>
    <w:p w:rsidR="00D64E39" w:rsidRPr="00D64E39" w:rsidRDefault="00D64E39" w:rsidP="00D64E39">
      <w:pPr>
        <w:jc w:val="both"/>
        <w:rPr>
          <w:rFonts w:ascii="Tahoma" w:hAnsi="Tahoma" w:cs="Tahoma"/>
        </w:rPr>
      </w:pPr>
    </w:p>
    <w:p w:rsidR="00D64E39" w:rsidRPr="00D64E39" w:rsidRDefault="00D64E39" w:rsidP="00D64E39">
      <w:pPr>
        <w:jc w:val="both"/>
        <w:rPr>
          <w:rFonts w:ascii="Tahoma" w:hAnsi="Tahoma" w:cs="Tahoma"/>
        </w:rPr>
      </w:pPr>
    </w:p>
    <w:p w:rsidR="00D64E39" w:rsidRPr="00D64E39" w:rsidRDefault="00D64E39" w:rsidP="00D64E39">
      <w:pPr>
        <w:jc w:val="both"/>
        <w:rPr>
          <w:rFonts w:ascii="Tahoma" w:hAnsi="Tahoma" w:cs="Tahoma"/>
        </w:rPr>
      </w:pPr>
    </w:p>
    <w:p w:rsidR="00D64E39" w:rsidRPr="00D64E39" w:rsidRDefault="00D64E39" w:rsidP="00D64E39">
      <w:pPr>
        <w:jc w:val="center"/>
        <w:rPr>
          <w:rFonts w:ascii="Tahoma" w:hAnsi="Tahoma" w:cs="Tahoma"/>
          <w:b/>
        </w:rPr>
      </w:pPr>
      <w:r w:rsidRPr="00D64E39">
        <w:rPr>
          <w:rFonts w:ascii="Tahoma" w:hAnsi="Tahoma" w:cs="Tahoma"/>
          <w:b/>
        </w:rPr>
        <w:t>PRESIDENTE</w:t>
      </w:r>
    </w:p>
    <w:p w:rsidR="00D64E39" w:rsidRPr="00D64E39" w:rsidRDefault="00D64E39" w:rsidP="00D64E39">
      <w:pPr>
        <w:jc w:val="center"/>
        <w:rPr>
          <w:rFonts w:ascii="Tahoma" w:hAnsi="Tahoma" w:cs="Tahoma"/>
          <w:b/>
        </w:rPr>
      </w:pPr>
    </w:p>
    <w:p w:rsidR="00D64E39" w:rsidRPr="00D64E39" w:rsidRDefault="00D64E39" w:rsidP="00D64E39">
      <w:pPr>
        <w:jc w:val="center"/>
        <w:rPr>
          <w:rFonts w:ascii="Tahoma" w:hAnsi="Tahoma" w:cs="Tahoma"/>
          <w:b/>
        </w:rPr>
      </w:pPr>
    </w:p>
    <w:p w:rsidR="00D64E39" w:rsidRPr="00D64E39" w:rsidRDefault="00D64E39" w:rsidP="00D64E39">
      <w:pPr>
        <w:jc w:val="center"/>
        <w:rPr>
          <w:rFonts w:ascii="Tahoma" w:hAnsi="Tahoma" w:cs="Tahoma"/>
          <w:b/>
        </w:rPr>
      </w:pPr>
    </w:p>
    <w:p w:rsidR="00D64E39" w:rsidRPr="00D64E39" w:rsidRDefault="00D64E39" w:rsidP="00D64E39">
      <w:pPr>
        <w:jc w:val="center"/>
        <w:rPr>
          <w:rFonts w:ascii="Tahoma" w:hAnsi="Tahoma" w:cs="Tahoma"/>
          <w:b/>
        </w:rPr>
      </w:pPr>
      <w:r w:rsidRPr="00D64E39">
        <w:rPr>
          <w:rFonts w:ascii="Tahoma" w:hAnsi="Tahoma" w:cs="Tahoma"/>
          <w:b/>
        </w:rPr>
        <w:t xml:space="preserve">VOCAL </w:t>
      </w:r>
      <w:r w:rsidRPr="00D64E39">
        <w:rPr>
          <w:rFonts w:ascii="Tahoma" w:hAnsi="Tahoma" w:cs="Tahoma"/>
          <w:b/>
        </w:rPr>
        <w:tab/>
      </w:r>
      <w:r w:rsidRPr="00D64E39">
        <w:rPr>
          <w:rFonts w:ascii="Tahoma" w:hAnsi="Tahoma" w:cs="Tahoma"/>
          <w:b/>
        </w:rPr>
        <w:tab/>
      </w:r>
      <w:r w:rsidRPr="00D64E39">
        <w:rPr>
          <w:rFonts w:ascii="Tahoma" w:hAnsi="Tahoma" w:cs="Tahoma"/>
          <w:b/>
        </w:rPr>
        <w:tab/>
      </w:r>
      <w:r w:rsidRPr="00D64E39">
        <w:rPr>
          <w:rFonts w:ascii="Tahoma" w:hAnsi="Tahoma" w:cs="Tahoma"/>
          <w:b/>
        </w:rPr>
        <w:tab/>
      </w:r>
      <w:r w:rsidRPr="00D64E39">
        <w:rPr>
          <w:rFonts w:ascii="Tahoma" w:hAnsi="Tahoma" w:cs="Tahoma"/>
          <w:b/>
        </w:rPr>
        <w:tab/>
      </w:r>
      <w:r w:rsidRPr="00D64E39">
        <w:rPr>
          <w:rFonts w:ascii="Tahoma" w:hAnsi="Tahoma" w:cs="Tahoma"/>
          <w:b/>
        </w:rPr>
        <w:tab/>
      </w:r>
      <w:r w:rsidRPr="00D64E39">
        <w:rPr>
          <w:rFonts w:ascii="Tahoma" w:hAnsi="Tahoma" w:cs="Tahoma"/>
          <w:b/>
        </w:rPr>
        <w:tab/>
      </w:r>
      <w:r w:rsidRPr="00D64E39">
        <w:rPr>
          <w:rFonts w:ascii="Tahoma" w:hAnsi="Tahoma" w:cs="Tahoma"/>
          <w:b/>
        </w:rPr>
        <w:tab/>
        <w:t>VOCAL</w:t>
      </w:r>
    </w:p>
    <w:p w:rsidR="00D64E39" w:rsidRPr="00D64E39" w:rsidRDefault="00D64E39" w:rsidP="00D64E39">
      <w:pPr>
        <w:rPr>
          <w:rFonts w:ascii="Tahoma" w:hAnsi="Tahoma" w:cs="Tahoma"/>
          <w:b/>
        </w:rPr>
      </w:pPr>
    </w:p>
    <w:p w:rsidR="00D64E39" w:rsidRPr="00D64E39" w:rsidRDefault="00D64E39" w:rsidP="00D64E39">
      <w:pPr>
        <w:rPr>
          <w:rFonts w:ascii="Tahoma" w:hAnsi="Tahoma" w:cs="Tahoma"/>
          <w:b/>
        </w:rPr>
      </w:pPr>
    </w:p>
    <w:p w:rsidR="00D64E39" w:rsidRPr="00D64E39" w:rsidRDefault="00D64E39" w:rsidP="00D64E39">
      <w:pPr>
        <w:rPr>
          <w:rFonts w:ascii="Tahoma" w:hAnsi="Tahoma" w:cs="Tahoma"/>
        </w:rPr>
      </w:pPr>
      <w:r w:rsidRPr="00D64E39">
        <w:rPr>
          <w:rFonts w:ascii="Tahoma" w:hAnsi="Tahoma" w:cs="Tahoma"/>
        </w:rPr>
        <w:t>ss.</w:t>
      </w:r>
    </w:p>
    <w:p w:rsidR="00D64E39" w:rsidRPr="00D64E39" w:rsidRDefault="00D64E39" w:rsidP="00D64E39">
      <w:pPr>
        <w:rPr>
          <w:rFonts w:ascii="Tahoma" w:hAnsi="Tahoma" w:cs="Tahoma"/>
        </w:rPr>
      </w:pPr>
      <w:r w:rsidRPr="00D64E39">
        <w:rPr>
          <w:rFonts w:ascii="Tahoma" w:hAnsi="Tahoma" w:cs="Tahoma"/>
        </w:rPr>
        <w:t xml:space="preserve">Valdivia </w:t>
      </w:r>
      <w:proofErr w:type="spellStart"/>
      <w:r w:rsidRPr="00D64E39">
        <w:rPr>
          <w:rFonts w:ascii="Tahoma" w:hAnsi="Tahoma" w:cs="Tahoma"/>
        </w:rPr>
        <w:t>Huaringa</w:t>
      </w:r>
      <w:proofErr w:type="spellEnd"/>
    </w:p>
    <w:p w:rsidR="00D64E39" w:rsidRPr="00D64E39" w:rsidRDefault="00D64E39" w:rsidP="00D64E39">
      <w:pPr>
        <w:ind w:left="708" w:hanging="708"/>
        <w:rPr>
          <w:rFonts w:ascii="Tahoma" w:hAnsi="Tahoma" w:cs="Tahoma"/>
        </w:rPr>
      </w:pPr>
      <w:r w:rsidRPr="00D64E39">
        <w:rPr>
          <w:rFonts w:ascii="Tahoma" w:hAnsi="Tahoma" w:cs="Tahoma"/>
        </w:rPr>
        <w:t xml:space="preserve">Ramírez </w:t>
      </w:r>
      <w:proofErr w:type="spellStart"/>
      <w:r w:rsidRPr="00D64E39">
        <w:rPr>
          <w:rFonts w:ascii="Tahoma" w:hAnsi="Tahoma" w:cs="Tahoma"/>
        </w:rPr>
        <w:t>Maynetto</w:t>
      </w:r>
      <w:proofErr w:type="spellEnd"/>
      <w:r w:rsidRPr="00D64E39">
        <w:rPr>
          <w:rFonts w:ascii="Tahoma" w:hAnsi="Tahoma" w:cs="Tahoma"/>
        </w:rPr>
        <w:t xml:space="preserve"> </w:t>
      </w:r>
    </w:p>
    <w:p w:rsidR="00D64E39" w:rsidRPr="00D64E39" w:rsidRDefault="00D64E39" w:rsidP="00D64E39">
      <w:pPr>
        <w:rPr>
          <w:rFonts w:ascii="Tahoma" w:hAnsi="Tahoma" w:cs="Tahoma"/>
        </w:rPr>
      </w:pPr>
      <w:r w:rsidRPr="00D64E39">
        <w:rPr>
          <w:rFonts w:ascii="Tahoma" w:hAnsi="Tahoma" w:cs="Tahoma"/>
        </w:rPr>
        <w:t xml:space="preserve">Navas Rondón </w:t>
      </w:r>
    </w:p>
    <w:p w:rsidR="00D64E39" w:rsidRPr="00D64E39" w:rsidRDefault="00D64E39" w:rsidP="00D64E39">
      <w:pPr>
        <w:rPr>
          <w:rFonts w:ascii="Tahoma" w:hAnsi="Tahoma" w:cs="Tahoma"/>
        </w:rPr>
      </w:pPr>
    </w:p>
    <w:p w:rsidR="00021EB1" w:rsidRPr="00D64E39" w:rsidRDefault="00021EB1">
      <w:pPr>
        <w:rPr>
          <w:rFonts w:ascii="Tahoma" w:hAnsi="Tahoma" w:cs="Tahoma"/>
        </w:rPr>
      </w:pPr>
    </w:p>
    <w:sectPr w:rsidR="00021EB1" w:rsidRPr="00D64E39" w:rsidSect="00021EB1">
      <w:footerReference w:type="even" r:id="rId7"/>
      <w:footerReference w:type="default" r:id="rId8"/>
      <w:pgSz w:w="11906" w:h="16838"/>
      <w:pgMar w:top="3402" w:right="1701" w:bottom="197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43DD" w:rsidRDefault="009643DD" w:rsidP="00D64E39">
      <w:r>
        <w:separator/>
      </w:r>
    </w:p>
  </w:endnote>
  <w:endnote w:type="continuationSeparator" w:id="1">
    <w:p w:rsidR="009643DD" w:rsidRDefault="009643DD" w:rsidP="00D64E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1EB1" w:rsidRDefault="00021EB1" w:rsidP="00021EB1">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021EB1" w:rsidRDefault="00021EB1">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1EB1" w:rsidRPr="002E1DB7" w:rsidRDefault="00021EB1" w:rsidP="00021EB1">
    <w:pPr>
      <w:pStyle w:val="Piedepgina"/>
      <w:framePr w:wrap="around" w:vAnchor="text" w:hAnchor="margin" w:xAlign="center" w:y="1"/>
      <w:rPr>
        <w:rFonts w:ascii="Bookman Old Style" w:hAnsi="Bookman Old Style"/>
        <w:i/>
        <w:sz w:val="20"/>
      </w:rPr>
    </w:pPr>
    <w:r w:rsidRPr="002E1DB7">
      <w:rPr>
        <w:rFonts w:ascii="Bookman Old Style" w:hAnsi="Bookman Old Style"/>
        <w:i/>
        <w:sz w:val="20"/>
      </w:rPr>
      <w:t xml:space="preserve">Página </w:t>
    </w:r>
    <w:r w:rsidRPr="002E1DB7">
      <w:rPr>
        <w:rFonts w:ascii="Bookman Old Style" w:hAnsi="Bookman Old Style"/>
        <w:i/>
        <w:sz w:val="20"/>
      </w:rPr>
      <w:fldChar w:fldCharType="begin"/>
    </w:r>
    <w:r w:rsidRPr="002E1DB7">
      <w:rPr>
        <w:rFonts w:ascii="Bookman Old Style" w:hAnsi="Bookman Old Style"/>
        <w:i/>
        <w:sz w:val="20"/>
      </w:rPr>
      <w:instrText xml:space="preserve"> PAGE </w:instrText>
    </w:r>
    <w:r w:rsidRPr="002E1DB7">
      <w:rPr>
        <w:rFonts w:ascii="Bookman Old Style" w:hAnsi="Bookman Old Style"/>
        <w:i/>
        <w:sz w:val="20"/>
      </w:rPr>
      <w:fldChar w:fldCharType="separate"/>
    </w:r>
    <w:r w:rsidR="006125F6">
      <w:rPr>
        <w:rFonts w:ascii="Bookman Old Style" w:hAnsi="Bookman Old Style"/>
        <w:i/>
        <w:noProof/>
        <w:sz w:val="20"/>
      </w:rPr>
      <w:t>1</w:t>
    </w:r>
    <w:r w:rsidRPr="002E1DB7">
      <w:rPr>
        <w:rFonts w:ascii="Bookman Old Style" w:hAnsi="Bookman Old Style"/>
        <w:i/>
        <w:sz w:val="20"/>
      </w:rPr>
      <w:fldChar w:fldCharType="end"/>
    </w:r>
    <w:r w:rsidRPr="002E1DB7">
      <w:rPr>
        <w:rFonts w:ascii="Bookman Old Style" w:hAnsi="Bookman Old Style"/>
        <w:i/>
        <w:sz w:val="20"/>
      </w:rPr>
      <w:t xml:space="preserve"> de </w:t>
    </w:r>
    <w:r w:rsidRPr="002E1DB7">
      <w:rPr>
        <w:rFonts w:ascii="Bookman Old Style" w:hAnsi="Bookman Old Style"/>
        <w:i/>
        <w:sz w:val="20"/>
      </w:rPr>
      <w:fldChar w:fldCharType="begin"/>
    </w:r>
    <w:r w:rsidRPr="002E1DB7">
      <w:rPr>
        <w:rFonts w:ascii="Bookman Old Style" w:hAnsi="Bookman Old Style"/>
        <w:i/>
        <w:sz w:val="20"/>
      </w:rPr>
      <w:instrText xml:space="preserve"> NUMPAGES </w:instrText>
    </w:r>
    <w:r w:rsidRPr="002E1DB7">
      <w:rPr>
        <w:rFonts w:ascii="Bookman Old Style" w:hAnsi="Bookman Old Style"/>
        <w:i/>
        <w:sz w:val="20"/>
      </w:rPr>
      <w:fldChar w:fldCharType="separate"/>
    </w:r>
    <w:r w:rsidR="006125F6">
      <w:rPr>
        <w:rFonts w:ascii="Bookman Old Style" w:hAnsi="Bookman Old Style"/>
        <w:i/>
        <w:noProof/>
        <w:sz w:val="20"/>
      </w:rPr>
      <w:t>5</w:t>
    </w:r>
    <w:r w:rsidRPr="002E1DB7">
      <w:rPr>
        <w:rFonts w:ascii="Bookman Old Style" w:hAnsi="Bookman Old Style"/>
        <w:i/>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43DD" w:rsidRDefault="009643DD" w:rsidP="00D64E39">
      <w:r>
        <w:separator/>
      </w:r>
    </w:p>
  </w:footnote>
  <w:footnote w:type="continuationSeparator" w:id="1">
    <w:p w:rsidR="009643DD" w:rsidRDefault="009643DD" w:rsidP="00D64E39">
      <w:r>
        <w:continuationSeparator/>
      </w:r>
    </w:p>
  </w:footnote>
  <w:footnote w:id="2">
    <w:p w:rsidR="00021EB1" w:rsidRPr="000A30A7" w:rsidRDefault="00021EB1" w:rsidP="00D64E39">
      <w:pPr>
        <w:pStyle w:val="Textonotapie"/>
        <w:ind w:left="360" w:hanging="360"/>
        <w:rPr>
          <w:rFonts w:ascii="Bookman Old Style" w:hAnsi="Bookman Old Style"/>
          <w:i/>
          <w:sz w:val="18"/>
          <w:szCs w:val="18"/>
        </w:rPr>
      </w:pPr>
      <w:r w:rsidRPr="000A30A7">
        <w:rPr>
          <w:rStyle w:val="Refdenotaalpie"/>
          <w:rFonts w:ascii="Bookman Old Style" w:hAnsi="Bookman Old Style"/>
          <w:i/>
          <w:sz w:val="18"/>
          <w:szCs w:val="18"/>
        </w:rPr>
        <w:footnoteRef/>
      </w:r>
      <w:r w:rsidRPr="000A30A7">
        <w:rPr>
          <w:rFonts w:ascii="Bookman Old Style" w:hAnsi="Bookman Old Style"/>
          <w:i/>
          <w:sz w:val="18"/>
          <w:szCs w:val="18"/>
        </w:rPr>
        <w:t xml:space="preserve"> </w:t>
      </w:r>
      <w:r w:rsidRPr="000A30A7">
        <w:rPr>
          <w:rFonts w:ascii="Bookman Old Style" w:hAnsi="Bookman Old Style"/>
          <w:i/>
          <w:sz w:val="18"/>
          <w:szCs w:val="18"/>
        </w:rPr>
        <w:tab/>
        <w:t>Según consta en el cargo de recepción de la Cédula  de Notificación N</w:t>
      </w:r>
      <w:proofErr w:type="gramStart"/>
      <w:r w:rsidRPr="000A30A7">
        <w:rPr>
          <w:rFonts w:ascii="Bookman Old Style" w:hAnsi="Bookman Old Style"/>
          <w:i/>
          <w:sz w:val="18"/>
          <w:szCs w:val="18"/>
        </w:rPr>
        <w:t>.º</w:t>
      </w:r>
      <w:proofErr w:type="gramEnd"/>
      <w:r w:rsidRPr="000A30A7">
        <w:rPr>
          <w:rFonts w:ascii="Bookman Old Style" w:hAnsi="Bookman Old Style"/>
          <w:i/>
          <w:sz w:val="18"/>
          <w:szCs w:val="18"/>
        </w:rPr>
        <w:t xml:space="preserve"> </w:t>
      </w:r>
      <w:r>
        <w:rPr>
          <w:rFonts w:ascii="Bookman Old Style" w:hAnsi="Bookman Old Style"/>
          <w:i/>
          <w:sz w:val="18"/>
          <w:szCs w:val="18"/>
        </w:rPr>
        <w:t>36941</w:t>
      </w:r>
      <w:r w:rsidRPr="000A30A7">
        <w:rPr>
          <w:rFonts w:ascii="Bookman Old Style" w:hAnsi="Bookman Old Style"/>
          <w:i/>
          <w:sz w:val="18"/>
          <w:szCs w:val="18"/>
        </w:rPr>
        <w:t xml:space="preserve">/2007.TC que obra a fojas </w:t>
      </w:r>
      <w:r>
        <w:rPr>
          <w:rFonts w:ascii="Bookman Old Style" w:hAnsi="Bookman Old Style"/>
          <w:i/>
          <w:sz w:val="18"/>
          <w:szCs w:val="18"/>
        </w:rPr>
        <w:t xml:space="preserve">092 </w:t>
      </w:r>
      <w:r w:rsidRPr="000A30A7">
        <w:rPr>
          <w:rFonts w:ascii="Bookman Old Style" w:hAnsi="Bookman Old Style"/>
          <w:i/>
          <w:sz w:val="18"/>
          <w:szCs w:val="18"/>
        </w:rPr>
        <w:t>en el expediente administrativo.</w:t>
      </w:r>
    </w:p>
  </w:footnote>
  <w:footnote w:id="3">
    <w:p w:rsidR="00021EB1" w:rsidRPr="00176AAC" w:rsidRDefault="00021EB1" w:rsidP="00D64E39">
      <w:pPr>
        <w:pStyle w:val="Textonotapie"/>
        <w:ind w:left="180" w:hanging="180"/>
        <w:jc w:val="both"/>
        <w:rPr>
          <w:rFonts w:ascii="Bookman Old Style" w:hAnsi="Bookman Old Style"/>
          <w:i/>
          <w:lang w:val="es-PE"/>
        </w:rPr>
      </w:pPr>
      <w:r w:rsidRPr="00176AAC">
        <w:rPr>
          <w:rStyle w:val="Refdenotaalpie"/>
          <w:rFonts w:ascii="Bookman Old Style" w:hAnsi="Bookman Old Style"/>
          <w:i/>
        </w:rPr>
        <w:footnoteRef/>
      </w:r>
      <w:r w:rsidRPr="00176AAC">
        <w:rPr>
          <w:rFonts w:ascii="Bookman Old Style" w:hAnsi="Bookman Old Style"/>
          <w:b/>
          <w:i/>
        </w:rPr>
        <w:t>“</w:t>
      </w:r>
      <w:r w:rsidRPr="00176AAC">
        <w:rPr>
          <w:rFonts w:ascii="Bookman Old Style" w:hAnsi="Bookman Old Style"/>
          <w:b/>
          <w:i/>
          <w:lang w:val="es-PE"/>
        </w:rPr>
        <w:t>Artículo 306.- Recurso de Reconsideración.-</w:t>
      </w:r>
      <w:r w:rsidRPr="00176AAC">
        <w:rPr>
          <w:rFonts w:ascii="Bookman Old Style" w:hAnsi="Bookman Old Style"/>
          <w:i/>
          <w:lang w:val="es-PE"/>
        </w:rPr>
        <w:t xml:space="preserve"> </w:t>
      </w:r>
    </w:p>
    <w:p w:rsidR="00021EB1" w:rsidRPr="00176AAC" w:rsidRDefault="00021EB1" w:rsidP="00D64E39">
      <w:pPr>
        <w:pStyle w:val="Textonotapie"/>
        <w:ind w:left="180"/>
        <w:jc w:val="both"/>
        <w:rPr>
          <w:rFonts w:ascii="Bookman Old Style" w:hAnsi="Bookman Old Style"/>
          <w:i/>
          <w:lang w:val="es-PE"/>
        </w:rPr>
      </w:pPr>
      <w:r w:rsidRPr="00176AAC">
        <w:rPr>
          <w:rFonts w:ascii="Bookman Old Style" w:hAnsi="Bookman Old Style"/>
          <w:i/>
          <w:lang w:val="es-PE"/>
        </w:rPr>
        <w:t>Contra lo resuelto por el Tribunal en un procedimiento sancionador podrá interponerse Recurso de Reconsideración dentro de los tres (3) días hábiles de notificada o publicada la respectiva resolución.</w:t>
      </w:r>
    </w:p>
    <w:p w:rsidR="00021EB1" w:rsidRPr="00176AAC" w:rsidRDefault="00021EB1" w:rsidP="00D64E39">
      <w:pPr>
        <w:pStyle w:val="Textonotapie"/>
        <w:ind w:left="180"/>
        <w:jc w:val="both"/>
        <w:rPr>
          <w:rFonts w:ascii="Bookman Old Style" w:hAnsi="Bookman Old Style"/>
          <w:i/>
        </w:rPr>
      </w:pPr>
      <w:r w:rsidRPr="00176AAC">
        <w:rPr>
          <w:rFonts w:ascii="Bookman Old Style" w:hAnsi="Bookman Old Style"/>
          <w:i/>
          <w:lang w:val="es-PE"/>
        </w:rPr>
        <w:t>El Tribunal resolverá dentro del plazo de quince (15) días hábiles; contra esta decisión procede la acción contencioso administrativa ante el Poder Judicial.”</w:t>
      </w:r>
    </w:p>
  </w:footnote>
  <w:footnote w:id="4">
    <w:p w:rsidR="00021EB1" w:rsidRPr="00176AAC" w:rsidRDefault="00021EB1" w:rsidP="00D64E39">
      <w:pPr>
        <w:pStyle w:val="Textonotapie"/>
        <w:jc w:val="both"/>
        <w:rPr>
          <w:rFonts w:ascii="Bookman Old Style" w:hAnsi="Bookman Old Style"/>
          <w:b/>
          <w:i/>
        </w:rPr>
      </w:pPr>
      <w:r w:rsidRPr="00176AAC">
        <w:rPr>
          <w:rStyle w:val="Refdenotaalpie"/>
          <w:rFonts w:ascii="Bookman Old Style" w:hAnsi="Bookman Old Style"/>
          <w:i/>
        </w:rPr>
        <w:footnoteRef/>
      </w:r>
      <w:r w:rsidRPr="00176AAC">
        <w:rPr>
          <w:rFonts w:ascii="Bookman Old Style" w:hAnsi="Bookman Old Style"/>
          <w:i/>
        </w:rPr>
        <w:t xml:space="preserve"> “</w:t>
      </w:r>
      <w:r w:rsidRPr="00176AAC">
        <w:rPr>
          <w:rFonts w:ascii="Bookman Old Style" w:hAnsi="Bookman Old Style"/>
          <w:b/>
          <w:i/>
        </w:rPr>
        <w:t xml:space="preserve">Artículo 212.- Acto firme </w:t>
      </w:r>
    </w:p>
    <w:p w:rsidR="00021EB1" w:rsidRPr="00176AAC" w:rsidRDefault="00021EB1" w:rsidP="00D64E39">
      <w:pPr>
        <w:pStyle w:val="Textonotapie"/>
        <w:jc w:val="both"/>
        <w:rPr>
          <w:rFonts w:ascii="Bookman Old Style" w:hAnsi="Bookman Old Style"/>
          <w:i/>
        </w:rPr>
      </w:pPr>
      <w:r w:rsidRPr="00176AAC">
        <w:rPr>
          <w:rFonts w:ascii="Bookman Old Style" w:hAnsi="Bookman Old Style"/>
          <w:i/>
        </w:rPr>
        <w:t>Una vez vencidos los plazos para interponer los recursos administrativos se perderá el derecho a articularlos quedando firme el acto”.</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4AC2887A"/>
    <w:lvl w:ilvl="0" w:tplc="169CDB0C">
      <w:start w:val="1"/>
      <w:numFmt w:val="decimal"/>
      <w:lvlText w:val="%1."/>
      <w:lvlJc w:val="left"/>
      <w:pPr>
        <w:tabs>
          <w:tab w:val="num" w:pos="900"/>
        </w:tabs>
        <w:ind w:left="900" w:hanging="360"/>
      </w:pPr>
      <w:rPr>
        <w:b/>
        <w:i w:val="0"/>
      </w:rPr>
    </w:lvl>
    <w:lvl w:ilvl="1" w:tplc="0C0A0019">
      <w:start w:val="1"/>
      <w:numFmt w:val="lowerLetter"/>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0D89661A"/>
    <w:multiLevelType w:val="hybridMultilevel"/>
    <w:tmpl w:val="2A160012"/>
    <w:lvl w:ilvl="0" w:tplc="58B6B0A0">
      <w:start w:val="1"/>
      <w:numFmt w:val="decimal"/>
      <w:lvlText w:val="%1."/>
      <w:lvlJc w:val="left"/>
      <w:pPr>
        <w:tabs>
          <w:tab w:val="num" w:pos="454"/>
        </w:tabs>
        <w:ind w:left="454" w:hanging="454"/>
      </w:pPr>
      <w:rPr>
        <w:rFonts w:ascii="Arial Narrow" w:hAnsi="Arial Narrow" w:hint="default"/>
        <w:b/>
        <w:i w:val="0"/>
        <w:shadow/>
        <w:emboss w:val="0"/>
        <w:imprint w:val="0"/>
        <w:color w:val="auto"/>
        <w:sz w:val="24"/>
        <w:szCs w:val="24"/>
        <w:u w:color="FFFFFF"/>
        <w:effect w:val="none"/>
      </w:rPr>
    </w:lvl>
    <w:lvl w:ilvl="1" w:tplc="70F2732C">
      <w:start w:val="1"/>
      <w:numFmt w:val="lowerLetter"/>
      <w:lvlText w:val="%2."/>
      <w:lvlJc w:val="left"/>
      <w:pPr>
        <w:tabs>
          <w:tab w:val="num" w:pos="1440"/>
        </w:tabs>
        <w:ind w:left="1440" w:hanging="360"/>
      </w:pPr>
      <w:rPr>
        <w:sz w:val="22"/>
        <w:szCs w:val="22"/>
      </w:rPr>
    </w:lvl>
    <w:lvl w:ilvl="2" w:tplc="B1187586">
      <w:start w:val="1"/>
      <w:numFmt w:val="lowerRoman"/>
      <w:lvlText w:val="(%3)"/>
      <w:lvlJc w:val="left"/>
      <w:pPr>
        <w:tabs>
          <w:tab w:val="num" w:pos="2700"/>
        </w:tabs>
        <w:ind w:left="2700" w:hanging="720"/>
      </w:pPr>
      <w:rPr>
        <w:rFonts w:hint="default"/>
        <w:b/>
        <w:sz w:val="22"/>
        <w:szCs w:val="22"/>
      </w:rPr>
    </w:lvl>
    <w:lvl w:ilvl="3" w:tplc="08F29F02">
      <w:start w:val="1"/>
      <w:numFmt w:val="lowerRoman"/>
      <w:lvlText w:val="%4)"/>
      <w:lvlJc w:val="left"/>
      <w:pPr>
        <w:tabs>
          <w:tab w:val="num" w:pos="3240"/>
        </w:tabs>
        <w:ind w:left="3240" w:hanging="72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0F027ACF"/>
    <w:multiLevelType w:val="hybridMultilevel"/>
    <w:tmpl w:val="2B3E760C"/>
    <w:lvl w:ilvl="0" w:tplc="27647E92">
      <w:start w:val="5"/>
      <w:numFmt w:val="decimal"/>
      <w:lvlText w:val="%1."/>
      <w:lvlJc w:val="left"/>
      <w:pPr>
        <w:tabs>
          <w:tab w:val="num" w:pos="454"/>
        </w:tabs>
        <w:ind w:left="454" w:hanging="454"/>
      </w:pPr>
      <w:rPr>
        <w:rFonts w:ascii="Tahoma" w:hAnsi="Tahoma" w:cs="Tahoma" w:hint="default"/>
        <w:b/>
        <w:i w:val="0"/>
        <w:shadow/>
        <w:sz w:val="22"/>
        <w:szCs w:val="22"/>
        <w:u w:color="FFFFFF"/>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131D60A9"/>
    <w:multiLevelType w:val="hybridMultilevel"/>
    <w:tmpl w:val="C5D65FC6"/>
    <w:lvl w:ilvl="0" w:tplc="AAC2829A">
      <w:start w:val="1"/>
      <w:numFmt w:val="decimal"/>
      <w:lvlText w:val="%1."/>
      <w:lvlJc w:val="left"/>
      <w:pPr>
        <w:tabs>
          <w:tab w:val="num" w:pos="720"/>
        </w:tabs>
        <w:ind w:left="720" w:hanging="360"/>
      </w:pPr>
      <w:rPr>
        <w:rFonts w:hint="default"/>
        <w:b/>
      </w:rPr>
    </w:lvl>
    <w:lvl w:ilvl="1" w:tplc="64268118">
      <w:start w:val="1"/>
      <w:numFmt w:val="bullet"/>
      <w:lvlText w:val=""/>
      <w:lvlJc w:val="left"/>
      <w:pPr>
        <w:tabs>
          <w:tab w:val="num" w:pos="1440"/>
        </w:tabs>
        <w:ind w:left="1440" w:hanging="360"/>
      </w:pPr>
      <w:rPr>
        <w:rFonts w:ascii="Symbol" w:eastAsia="Times New Roman" w:hAnsi="Symbol" w:cs="Arial" w:hint="default"/>
      </w:rPr>
    </w:lvl>
    <w:lvl w:ilvl="2" w:tplc="0C0A001B">
      <w:start w:val="1"/>
      <w:numFmt w:val="lowerRoman"/>
      <w:lvlText w:val="%3."/>
      <w:lvlJc w:val="right"/>
      <w:pPr>
        <w:tabs>
          <w:tab w:val="num" w:pos="2160"/>
        </w:tabs>
        <w:ind w:left="2160" w:hanging="180"/>
      </w:pPr>
    </w:lvl>
    <w:lvl w:ilvl="3" w:tplc="852EDCEC">
      <w:start w:val="1"/>
      <w:numFmt w:val="lowerRoman"/>
      <w:lvlText w:val="%4)"/>
      <w:lvlJc w:val="left"/>
      <w:pPr>
        <w:tabs>
          <w:tab w:val="num" w:pos="3240"/>
        </w:tabs>
        <w:ind w:left="3240" w:hanging="720"/>
      </w:pPr>
      <w:rPr>
        <w:rFonts w:hint="default"/>
      </w:rPr>
    </w:lvl>
    <w:lvl w:ilvl="4" w:tplc="0C0A0019">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523C18B4"/>
    <w:multiLevelType w:val="hybridMultilevel"/>
    <w:tmpl w:val="97145A16"/>
    <w:lvl w:ilvl="0" w:tplc="D6DC4EF0">
      <w:start w:val="1"/>
      <w:numFmt w:val="lowerRoman"/>
      <w:lvlText w:val="(%1)"/>
      <w:lvlJc w:val="left"/>
      <w:pPr>
        <w:tabs>
          <w:tab w:val="num" w:pos="1134"/>
        </w:tabs>
        <w:ind w:left="1134" w:hanging="680"/>
      </w:pPr>
      <w:rPr>
        <w:rFonts w:ascii="Bookman Old Style" w:hAnsi="Bookman Old Style" w:hint="default"/>
        <w:b/>
        <w:i w:val="0"/>
        <w:shadow/>
        <w:emboss w:val="0"/>
        <w:imprint w:val="0"/>
        <w:color w:val="auto"/>
        <w:sz w:val="20"/>
        <w:szCs w:val="20"/>
      </w:rPr>
    </w:lvl>
    <w:lvl w:ilvl="1" w:tplc="91586B28">
      <w:start w:val="1"/>
      <w:numFmt w:val="decimal"/>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57FD5746"/>
    <w:multiLevelType w:val="hybridMultilevel"/>
    <w:tmpl w:val="BD9C8842"/>
    <w:lvl w:ilvl="0" w:tplc="B2808640">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656D6579"/>
    <w:multiLevelType w:val="hybridMultilevel"/>
    <w:tmpl w:val="20DCF904"/>
    <w:lvl w:ilvl="0" w:tplc="D188CAA4">
      <w:start w:val="1"/>
      <w:numFmt w:val="decimal"/>
      <w:lvlText w:val="%1."/>
      <w:lvlJc w:val="left"/>
      <w:pPr>
        <w:tabs>
          <w:tab w:val="num" w:pos="720"/>
        </w:tabs>
        <w:ind w:left="720" w:hanging="360"/>
      </w:pPr>
      <w:rPr>
        <w:rFonts w:cs="Arial"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
  </w:num>
  <w:num w:numId="5">
    <w:abstractNumId w:val="2"/>
  </w:num>
  <w:num w:numId="6">
    <w:abstractNumId w:val="6"/>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D64E39"/>
    <w:rsid w:val="00021EB1"/>
    <w:rsid w:val="00212EBA"/>
    <w:rsid w:val="00522A24"/>
    <w:rsid w:val="005A074E"/>
    <w:rsid w:val="006125F6"/>
    <w:rsid w:val="008E032F"/>
    <w:rsid w:val="009643DD"/>
    <w:rsid w:val="009F758B"/>
    <w:rsid w:val="00AB0E85"/>
    <w:rsid w:val="00D64E39"/>
    <w:rsid w:val="00DC58D4"/>
    <w:rsid w:val="00E5075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E39"/>
    <w:rPr>
      <w:rFonts w:ascii="Times New Roman" w:eastAsia="Times New Roman" w:hAnsi="Times New Roman"/>
    </w:rPr>
  </w:style>
  <w:style w:type="paragraph" w:styleId="Ttulo3">
    <w:name w:val="heading 3"/>
    <w:basedOn w:val="Normal"/>
    <w:next w:val="Normal"/>
    <w:link w:val="Ttulo3Car"/>
    <w:qFormat/>
    <w:rsid w:val="00D64E39"/>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rsid w:val="00D64E39"/>
    <w:rPr>
      <w:rFonts w:ascii="Arial" w:eastAsia="Times New Roman" w:hAnsi="Arial" w:cs="Arial"/>
      <w:b/>
      <w:bCs/>
      <w:sz w:val="26"/>
      <w:szCs w:val="26"/>
      <w:lang w:eastAsia="es-ES"/>
    </w:rPr>
  </w:style>
  <w:style w:type="paragraph" w:styleId="Piedepgina">
    <w:name w:val="footer"/>
    <w:basedOn w:val="Normal"/>
    <w:link w:val="PiedepginaCar"/>
    <w:rsid w:val="00D64E39"/>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rsid w:val="00D64E39"/>
    <w:rPr>
      <w:rFonts w:ascii="Times New Roman" w:eastAsia="Times New Roman" w:hAnsi="Times New Roman" w:cs="Times New Roman"/>
      <w:sz w:val="24"/>
      <w:szCs w:val="20"/>
      <w:lang w:val="es-ES_tradnl" w:eastAsia="es-ES"/>
    </w:rPr>
  </w:style>
  <w:style w:type="paragraph" w:styleId="Textoindependiente">
    <w:name w:val="Body Text"/>
    <w:basedOn w:val="Normal"/>
    <w:link w:val="TextoindependienteCar"/>
    <w:rsid w:val="00D64E39"/>
    <w:pPr>
      <w:jc w:val="both"/>
    </w:pPr>
    <w:rPr>
      <w:rFonts w:ascii="Arial" w:hAnsi="Arial"/>
      <w:sz w:val="24"/>
      <w:lang w:val="es-PE"/>
    </w:rPr>
  </w:style>
  <w:style w:type="character" w:customStyle="1" w:styleId="TextoindependienteCar">
    <w:name w:val="Texto independiente Car"/>
    <w:basedOn w:val="Fuentedeprrafopredeter"/>
    <w:link w:val="Textoindependiente"/>
    <w:rsid w:val="00D64E39"/>
    <w:rPr>
      <w:rFonts w:ascii="Arial" w:eastAsia="Times New Roman" w:hAnsi="Arial" w:cs="Times New Roman"/>
      <w:sz w:val="24"/>
      <w:szCs w:val="20"/>
      <w:lang w:val="es-PE" w:eastAsia="es-ES"/>
    </w:rPr>
  </w:style>
  <w:style w:type="paragraph" w:styleId="Textonotapie">
    <w:name w:val="footnote text"/>
    <w:basedOn w:val="Normal"/>
    <w:link w:val="TextonotapieCar"/>
    <w:semiHidden/>
    <w:rsid w:val="00D64E39"/>
  </w:style>
  <w:style w:type="character" w:customStyle="1" w:styleId="TextonotapieCar">
    <w:name w:val="Texto nota pie Car"/>
    <w:basedOn w:val="Fuentedeprrafopredeter"/>
    <w:link w:val="Textonotapie"/>
    <w:semiHidden/>
    <w:rsid w:val="00D64E39"/>
    <w:rPr>
      <w:rFonts w:ascii="Times New Roman" w:eastAsia="Times New Roman" w:hAnsi="Times New Roman" w:cs="Times New Roman"/>
      <w:sz w:val="20"/>
      <w:szCs w:val="20"/>
      <w:lang w:eastAsia="es-ES"/>
    </w:rPr>
  </w:style>
  <w:style w:type="character" w:styleId="Refdenotaalpie">
    <w:name w:val="footnote reference"/>
    <w:basedOn w:val="Fuentedeprrafopredeter"/>
    <w:semiHidden/>
    <w:rsid w:val="00D64E39"/>
    <w:rPr>
      <w:vertAlign w:val="superscript"/>
    </w:rPr>
  </w:style>
  <w:style w:type="character" w:styleId="Nmerodepgina">
    <w:name w:val="page number"/>
    <w:basedOn w:val="Fuentedeprrafopredeter"/>
    <w:rsid w:val="00D64E39"/>
  </w:style>
  <w:style w:type="paragraph" w:styleId="Prrafodelista">
    <w:name w:val="List Paragraph"/>
    <w:basedOn w:val="Normal"/>
    <w:uiPriority w:val="34"/>
    <w:qFormat/>
    <w:rsid w:val="00D64E39"/>
    <w:pPr>
      <w:widowControl w:val="0"/>
      <w:suppressAutoHyphens/>
      <w:ind w:left="720"/>
      <w:contextualSpacing/>
    </w:pPr>
    <w:rPr>
      <w:sz w:val="24"/>
      <w:lang w:val="es-ES_tradnl"/>
    </w:rPr>
  </w:style>
</w:styles>
</file>

<file path=word/webSettings.xml><?xml version="1.0" encoding="utf-8"?>
<w:webSettings xmlns:r="http://schemas.openxmlformats.org/officeDocument/2006/relationships" xmlns:w="http://schemas.openxmlformats.org/wordprocessingml/2006/main">
  <w:divs>
    <w:div w:id="601885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1617</Words>
  <Characters>8894</Characters>
  <Application>Microsoft Office Word</Application>
  <DocSecurity>0</DocSecurity>
  <Lines>74</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2112-2007/TC-S3</dc:title>
  <dc:subject>APLICACIÓN DE SANCION</dc:subject>
  <dc:creator>TRIBUNAL</dc:creator>
  <cp:keywords>RECURSO DE RECONSIDERACION</cp:keywords>
  <dc:description/>
  <cp:lastModifiedBy>erueda</cp:lastModifiedBy>
  <cp:revision>2</cp:revision>
  <cp:lastPrinted>2007-11-30T23:50:00Z</cp:lastPrinted>
  <dcterms:created xsi:type="dcterms:W3CDTF">2007-12-14T16:13:00Z</dcterms:created>
  <dcterms:modified xsi:type="dcterms:W3CDTF">2007-12-14T16:13:00Z</dcterms:modified>
  <cp:category>RESOLUCIÓN - TRIBUNAL</cp:category>
</cp:coreProperties>
</file>