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EDA" w:rsidRDefault="00282EDA" w:rsidP="00282EDA">
      <w:pPr>
        <w:ind w:left="2340" w:right="1440" w:firstLine="492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RESOLUCION N</w:t>
      </w:r>
      <w:proofErr w:type="gramStart"/>
      <w:r>
        <w:rPr>
          <w:rFonts w:ascii="Tahoma" w:hAnsi="Tahoma" w:cs="Tahoma"/>
          <w:b/>
        </w:rPr>
        <w:t>.º</w:t>
      </w:r>
      <w:proofErr w:type="gramEnd"/>
      <w:r>
        <w:rPr>
          <w:rFonts w:ascii="Tahoma" w:hAnsi="Tahoma" w:cs="Tahoma"/>
          <w:b/>
        </w:rPr>
        <w:t xml:space="preserve"> 2052-2007/TC-S3</w:t>
      </w:r>
    </w:p>
    <w:p w:rsidR="00282EDA" w:rsidRDefault="00282EDA" w:rsidP="00282EDA">
      <w:pPr>
        <w:ind w:left="2340" w:right="1440" w:hanging="900"/>
        <w:jc w:val="both"/>
        <w:rPr>
          <w:rFonts w:ascii="Tahoma" w:hAnsi="Tahoma" w:cs="Tahoma"/>
          <w:b/>
        </w:rPr>
      </w:pPr>
    </w:p>
    <w:p w:rsidR="00282EDA" w:rsidRPr="00C02560" w:rsidRDefault="00282EDA" w:rsidP="00282EDA">
      <w:pPr>
        <w:ind w:left="2340" w:right="1440" w:hanging="900"/>
        <w:jc w:val="both"/>
        <w:rPr>
          <w:rFonts w:ascii="Tahoma" w:hAnsi="Tahoma" w:cs="Tahoma"/>
          <w:i/>
        </w:rPr>
      </w:pPr>
      <w:r w:rsidRPr="00D5441B">
        <w:rPr>
          <w:rFonts w:ascii="Tahoma" w:hAnsi="Tahoma" w:cs="Tahoma"/>
          <w:b/>
        </w:rPr>
        <w:t>Sumilla</w:t>
      </w:r>
      <w:r w:rsidRPr="00D5441B">
        <w:rPr>
          <w:rFonts w:ascii="Tahoma" w:hAnsi="Tahoma" w:cs="Tahoma"/>
        </w:rPr>
        <w:t xml:space="preserve">: </w:t>
      </w:r>
      <w:r w:rsidRPr="00C02560">
        <w:rPr>
          <w:rFonts w:ascii="Tahoma" w:hAnsi="Tahoma" w:cs="Tahoma"/>
          <w:i/>
        </w:rPr>
        <w:t xml:space="preserve">El procedimiento de resolución contractual ha sido previsto en el artículo 226 del Reglamento, el cual dispone que en </w:t>
      </w:r>
      <w:r w:rsidRPr="00C02560">
        <w:rPr>
          <w:rFonts w:ascii="Tahoma" w:hAnsi="Tahoma" w:cs="Tahoma"/>
          <w:i/>
          <w:lang w:val="es-ES_tradnl"/>
        </w:rPr>
        <w:t xml:space="preserve">caso de incumplimiento contractual, la parte afectada </w:t>
      </w:r>
      <w:proofErr w:type="gramStart"/>
      <w:r w:rsidRPr="00C02560">
        <w:rPr>
          <w:rFonts w:ascii="Tahoma" w:hAnsi="Tahoma" w:cs="Tahoma"/>
          <w:i/>
          <w:lang w:val="es-ES_tradnl"/>
        </w:rPr>
        <w:t>requerirá</w:t>
      </w:r>
      <w:proofErr w:type="gramEnd"/>
      <w:r w:rsidRPr="00C02560">
        <w:rPr>
          <w:rFonts w:ascii="Tahoma" w:hAnsi="Tahoma" w:cs="Tahoma"/>
          <w:i/>
          <w:lang w:val="es-ES_tradnl"/>
        </w:rPr>
        <w:t xml:space="preserve"> a la otra notarialmente para que satisfaga sus obligaciones en un plazo no mayor de cinco (05) días, bajo apercibimiento de resolver el contrato.</w:t>
      </w:r>
    </w:p>
    <w:p w:rsidR="00282EDA" w:rsidRDefault="00282EDA" w:rsidP="00282EDA">
      <w:pPr>
        <w:tabs>
          <w:tab w:val="left" w:pos="2700"/>
          <w:tab w:val="left" w:pos="2880"/>
          <w:tab w:val="left" w:pos="6300"/>
        </w:tabs>
        <w:ind w:left="2700" w:right="3060" w:hanging="1080"/>
        <w:jc w:val="both"/>
        <w:rPr>
          <w:rFonts w:ascii="Tahoma" w:hAnsi="Tahoma" w:cs="Tahoma"/>
          <w:i/>
          <w:lang w:val="es-PE"/>
        </w:rPr>
      </w:pPr>
    </w:p>
    <w:p w:rsidR="00282EDA" w:rsidRPr="00AC077E" w:rsidRDefault="00282EDA" w:rsidP="00282EDA">
      <w:pPr>
        <w:tabs>
          <w:tab w:val="left" w:pos="2700"/>
          <w:tab w:val="left" w:pos="2880"/>
          <w:tab w:val="left" w:pos="6300"/>
        </w:tabs>
        <w:ind w:left="2700" w:right="3060" w:hanging="1080"/>
        <w:jc w:val="both"/>
        <w:rPr>
          <w:rFonts w:ascii="Tahoma" w:hAnsi="Tahoma" w:cs="Tahoma"/>
          <w:i/>
          <w:lang w:val="es-PE"/>
        </w:rPr>
      </w:pPr>
    </w:p>
    <w:p w:rsidR="00282EDA" w:rsidRDefault="00282EDA" w:rsidP="00282EDA">
      <w:pPr>
        <w:pStyle w:val="Textoindependiente3"/>
        <w:ind w:left="4956" w:firstLine="84"/>
        <w:rPr>
          <w:rFonts w:ascii="Tahoma" w:hAnsi="Tahoma" w:cs="Tahoma"/>
          <w:b/>
          <w:sz w:val="20"/>
          <w:szCs w:val="20"/>
        </w:rPr>
      </w:pPr>
      <w:r w:rsidRPr="008D008A">
        <w:rPr>
          <w:rFonts w:ascii="Tahoma" w:hAnsi="Tahoma" w:cs="Tahoma"/>
          <w:b/>
          <w:sz w:val="20"/>
          <w:szCs w:val="20"/>
        </w:rPr>
        <w:t xml:space="preserve">Lima, </w:t>
      </w:r>
      <w:r>
        <w:rPr>
          <w:rFonts w:ascii="Tahoma" w:hAnsi="Tahoma" w:cs="Tahoma"/>
          <w:b/>
          <w:sz w:val="20"/>
          <w:szCs w:val="20"/>
        </w:rPr>
        <w:t>27 DE NOVIEMBRE DE 2007</w:t>
      </w:r>
    </w:p>
    <w:p w:rsidR="00282EDA" w:rsidRDefault="00282EDA" w:rsidP="00282EDA">
      <w:pPr>
        <w:pStyle w:val="Textoindependiente3"/>
        <w:ind w:left="4956" w:firstLine="84"/>
        <w:rPr>
          <w:rFonts w:ascii="Tahoma" w:hAnsi="Tahoma" w:cs="Tahoma"/>
          <w:b/>
          <w:sz w:val="20"/>
          <w:szCs w:val="20"/>
        </w:rPr>
      </w:pPr>
    </w:p>
    <w:p w:rsidR="00282EDA" w:rsidRPr="007F7BA2" w:rsidRDefault="00282EDA" w:rsidP="00282EDA">
      <w:pPr>
        <w:jc w:val="both"/>
        <w:rPr>
          <w:rFonts w:ascii="Tahoma" w:hAnsi="Tahoma" w:cs="Tahoma"/>
        </w:rPr>
      </w:pPr>
      <w:r w:rsidRPr="007F7BA2">
        <w:rPr>
          <w:rFonts w:ascii="Tahoma" w:hAnsi="Tahoma" w:cs="Tahoma"/>
          <w:b/>
        </w:rPr>
        <w:t>Visto</w:t>
      </w:r>
      <w:r w:rsidRPr="007F7BA2">
        <w:rPr>
          <w:rFonts w:ascii="Tahoma" w:hAnsi="Tahoma" w:cs="Tahoma"/>
        </w:rPr>
        <w:t xml:space="preserve"> en sesión de fecha 22 de noviembre de 2007 de la Tercera Sala del Tribunal de Contrataciones y Adquisiciones del Estado el Expediente N.° 1499.2007.TC, sobre el procedimiento de aplicación de sanción a </w:t>
      </w:r>
      <w:r w:rsidRPr="007F7BA2">
        <w:rPr>
          <w:rFonts w:ascii="Tahoma" w:hAnsi="Tahoma" w:cs="Tahoma"/>
          <w:bCs/>
          <w:lang w:val="es-ES_tradnl"/>
        </w:rPr>
        <w:t>la señora  María del Pilar Pachas Bonilla</w:t>
      </w:r>
      <w:r w:rsidRPr="007F7BA2">
        <w:rPr>
          <w:rFonts w:ascii="Tahoma" w:hAnsi="Tahoma" w:cs="Tahoma"/>
        </w:rPr>
        <w:t xml:space="preserve">, por supuesta responsabilidad en dar lugar a la resolución del </w:t>
      </w:r>
      <w:r w:rsidRPr="007F7BA2">
        <w:rPr>
          <w:rFonts w:ascii="Tahoma" w:hAnsi="Tahoma" w:cs="Tahoma"/>
          <w:bCs/>
          <w:lang w:val="es-ES_tradnl"/>
        </w:rPr>
        <w:t>Contrato N.° 014-2006-UNC</w:t>
      </w:r>
      <w:r w:rsidRPr="007F7BA2">
        <w:rPr>
          <w:rFonts w:ascii="Tahoma" w:hAnsi="Tahoma" w:cs="Tahoma"/>
          <w:lang w:val="es-ES_tradnl"/>
        </w:rPr>
        <w:t xml:space="preserve"> por causal atribuible a su parte,</w:t>
      </w:r>
      <w:r>
        <w:rPr>
          <w:rFonts w:ascii="Tahoma" w:hAnsi="Tahoma" w:cs="Tahoma"/>
          <w:lang w:val="es-ES_tradnl"/>
        </w:rPr>
        <w:t xml:space="preserve"> respecto de los </w:t>
      </w:r>
      <w:proofErr w:type="spellStart"/>
      <w:r>
        <w:rPr>
          <w:rFonts w:ascii="Tahoma" w:hAnsi="Tahoma" w:cs="Tahoma"/>
          <w:lang w:val="es-ES_tradnl"/>
        </w:rPr>
        <w:t>Items</w:t>
      </w:r>
      <w:proofErr w:type="spellEnd"/>
      <w:r>
        <w:rPr>
          <w:rFonts w:ascii="Tahoma" w:hAnsi="Tahoma" w:cs="Tahoma"/>
          <w:lang w:val="es-ES_tradnl"/>
        </w:rPr>
        <w:t xml:space="preserve"> </w:t>
      </w:r>
      <w:proofErr w:type="spellStart"/>
      <w:r>
        <w:rPr>
          <w:rFonts w:ascii="Tahoma" w:hAnsi="Tahoma" w:cs="Tahoma"/>
          <w:lang w:val="es-ES_tradnl"/>
        </w:rPr>
        <w:t>Nros</w:t>
      </w:r>
      <w:proofErr w:type="spellEnd"/>
      <w:r>
        <w:rPr>
          <w:rFonts w:ascii="Tahoma" w:hAnsi="Tahoma" w:cs="Tahoma"/>
          <w:lang w:val="es-ES_tradnl"/>
        </w:rPr>
        <w:t xml:space="preserve">. 01,02,03,05,06,08,09,19,21,22,24,29,30,31,36,37,38,39,40,41,42,43,44,45,47,48 y 50; </w:t>
      </w:r>
      <w:r w:rsidRPr="007F7BA2">
        <w:rPr>
          <w:rFonts w:ascii="Tahoma" w:hAnsi="Tahoma" w:cs="Tahoma"/>
          <w:lang w:val="es-ES_tradnl"/>
        </w:rPr>
        <w:t xml:space="preserve"> derivado de la </w:t>
      </w:r>
      <w:r w:rsidRPr="007F7BA2">
        <w:rPr>
          <w:rFonts w:ascii="Tahoma" w:hAnsi="Tahoma" w:cs="Tahoma"/>
          <w:bCs/>
          <w:lang w:val="es-ES_tradnl"/>
        </w:rPr>
        <w:t>Adjudicación Directa Selectiva Nº 0007-2005-UNC -Segunda convocatoria</w:t>
      </w:r>
      <w:r w:rsidRPr="007F7BA2">
        <w:rPr>
          <w:rFonts w:ascii="Tahoma" w:hAnsi="Tahoma" w:cs="Tahoma"/>
        </w:rPr>
        <w:t xml:space="preserve">,  efectuada por </w:t>
      </w:r>
      <w:r w:rsidRPr="007F7BA2">
        <w:rPr>
          <w:rFonts w:ascii="Tahoma" w:hAnsi="Tahoma" w:cs="Tahoma"/>
          <w:bCs/>
          <w:lang w:val="es-ES_tradnl"/>
        </w:rPr>
        <w:t>la Universidad Nacional de Cajamarca</w:t>
      </w:r>
      <w:r w:rsidRPr="007F7BA2">
        <w:rPr>
          <w:rFonts w:ascii="Tahoma" w:hAnsi="Tahoma" w:cs="Tahoma"/>
        </w:rPr>
        <w:t xml:space="preserve">, para la </w:t>
      </w:r>
      <w:r w:rsidRPr="007F7BA2">
        <w:rPr>
          <w:rFonts w:ascii="Tahoma" w:hAnsi="Tahoma" w:cs="Tahoma"/>
          <w:bCs/>
          <w:lang w:val="es-ES_tradnl"/>
        </w:rPr>
        <w:t>adquisición de materiales para la construcción</w:t>
      </w:r>
      <w:r w:rsidRPr="007F7BA2">
        <w:rPr>
          <w:rFonts w:ascii="Tahoma" w:hAnsi="Tahoma" w:cs="Tahoma"/>
        </w:rPr>
        <w:t>;</w:t>
      </w:r>
      <w:r w:rsidRPr="007F7BA2">
        <w:rPr>
          <w:rFonts w:ascii="Tahoma" w:hAnsi="Tahoma" w:cs="Tahoma"/>
          <w:color w:val="000000"/>
        </w:rPr>
        <w:t xml:space="preserve"> y atendiendo a los siguientes:    </w:t>
      </w:r>
    </w:p>
    <w:p w:rsidR="00282EDA" w:rsidRPr="007F7BA2" w:rsidRDefault="00282EDA" w:rsidP="00282EDA">
      <w:pPr>
        <w:pStyle w:val="Textoindependiente"/>
        <w:widowControl/>
        <w:tabs>
          <w:tab w:val="left" w:pos="540"/>
        </w:tabs>
        <w:suppressAutoHyphens w:val="0"/>
        <w:rPr>
          <w:rFonts w:cs="Tahoma"/>
          <w:sz w:val="20"/>
          <w:lang w:val="es-ES"/>
        </w:rPr>
      </w:pPr>
    </w:p>
    <w:p w:rsidR="00282EDA" w:rsidRPr="008D008A" w:rsidRDefault="00282EDA" w:rsidP="00282EDA">
      <w:pPr>
        <w:jc w:val="both"/>
        <w:rPr>
          <w:rFonts w:ascii="Tahoma" w:hAnsi="Tahoma" w:cs="Tahoma"/>
          <w:b/>
          <w:shadow/>
        </w:rPr>
      </w:pPr>
      <w:r w:rsidRPr="008D008A">
        <w:rPr>
          <w:rFonts w:ascii="Tahoma" w:hAnsi="Tahoma" w:cs="Tahoma"/>
          <w:b/>
          <w:shadow/>
        </w:rPr>
        <w:t>ANTECEDENTES:</w:t>
      </w:r>
    </w:p>
    <w:p w:rsidR="00282EDA" w:rsidRPr="004407AA" w:rsidRDefault="00282EDA" w:rsidP="00282EDA">
      <w:pPr>
        <w:ind w:left="360"/>
        <w:jc w:val="both"/>
        <w:rPr>
          <w:rFonts w:ascii="Tahoma" w:hAnsi="Tahoma" w:cs="Tahoma"/>
        </w:rPr>
      </w:pPr>
    </w:p>
    <w:p w:rsidR="00282EDA" w:rsidRPr="004407AA" w:rsidRDefault="00282EDA" w:rsidP="00282EDA">
      <w:pPr>
        <w:pStyle w:val="Textoindependiente"/>
        <w:widowControl/>
        <w:numPr>
          <w:ilvl w:val="0"/>
          <w:numId w:val="1"/>
        </w:numPr>
        <w:tabs>
          <w:tab w:val="left" w:pos="-2340"/>
        </w:tabs>
        <w:suppressAutoHyphens w:val="0"/>
        <w:ind w:hanging="540"/>
        <w:rPr>
          <w:rFonts w:cs="Tahoma"/>
          <w:bCs/>
          <w:sz w:val="20"/>
        </w:rPr>
      </w:pPr>
      <w:r w:rsidRPr="004407AA">
        <w:rPr>
          <w:rFonts w:cs="Tahoma"/>
          <w:bCs/>
          <w:sz w:val="20"/>
        </w:rPr>
        <w:t xml:space="preserve">El  </w:t>
      </w:r>
      <w:r w:rsidRPr="00CD223F">
        <w:rPr>
          <w:rFonts w:cs="Tahoma"/>
          <w:bCs/>
          <w:sz w:val="20"/>
        </w:rPr>
        <w:t>28 de diciembre de 2005</w:t>
      </w:r>
      <w:r w:rsidRPr="004407AA">
        <w:rPr>
          <w:rFonts w:cs="Tahoma"/>
          <w:bCs/>
          <w:sz w:val="20"/>
        </w:rPr>
        <w:t>, la Universidad Nacional de Cajamarca, en adelante la Entidad, convocó la Adjudicación Directa Selectiva Nº 0007-2005-UNC por  ítems -Segunda convocatoria, para la adquisición de materiales para la construcción, por un valor referencial ascendente a S/. 78,549.00 (Setenta</w:t>
      </w:r>
      <w:r>
        <w:rPr>
          <w:rFonts w:cs="Tahoma"/>
          <w:bCs/>
          <w:sz w:val="20"/>
        </w:rPr>
        <w:t xml:space="preserve"> y </w:t>
      </w:r>
      <w:r w:rsidRPr="004407AA">
        <w:rPr>
          <w:rFonts w:cs="Tahoma"/>
          <w:bCs/>
          <w:sz w:val="20"/>
        </w:rPr>
        <w:t>ocho mil quinientos cuarenta</w:t>
      </w:r>
      <w:r>
        <w:rPr>
          <w:rFonts w:cs="Tahoma"/>
          <w:bCs/>
          <w:sz w:val="20"/>
        </w:rPr>
        <w:t xml:space="preserve">  y </w:t>
      </w:r>
      <w:r w:rsidRPr="004407AA">
        <w:rPr>
          <w:rFonts w:cs="Tahoma"/>
          <w:bCs/>
          <w:sz w:val="20"/>
        </w:rPr>
        <w:t>nueve con 00/100 nuevos soles).</w:t>
      </w:r>
    </w:p>
    <w:p w:rsidR="00282EDA" w:rsidRPr="004407AA" w:rsidRDefault="00282EDA" w:rsidP="00282EDA">
      <w:pPr>
        <w:pStyle w:val="Textoindependiente"/>
        <w:tabs>
          <w:tab w:val="left" w:pos="-2340"/>
        </w:tabs>
        <w:rPr>
          <w:rFonts w:cs="Tahoma"/>
          <w:bCs/>
          <w:sz w:val="20"/>
        </w:rPr>
      </w:pPr>
    </w:p>
    <w:p w:rsidR="00282EDA" w:rsidRDefault="00282EDA" w:rsidP="00282EDA">
      <w:pPr>
        <w:pStyle w:val="Textoindependiente"/>
        <w:widowControl/>
        <w:numPr>
          <w:ilvl w:val="0"/>
          <w:numId w:val="1"/>
        </w:numPr>
        <w:tabs>
          <w:tab w:val="left" w:pos="-2340"/>
        </w:tabs>
        <w:suppressAutoHyphens w:val="0"/>
        <w:ind w:hanging="540"/>
        <w:rPr>
          <w:rFonts w:cs="Tahoma"/>
          <w:bCs/>
          <w:sz w:val="20"/>
        </w:rPr>
      </w:pPr>
      <w:r w:rsidRPr="004407AA">
        <w:rPr>
          <w:rFonts w:cs="Tahoma"/>
          <w:bCs/>
          <w:sz w:val="20"/>
        </w:rPr>
        <w:t>El 11 y 13 de enero de 2006,  se llevó a cabo el acto de presentación de propuestas, y otorgamiento de la buena pro,</w:t>
      </w:r>
      <w:r w:rsidRPr="00CD223F">
        <w:rPr>
          <w:rFonts w:cs="Tahoma"/>
          <w:bCs/>
          <w:sz w:val="20"/>
        </w:rPr>
        <w:t xml:space="preserve"> </w:t>
      </w:r>
      <w:r w:rsidRPr="004407AA">
        <w:rPr>
          <w:rFonts w:cs="Tahoma"/>
          <w:bCs/>
          <w:sz w:val="20"/>
        </w:rPr>
        <w:t>respectivamente</w:t>
      </w:r>
      <w:r>
        <w:rPr>
          <w:rFonts w:cs="Tahoma"/>
          <w:bCs/>
          <w:sz w:val="20"/>
        </w:rPr>
        <w:t>,</w:t>
      </w:r>
      <w:r w:rsidRPr="004407AA">
        <w:rPr>
          <w:rFonts w:cs="Tahoma"/>
          <w:bCs/>
          <w:sz w:val="20"/>
        </w:rPr>
        <w:t xml:space="preserve"> resultando ganadora respecto de </w:t>
      </w:r>
      <w:r>
        <w:rPr>
          <w:rFonts w:cs="Tahoma"/>
          <w:bCs/>
          <w:sz w:val="20"/>
        </w:rPr>
        <w:t xml:space="preserve">27 Ítems convocados </w:t>
      </w:r>
      <w:r w:rsidRPr="004407AA">
        <w:rPr>
          <w:rFonts w:cs="Tahoma"/>
          <w:bCs/>
          <w:sz w:val="20"/>
        </w:rPr>
        <w:t xml:space="preserve">la señora  María del Pilar Pachas Bonilla, </w:t>
      </w:r>
      <w:r>
        <w:rPr>
          <w:rFonts w:cs="Tahoma"/>
          <w:bCs/>
          <w:sz w:val="20"/>
        </w:rPr>
        <w:t xml:space="preserve"> en adelante la Contratista, según el siguiente detalle:</w:t>
      </w:r>
    </w:p>
    <w:p w:rsidR="00282EDA" w:rsidRPr="00325C5B" w:rsidRDefault="00282EDA" w:rsidP="00282EDA">
      <w:pPr>
        <w:jc w:val="both"/>
      </w:pPr>
      <w:r>
        <w:rPr>
          <w:rFonts w:cs="Tahoma"/>
          <w:bCs/>
          <w:lang w:val="es-ES_tradnl"/>
        </w:rPr>
        <w:tab/>
      </w:r>
    </w:p>
    <w:tbl>
      <w:tblPr>
        <w:tblStyle w:val="Tablaconcuadrcula"/>
        <w:tblW w:w="7920" w:type="dxa"/>
        <w:tblInd w:w="648" w:type="dxa"/>
        <w:tblLook w:val="01E0"/>
      </w:tblPr>
      <w:tblGrid>
        <w:gridCol w:w="2160"/>
        <w:gridCol w:w="3240"/>
        <w:gridCol w:w="2520"/>
      </w:tblGrid>
      <w:tr w:rsidR="00282EDA" w:rsidRPr="00325C5B" w:rsidTr="00C5495A">
        <w:tc>
          <w:tcPr>
            <w:tcW w:w="2160" w:type="dxa"/>
            <w:vAlign w:val="center"/>
          </w:tcPr>
          <w:p w:rsidR="00282EDA" w:rsidRPr="00CD223F" w:rsidRDefault="00282EDA" w:rsidP="00C5495A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282EDA" w:rsidRPr="00CD223F" w:rsidRDefault="00282EDA" w:rsidP="00C5495A">
            <w:pPr>
              <w:jc w:val="center"/>
              <w:rPr>
                <w:rFonts w:ascii="Tahoma" w:hAnsi="Tahoma" w:cs="Tahoma"/>
                <w:b/>
              </w:rPr>
            </w:pPr>
            <w:r w:rsidRPr="00CD223F">
              <w:rPr>
                <w:rFonts w:ascii="Tahoma" w:hAnsi="Tahoma" w:cs="Tahoma"/>
                <w:b/>
                <w:bCs/>
              </w:rPr>
              <w:t>Nombre o Razón Social del Postor</w:t>
            </w:r>
          </w:p>
        </w:tc>
        <w:tc>
          <w:tcPr>
            <w:tcW w:w="3240" w:type="dxa"/>
            <w:vAlign w:val="center"/>
          </w:tcPr>
          <w:p w:rsidR="00282EDA" w:rsidRPr="00CD223F" w:rsidRDefault="00282EDA" w:rsidP="00C5495A">
            <w:pPr>
              <w:pStyle w:val="Refdenotaalpie"/>
              <w:tabs>
                <w:tab w:val="left" w:pos="1106"/>
                <w:tab w:val="left" w:pos="5760"/>
              </w:tabs>
              <w:jc w:val="center"/>
              <w:rPr>
                <w:rFonts w:ascii="Tahoma" w:hAnsi="Tahoma" w:cs="Tahoma"/>
                <w:b/>
              </w:rPr>
            </w:pPr>
          </w:p>
          <w:p w:rsidR="00282EDA" w:rsidRPr="00CD223F" w:rsidRDefault="00282EDA" w:rsidP="00C5495A">
            <w:pPr>
              <w:jc w:val="center"/>
              <w:rPr>
                <w:rFonts w:ascii="Tahoma" w:hAnsi="Tahoma" w:cs="Tahoma"/>
                <w:b/>
              </w:rPr>
            </w:pPr>
            <w:r w:rsidRPr="00CD223F">
              <w:rPr>
                <w:rFonts w:ascii="Tahoma" w:hAnsi="Tahoma" w:cs="Tahoma"/>
                <w:b/>
                <w:bCs/>
              </w:rPr>
              <w:t>Ítems Adjudicados</w:t>
            </w:r>
          </w:p>
        </w:tc>
        <w:tc>
          <w:tcPr>
            <w:tcW w:w="2520" w:type="dxa"/>
            <w:vAlign w:val="center"/>
          </w:tcPr>
          <w:p w:rsidR="00282EDA" w:rsidRPr="00CD223F" w:rsidRDefault="00282EDA" w:rsidP="00C5495A">
            <w:pPr>
              <w:jc w:val="center"/>
              <w:rPr>
                <w:rFonts w:ascii="Tahoma" w:hAnsi="Tahoma" w:cs="Tahoma"/>
                <w:b/>
              </w:rPr>
            </w:pPr>
            <w:r w:rsidRPr="00CD223F">
              <w:rPr>
                <w:rFonts w:ascii="Tahoma" w:hAnsi="Tahoma" w:cs="Tahoma"/>
                <w:b/>
                <w:bCs/>
              </w:rPr>
              <w:t>Monto Adjudicado (S/.)</w:t>
            </w:r>
          </w:p>
        </w:tc>
      </w:tr>
      <w:tr w:rsidR="00282EDA" w:rsidRPr="002454A5" w:rsidTr="00C5495A">
        <w:tc>
          <w:tcPr>
            <w:tcW w:w="2160" w:type="dxa"/>
            <w:vAlign w:val="center"/>
          </w:tcPr>
          <w:p w:rsidR="00282EDA" w:rsidRPr="00CD223F" w:rsidRDefault="00282EDA" w:rsidP="00C5495A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CD223F">
              <w:rPr>
                <w:rFonts w:ascii="Tahoma" w:hAnsi="Tahoma" w:cs="Tahoma"/>
                <w:b/>
                <w:bCs/>
              </w:rPr>
              <w:t>PACHAS BONILLA MARIA DEL PILAR</w:t>
            </w:r>
          </w:p>
        </w:tc>
        <w:tc>
          <w:tcPr>
            <w:tcW w:w="3240" w:type="dxa"/>
            <w:vAlign w:val="center"/>
          </w:tcPr>
          <w:p w:rsidR="00282EDA" w:rsidRPr="00CD223F" w:rsidRDefault="00282EDA" w:rsidP="00C5495A">
            <w:pPr>
              <w:jc w:val="center"/>
              <w:rPr>
                <w:rFonts w:ascii="Tahoma" w:hAnsi="Tahoma" w:cs="Tahoma"/>
              </w:rPr>
            </w:pPr>
            <w:r w:rsidRPr="00CD223F">
              <w:rPr>
                <w:rFonts w:ascii="Tahoma" w:hAnsi="Tahoma" w:cs="Tahoma"/>
              </w:rPr>
              <w:t>01, 02, 03, 05, 06, 08, 09, 19, 21, 22, 24, 29, 30, 31, 36, 37, 38, 39, 40, 41, 42, 43, 44, 45, 47, 48 y 50</w:t>
            </w:r>
          </w:p>
        </w:tc>
        <w:tc>
          <w:tcPr>
            <w:tcW w:w="2520" w:type="dxa"/>
            <w:vAlign w:val="center"/>
          </w:tcPr>
          <w:p w:rsidR="00282EDA" w:rsidRPr="00CD223F" w:rsidRDefault="00282EDA" w:rsidP="00C5495A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CD223F">
              <w:rPr>
                <w:rFonts w:ascii="Tahoma" w:hAnsi="Tahoma" w:cs="Tahoma"/>
                <w:b/>
                <w:bCs/>
              </w:rPr>
              <w:t>S/. 22,966.44</w:t>
            </w:r>
          </w:p>
          <w:p w:rsidR="00282EDA" w:rsidRPr="00CD223F" w:rsidRDefault="00282EDA" w:rsidP="00C5495A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282EDA" w:rsidRPr="00325C5B" w:rsidTr="00C5495A">
        <w:tc>
          <w:tcPr>
            <w:tcW w:w="2160" w:type="dxa"/>
            <w:vAlign w:val="center"/>
          </w:tcPr>
          <w:p w:rsidR="00282EDA" w:rsidRPr="00CD223F" w:rsidRDefault="00282EDA" w:rsidP="00C5495A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CD223F">
              <w:rPr>
                <w:rFonts w:ascii="Tahoma" w:hAnsi="Tahoma" w:cs="Tahoma"/>
                <w:b/>
                <w:bCs/>
              </w:rPr>
              <w:t>DISTRIBUIDORA ROMERO SRL.</w:t>
            </w:r>
          </w:p>
        </w:tc>
        <w:tc>
          <w:tcPr>
            <w:tcW w:w="3240" w:type="dxa"/>
            <w:vAlign w:val="center"/>
          </w:tcPr>
          <w:p w:rsidR="00282EDA" w:rsidRPr="00CD223F" w:rsidRDefault="00282EDA" w:rsidP="00C5495A">
            <w:pPr>
              <w:jc w:val="center"/>
              <w:rPr>
                <w:rFonts w:ascii="Tahoma" w:hAnsi="Tahoma" w:cs="Tahoma"/>
                <w:bCs/>
              </w:rPr>
            </w:pPr>
            <w:r w:rsidRPr="00CD223F">
              <w:rPr>
                <w:rFonts w:ascii="Tahoma" w:hAnsi="Tahoma" w:cs="Tahoma"/>
                <w:bCs/>
              </w:rPr>
              <w:t>4, 7, 10, 11, 12, 14 y 55</w:t>
            </w:r>
          </w:p>
        </w:tc>
        <w:tc>
          <w:tcPr>
            <w:tcW w:w="2520" w:type="dxa"/>
            <w:vAlign w:val="center"/>
          </w:tcPr>
          <w:p w:rsidR="00282EDA" w:rsidRPr="00CD223F" w:rsidRDefault="00282EDA" w:rsidP="00C5495A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CD223F">
              <w:rPr>
                <w:rFonts w:ascii="Tahoma" w:hAnsi="Tahoma" w:cs="Tahoma"/>
                <w:b/>
                <w:bCs/>
              </w:rPr>
              <w:t>S/.      889.56</w:t>
            </w:r>
          </w:p>
        </w:tc>
      </w:tr>
      <w:tr w:rsidR="00282EDA" w:rsidRPr="00325C5B" w:rsidTr="00C5495A"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82EDA" w:rsidRPr="00CD223F" w:rsidRDefault="00282EDA" w:rsidP="00C5495A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CD223F">
              <w:rPr>
                <w:rFonts w:ascii="Tahoma" w:hAnsi="Tahoma" w:cs="Tahoma"/>
                <w:b/>
                <w:bCs/>
              </w:rPr>
              <w:t>SYSTELCOMSI SRL.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:rsidR="00282EDA" w:rsidRPr="00CD223F" w:rsidRDefault="00282EDA" w:rsidP="00C5495A">
            <w:pPr>
              <w:jc w:val="center"/>
              <w:rPr>
                <w:rFonts w:ascii="Tahoma" w:hAnsi="Tahoma" w:cs="Tahoma"/>
                <w:bCs/>
              </w:rPr>
            </w:pPr>
            <w:r w:rsidRPr="00CD223F">
              <w:rPr>
                <w:rFonts w:ascii="Tahoma" w:hAnsi="Tahoma" w:cs="Tahoma"/>
                <w:bCs/>
              </w:rPr>
              <w:t>Ítem 53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282EDA" w:rsidRPr="00CD223F" w:rsidRDefault="00282EDA" w:rsidP="00C5495A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CD223F">
              <w:rPr>
                <w:rFonts w:ascii="Tahoma" w:hAnsi="Tahoma" w:cs="Tahoma"/>
                <w:b/>
                <w:bCs/>
              </w:rPr>
              <w:t>S/.   7,000.00</w:t>
            </w:r>
          </w:p>
        </w:tc>
      </w:tr>
      <w:tr w:rsidR="00282EDA" w:rsidRPr="00325C5B" w:rsidTr="00C5495A">
        <w:tc>
          <w:tcPr>
            <w:tcW w:w="5400" w:type="dxa"/>
            <w:gridSpan w:val="2"/>
            <w:tcBorders>
              <w:bottom w:val="single" w:sz="4" w:space="0" w:color="auto"/>
            </w:tcBorders>
            <w:vAlign w:val="center"/>
          </w:tcPr>
          <w:p w:rsidR="00282EDA" w:rsidRPr="00CD223F" w:rsidRDefault="00282EDA" w:rsidP="00C5495A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CD223F">
              <w:rPr>
                <w:rFonts w:ascii="Tahoma" w:hAnsi="Tahoma" w:cs="Tahoma"/>
                <w:b/>
                <w:bCs/>
              </w:rPr>
              <w:t>TOTAL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282EDA" w:rsidRPr="00CD223F" w:rsidRDefault="00282EDA" w:rsidP="00C5495A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CD223F">
              <w:rPr>
                <w:rFonts w:ascii="Tahoma" w:hAnsi="Tahoma" w:cs="Tahoma"/>
                <w:b/>
                <w:bCs/>
              </w:rPr>
              <w:t>S/. 38,856.00</w:t>
            </w:r>
          </w:p>
        </w:tc>
      </w:tr>
    </w:tbl>
    <w:p w:rsidR="00282EDA" w:rsidRPr="004407AA" w:rsidRDefault="00282EDA" w:rsidP="00282EDA">
      <w:pPr>
        <w:pStyle w:val="Textoindependiente"/>
        <w:tabs>
          <w:tab w:val="left" w:pos="-2340"/>
        </w:tabs>
        <w:rPr>
          <w:rFonts w:cs="Tahoma"/>
          <w:bCs/>
          <w:sz w:val="20"/>
        </w:rPr>
      </w:pPr>
    </w:p>
    <w:p w:rsidR="00282EDA" w:rsidRPr="004407AA" w:rsidRDefault="00282EDA" w:rsidP="00282EDA">
      <w:pPr>
        <w:pStyle w:val="Textoindependiente"/>
        <w:tabs>
          <w:tab w:val="left" w:pos="-2340"/>
        </w:tabs>
        <w:rPr>
          <w:rFonts w:cs="Tahoma"/>
          <w:bCs/>
          <w:sz w:val="20"/>
        </w:rPr>
      </w:pPr>
    </w:p>
    <w:p w:rsidR="00282EDA" w:rsidRPr="004407AA" w:rsidRDefault="00282EDA" w:rsidP="00282EDA">
      <w:pPr>
        <w:pStyle w:val="Textoindependiente"/>
        <w:widowControl/>
        <w:numPr>
          <w:ilvl w:val="0"/>
          <w:numId w:val="1"/>
        </w:numPr>
        <w:tabs>
          <w:tab w:val="left" w:pos="-2340"/>
        </w:tabs>
        <w:suppressAutoHyphens w:val="0"/>
        <w:ind w:hanging="540"/>
        <w:rPr>
          <w:rFonts w:cs="Tahoma"/>
          <w:bCs/>
          <w:sz w:val="20"/>
        </w:rPr>
      </w:pPr>
      <w:r w:rsidRPr="004407AA">
        <w:rPr>
          <w:rFonts w:cs="Tahoma"/>
          <w:bCs/>
          <w:sz w:val="20"/>
        </w:rPr>
        <w:t>El 09 de febrero de 2006, la Entidad y la Contratista suscribieron el Contrato N.° 014-2006-UNC para la adquisición de materiales de construcción del Hospital Veterinario, por el monto de S/. 22966,44 (veintidós mil novecientos sesenta</w:t>
      </w:r>
      <w:r>
        <w:rPr>
          <w:rFonts w:cs="Tahoma"/>
          <w:bCs/>
          <w:sz w:val="20"/>
        </w:rPr>
        <w:t xml:space="preserve"> y </w:t>
      </w:r>
      <w:r w:rsidRPr="004407AA">
        <w:rPr>
          <w:rFonts w:cs="Tahoma"/>
          <w:bCs/>
          <w:sz w:val="20"/>
        </w:rPr>
        <w:t>se</w:t>
      </w:r>
      <w:r>
        <w:rPr>
          <w:rFonts w:cs="Tahoma"/>
          <w:bCs/>
          <w:sz w:val="20"/>
        </w:rPr>
        <w:t>i</w:t>
      </w:r>
      <w:r w:rsidRPr="004407AA">
        <w:rPr>
          <w:rFonts w:cs="Tahoma"/>
          <w:bCs/>
          <w:sz w:val="20"/>
        </w:rPr>
        <w:t xml:space="preserve">s con 44/100 nuevos soles).  </w:t>
      </w:r>
    </w:p>
    <w:p w:rsidR="00282EDA" w:rsidRPr="004407AA" w:rsidRDefault="00282EDA" w:rsidP="00282EDA">
      <w:pPr>
        <w:pStyle w:val="Textoindependiente"/>
        <w:tabs>
          <w:tab w:val="left" w:pos="-2340"/>
        </w:tabs>
        <w:ind w:left="540"/>
        <w:rPr>
          <w:rFonts w:cs="Tahoma"/>
          <w:bCs/>
          <w:sz w:val="20"/>
        </w:rPr>
      </w:pPr>
    </w:p>
    <w:p w:rsidR="00282EDA" w:rsidRPr="004407AA" w:rsidRDefault="00282EDA" w:rsidP="00282EDA">
      <w:pPr>
        <w:pStyle w:val="Textoindependiente"/>
        <w:widowControl/>
        <w:numPr>
          <w:ilvl w:val="0"/>
          <w:numId w:val="1"/>
        </w:numPr>
        <w:tabs>
          <w:tab w:val="left" w:pos="-2340"/>
        </w:tabs>
        <w:suppressAutoHyphens w:val="0"/>
        <w:ind w:hanging="540"/>
        <w:rPr>
          <w:rFonts w:cs="Tahoma"/>
          <w:bCs/>
          <w:sz w:val="20"/>
        </w:rPr>
      </w:pPr>
      <w:r>
        <w:rPr>
          <w:rFonts w:cs="Tahoma"/>
          <w:bCs/>
          <w:sz w:val="20"/>
        </w:rPr>
        <w:t>Con Carta S/N</w:t>
      </w:r>
      <w:r w:rsidRPr="004407AA">
        <w:rPr>
          <w:rFonts w:cs="Tahoma"/>
          <w:bCs/>
          <w:sz w:val="20"/>
        </w:rPr>
        <w:t xml:space="preserve">, notificada </w:t>
      </w:r>
      <w:r>
        <w:rPr>
          <w:rFonts w:cs="Tahoma"/>
          <w:bCs/>
          <w:sz w:val="20"/>
        </w:rPr>
        <w:t xml:space="preserve">por conducto notarial </w:t>
      </w:r>
      <w:r w:rsidRPr="004407AA">
        <w:rPr>
          <w:rFonts w:cs="Tahoma"/>
          <w:bCs/>
          <w:sz w:val="20"/>
        </w:rPr>
        <w:t>el 16 de mayo de 2006, la Entidad requirió a la Contratista el cumplimiento de la obligación dentro del plazo pactado, otorg</w:t>
      </w:r>
      <w:r w:rsidRPr="004407AA">
        <w:rPr>
          <w:rFonts w:ascii="Arial" w:hAnsi="Arial" w:cs="Arial"/>
          <w:bCs/>
          <w:sz w:val="20"/>
        </w:rPr>
        <w:t>ándole un plazo de cinco (5) días para efectivizar la entrega de los bienes.</w:t>
      </w:r>
    </w:p>
    <w:p w:rsidR="00282EDA" w:rsidRPr="004407AA" w:rsidRDefault="00282EDA" w:rsidP="00282EDA">
      <w:pPr>
        <w:pStyle w:val="Textoindependiente"/>
        <w:tabs>
          <w:tab w:val="left" w:pos="-2340"/>
        </w:tabs>
        <w:ind w:left="540"/>
        <w:rPr>
          <w:rFonts w:cs="Tahoma"/>
          <w:bCs/>
          <w:sz w:val="20"/>
        </w:rPr>
      </w:pPr>
    </w:p>
    <w:p w:rsidR="00282EDA" w:rsidRPr="004407AA" w:rsidRDefault="00282EDA" w:rsidP="00282EDA">
      <w:pPr>
        <w:pStyle w:val="Textoindependiente"/>
        <w:widowControl/>
        <w:numPr>
          <w:ilvl w:val="0"/>
          <w:numId w:val="1"/>
        </w:numPr>
        <w:tabs>
          <w:tab w:val="left" w:pos="-2340"/>
        </w:tabs>
        <w:suppressAutoHyphens w:val="0"/>
        <w:ind w:hanging="540"/>
        <w:rPr>
          <w:rFonts w:cs="Tahoma"/>
          <w:bCs/>
          <w:sz w:val="20"/>
        </w:rPr>
      </w:pPr>
      <w:r w:rsidRPr="004407AA">
        <w:rPr>
          <w:rFonts w:cs="Tahoma"/>
          <w:bCs/>
          <w:sz w:val="20"/>
        </w:rPr>
        <w:t>Mediante Carta S/N, notificada por conducto notarial el 26 de mayo de 2006, la Entidad comunicó a la Contratista la Resolución del Contrato Nº 014-2006-UNC del 09 de febrero de 2006, debido al incumplimiento de sus obligaciones.</w:t>
      </w:r>
    </w:p>
    <w:p w:rsidR="00282EDA" w:rsidRPr="004407AA" w:rsidRDefault="00282EDA" w:rsidP="00282EDA">
      <w:pPr>
        <w:pStyle w:val="Textoindependiente"/>
        <w:tabs>
          <w:tab w:val="left" w:pos="-2340"/>
        </w:tabs>
        <w:rPr>
          <w:rFonts w:cs="Tahoma"/>
          <w:bCs/>
          <w:sz w:val="20"/>
        </w:rPr>
      </w:pPr>
    </w:p>
    <w:p w:rsidR="00282EDA" w:rsidRPr="004407AA" w:rsidRDefault="00282EDA" w:rsidP="00282EDA">
      <w:pPr>
        <w:pStyle w:val="Textoindependiente"/>
        <w:widowControl/>
        <w:numPr>
          <w:ilvl w:val="0"/>
          <w:numId w:val="1"/>
        </w:numPr>
        <w:tabs>
          <w:tab w:val="left" w:pos="-2340"/>
        </w:tabs>
        <w:suppressAutoHyphens w:val="0"/>
        <w:ind w:hanging="540"/>
        <w:rPr>
          <w:rFonts w:cs="Tahoma"/>
          <w:bCs/>
          <w:sz w:val="20"/>
        </w:rPr>
      </w:pPr>
      <w:r w:rsidRPr="004407AA">
        <w:rPr>
          <w:rFonts w:cs="Tahoma"/>
          <w:bCs/>
          <w:sz w:val="20"/>
        </w:rPr>
        <w:t>Mediante Oficio Nº 0236-2007-UNC del 18 de junio de 2007, la Entidad solicitó al Tribunal de Contrataciones y Adquisiciones del Estado, en adelante el Tribunal, que imponga sanción administrativa a la Contratista por el incumplimiento injustificado de sus obligaciones contractuales.</w:t>
      </w:r>
    </w:p>
    <w:p w:rsidR="00282EDA" w:rsidRPr="004407AA" w:rsidRDefault="00282EDA" w:rsidP="00282EDA">
      <w:pPr>
        <w:pStyle w:val="Prrafodelista"/>
        <w:rPr>
          <w:rFonts w:cs="Tahoma"/>
          <w:bCs/>
          <w:sz w:val="20"/>
          <w:szCs w:val="20"/>
          <w:lang w:val="es-ES_tradnl"/>
        </w:rPr>
      </w:pPr>
    </w:p>
    <w:p w:rsidR="00282EDA" w:rsidRPr="004407AA" w:rsidRDefault="00282EDA" w:rsidP="00282EDA">
      <w:pPr>
        <w:pStyle w:val="Textoindependiente"/>
        <w:tabs>
          <w:tab w:val="left" w:pos="-2340"/>
        </w:tabs>
        <w:ind w:left="540"/>
        <w:rPr>
          <w:rFonts w:cs="Tahoma"/>
          <w:bCs/>
          <w:sz w:val="20"/>
        </w:rPr>
      </w:pPr>
    </w:p>
    <w:p w:rsidR="00282EDA" w:rsidRPr="004407AA" w:rsidRDefault="00282EDA" w:rsidP="00282EDA">
      <w:pPr>
        <w:pStyle w:val="Textoindependiente"/>
        <w:widowControl/>
        <w:numPr>
          <w:ilvl w:val="0"/>
          <w:numId w:val="1"/>
        </w:numPr>
        <w:tabs>
          <w:tab w:val="left" w:pos="-2340"/>
        </w:tabs>
        <w:suppressAutoHyphens w:val="0"/>
        <w:ind w:hanging="540"/>
        <w:rPr>
          <w:rFonts w:cs="Tahoma"/>
          <w:bCs/>
          <w:sz w:val="20"/>
        </w:rPr>
      </w:pPr>
      <w:r w:rsidRPr="004407AA">
        <w:rPr>
          <w:rFonts w:cs="Tahoma"/>
          <w:bCs/>
          <w:sz w:val="20"/>
        </w:rPr>
        <w:t>El 20 de junio de 2007, el Tribunal inició procedimiento administrativo sancionador contra la Contratista por supuesta responsabilidad en la resolución del contrato por causa atribuible a su parte, y la emplazó para que formule sus descargos bajo apercibimiento de resolver con la documentación obrante en autos.</w:t>
      </w:r>
    </w:p>
    <w:p w:rsidR="00282EDA" w:rsidRPr="004407AA" w:rsidRDefault="00282EDA" w:rsidP="00282EDA">
      <w:pPr>
        <w:pStyle w:val="Textoindependiente"/>
        <w:tabs>
          <w:tab w:val="left" w:pos="-2340"/>
        </w:tabs>
        <w:rPr>
          <w:rFonts w:cs="Tahoma"/>
          <w:bCs/>
          <w:sz w:val="20"/>
        </w:rPr>
      </w:pPr>
    </w:p>
    <w:p w:rsidR="00282EDA" w:rsidRPr="004407AA" w:rsidRDefault="00282EDA" w:rsidP="00282EDA">
      <w:pPr>
        <w:pStyle w:val="Textoindependiente"/>
        <w:widowControl/>
        <w:numPr>
          <w:ilvl w:val="0"/>
          <w:numId w:val="1"/>
        </w:numPr>
        <w:tabs>
          <w:tab w:val="left" w:pos="-2340"/>
        </w:tabs>
        <w:suppressAutoHyphens w:val="0"/>
        <w:ind w:hanging="540"/>
        <w:rPr>
          <w:rFonts w:cs="Tahoma"/>
          <w:bCs/>
          <w:sz w:val="20"/>
        </w:rPr>
      </w:pPr>
      <w:r w:rsidRPr="004407AA">
        <w:rPr>
          <w:rFonts w:cs="Tahoma"/>
          <w:bCs/>
          <w:sz w:val="20"/>
        </w:rPr>
        <w:t>No habiendo cumplido la Contratista con formular sus descargos, el 26 de agosto de 2007 se hizo efectivo el apercibimiento decretado y se remitió el expediente a la Tercera Sala del Tribunal para que resuelva.</w:t>
      </w:r>
    </w:p>
    <w:p w:rsidR="00282EDA" w:rsidRPr="008D008A" w:rsidRDefault="00282EDA" w:rsidP="00282EDA">
      <w:pPr>
        <w:jc w:val="both"/>
        <w:rPr>
          <w:rFonts w:ascii="Tahoma" w:hAnsi="Tahoma" w:cs="Tahoma"/>
        </w:rPr>
      </w:pPr>
    </w:p>
    <w:p w:rsidR="00282EDA" w:rsidRPr="008D008A" w:rsidRDefault="00282EDA" w:rsidP="00282EDA">
      <w:pPr>
        <w:jc w:val="both"/>
        <w:rPr>
          <w:rFonts w:ascii="Tahoma" w:hAnsi="Tahoma" w:cs="Tahoma"/>
          <w:b/>
        </w:rPr>
      </w:pPr>
      <w:r w:rsidRPr="008D008A">
        <w:rPr>
          <w:rFonts w:ascii="Tahoma" w:hAnsi="Tahoma" w:cs="Tahoma"/>
          <w:b/>
        </w:rPr>
        <w:t>FUNDAMENTACIÓN:</w:t>
      </w:r>
    </w:p>
    <w:p w:rsidR="00282EDA" w:rsidRPr="004407AA" w:rsidRDefault="00282EDA" w:rsidP="00282EDA">
      <w:pPr>
        <w:pStyle w:val="Textoindependiente"/>
        <w:rPr>
          <w:rFonts w:cs="Tahoma"/>
          <w:b/>
          <w:sz w:val="20"/>
          <w:lang w:val="es-MX"/>
        </w:rPr>
      </w:pPr>
    </w:p>
    <w:p w:rsidR="00282EDA" w:rsidRPr="004407AA" w:rsidRDefault="00282EDA" w:rsidP="00282EDA">
      <w:pPr>
        <w:numPr>
          <w:ilvl w:val="0"/>
          <w:numId w:val="2"/>
        </w:numPr>
        <w:tabs>
          <w:tab w:val="num" w:pos="540"/>
        </w:tabs>
        <w:ind w:left="540" w:hanging="540"/>
        <w:jc w:val="both"/>
        <w:rPr>
          <w:rFonts w:ascii="Tahoma" w:hAnsi="Tahoma" w:cs="Tahoma"/>
        </w:rPr>
      </w:pPr>
      <w:r w:rsidRPr="004407AA">
        <w:rPr>
          <w:rFonts w:ascii="Tahoma" w:hAnsi="Tahoma" w:cs="Tahoma"/>
        </w:rPr>
        <w:t>El presente procedimiento está referido a la supuesta responsabilidad de la señora MARIA DEL PILAR PACHAS BONILLA. por dar lugar a</w:t>
      </w:r>
      <w:r>
        <w:rPr>
          <w:rFonts w:ascii="Tahoma" w:hAnsi="Tahoma" w:cs="Tahoma"/>
        </w:rPr>
        <w:t xml:space="preserve"> la resolución del Contrato del </w:t>
      </w:r>
      <w:r w:rsidRPr="004407AA">
        <w:rPr>
          <w:rFonts w:ascii="Tahoma" w:hAnsi="Tahoma" w:cs="Tahoma"/>
        </w:rPr>
        <w:t>N.° 014-2006-UNC</w:t>
      </w:r>
      <w:r w:rsidRPr="004407AA">
        <w:rPr>
          <w:rStyle w:val="Refdenotaalpie"/>
          <w:rFonts w:ascii="Tahoma" w:hAnsi="Tahoma" w:cs="Tahoma"/>
        </w:rPr>
        <w:footnoteReference w:id="2"/>
      </w:r>
      <w:r w:rsidRPr="004407AA">
        <w:rPr>
          <w:rFonts w:ascii="Tahoma" w:hAnsi="Tahoma" w:cs="Tahoma"/>
        </w:rPr>
        <w:t xml:space="preserve"> por causal atribuible a su parte; infracción tipificada en el numeral 2) del artículo 294 del Reglamento de la Ley de Contrataciones y Adquisiciones del Estado, aprobado por Decreto Supremo N.° 084-2004-PCM, en adelante el Reglamento, norma vigente al suscitarse los hechos imputados.</w:t>
      </w:r>
    </w:p>
    <w:p w:rsidR="00282EDA" w:rsidRPr="004407AA" w:rsidRDefault="00282EDA" w:rsidP="00282EDA">
      <w:pPr>
        <w:jc w:val="both"/>
        <w:rPr>
          <w:rFonts w:ascii="Tahoma" w:hAnsi="Tahoma" w:cs="Tahoma"/>
        </w:rPr>
      </w:pPr>
    </w:p>
    <w:p w:rsidR="00282EDA" w:rsidRPr="004407AA" w:rsidRDefault="00282EDA" w:rsidP="00282EDA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jc w:val="both"/>
        <w:rPr>
          <w:rFonts w:ascii="Tahoma" w:hAnsi="Tahoma" w:cs="Tahoma"/>
        </w:rPr>
      </w:pPr>
      <w:r w:rsidRPr="004407AA">
        <w:rPr>
          <w:rFonts w:ascii="Tahoma" w:hAnsi="Tahoma" w:cs="Tahoma"/>
        </w:rPr>
        <w:t>La infracción tipificada en el numeral 2) del artículo 294 del Reglamento vigente ha establecido como supuesto de hecho indispensable para su configuración, la resolución del contrato, orden de compra o de servicios, según corresponda, por causal atribuible a los contratistas.</w:t>
      </w:r>
    </w:p>
    <w:p w:rsidR="00282EDA" w:rsidRPr="004407AA" w:rsidRDefault="00282EDA" w:rsidP="00282EDA">
      <w:pPr>
        <w:tabs>
          <w:tab w:val="num" w:pos="720"/>
        </w:tabs>
        <w:jc w:val="both"/>
        <w:rPr>
          <w:rFonts w:ascii="Tahoma" w:hAnsi="Tahoma" w:cs="Tahoma"/>
        </w:rPr>
      </w:pPr>
    </w:p>
    <w:p w:rsidR="00282EDA" w:rsidRPr="004407AA" w:rsidRDefault="00282EDA" w:rsidP="00282EDA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jc w:val="both"/>
        <w:rPr>
          <w:rFonts w:ascii="Tahoma" w:hAnsi="Tahoma" w:cs="Tahoma"/>
        </w:rPr>
      </w:pPr>
      <w:r w:rsidRPr="004407AA">
        <w:rPr>
          <w:rFonts w:ascii="Tahoma" w:hAnsi="Tahoma" w:cs="Tahoma"/>
        </w:rPr>
        <w:t>Al respecto, el artículo 225 del Reglamento dispone que la Entidad podrá resolver el contrato, de conformidad con el inciso c) del artículo 41 del Texto Único Ordenado de la Ley de Contrataciones y Adquisiciones del Estado, aprobado mediante Decreto Supremo N</w:t>
      </w:r>
      <w:proofErr w:type="gramStart"/>
      <w:r w:rsidRPr="004407AA">
        <w:rPr>
          <w:rFonts w:ascii="Tahoma" w:hAnsi="Tahoma" w:cs="Tahoma"/>
        </w:rPr>
        <w:t>.º</w:t>
      </w:r>
      <w:proofErr w:type="gramEnd"/>
      <w:r w:rsidRPr="004407AA">
        <w:rPr>
          <w:rFonts w:ascii="Tahoma" w:hAnsi="Tahoma" w:cs="Tahoma"/>
        </w:rPr>
        <w:t xml:space="preserve"> 083-2004-PCM, en adelante la Ley, cuando los contratistas incumplan injustificadamente obligaciones contractuales, legales o reglamentarias a su cargo, pese a haber sido requeridos para ello.</w:t>
      </w:r>
    </w:p>
    <w:p w:rsidR="00282EDA" w:rsidRPr="004407AA" w:rsidRDefault="00282EDA" w:rsidP="00282EDA">
      <w:pPr>
        <w:tabs>
          <w:tab w:val="num" w:pos="540"/>
        </w:tabs>
        <w:jc w:val="both"/>
        <w:rPr>
          <w:rFonts w:ascii="Tahoma" w:hAnsi="Tahoma" w:cs="Tahoma"/>
        </w:rPr>
      </w:pPr>
    </w:p>
    <w:p w:rsidR="00282EDA" w:rsidRPr="004407AA" w:rsidRDefault="00282EDA" w:rsidP="00282EDA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jc w:val="both"/>
        <w:rPr>
          <w:rFonts w:ascii="Tahoma" w:hAnsi="Tahoma" w:cs="Tahoma"/>
        </w:rPr>
      </w:pPr>
      <w:r w:rsidRPr="004407AA">
        <w:rPr>
          <w:rFonts w:ascii="Tahoma" w:hAnsi="Tahoma" w:cs="Tahoma"/>
        </w:rPr>
        <w:t xml:space="preserve">El procedimiento de resolución contractual ha sido previsto en el artículo 226 del Reglamento, el cual dispone que en </w:t>
      </w:r>
      <w:r w:rsidRPr="004407AA">
        <w:rPr>
          <w:rFonts w:ascii="Tahoma" w:hAnsi="Tahoma" w:cs="Tahoma"/>
          <w:lang w:val="es-ES_tradnl"/>
        </w:rPr>
        <w:t xml:space="preserve">caso de incumplimiento contractual, la parte afectada requerirá a la otra notarialmente para que satisfaga sus obligaciones en un plazo no mayor de cinco (05) días, bajo apercibimiento de resolver el contrato.  Dependiendo del monto involucrado y de la complejidad, envergadura o sofisticación de la adquisición o contratación, la Entidad podrá establecer plazos mayores, los cuales no superarán en ningún caso los quince (15) días.  Asimismo, el citado </w:t>
      </w:r>
      <w:r w:rsidRPr="004407AA">
        <w:rPr>
          <w:rFonts w:ascii="Tahoma" w:hAnsi="Tahoma" w:cs="Tahoma"/>
          <w:lang w:val="es-ES_tradnl"/>
        </w:rPr>
        <w:lastRenderedPageBreak/>
        <w:t xml:space="preserve">dispositivo reglamentario precisa que de continuar con el incumplimiento, la parte perjudicada comunicará notarialmente la resolución total o parcial del contrato. </w:t>
      </w:r>
    </w:p>
    <w:p w:rsidR="00282EDA" w:rsidRPr="004407AA" w:rsidRDefault="00282EDA" w:rsidP="00282EDA">
      <w:pPr>
        <w:tabs>
          <w:tab w:val="num" w:pos="540"/>
        </w:tabs>
        <w:jc w:val="both"/>
        <w:rPr>
          <w:rFonts w:ascii="Tahoma" w:hAnsi="Tahoma" w:cs="Tahoma"/>
          <w:lang w:val="es-ES_tradnl"/>
        </w:rPr>
      </w:pPr>
    </w:p>
    <w:p w:rsidR="00282EDA" w:rsidRPr="004407AA" w:rsidRDefault="00282EDA" w:rsidP="00282EDA">
      <w:pPr>
        <w:tabs>
          <w:tab w:val="num" w:pos="540"/>
        </w:tabs>
        <w:ind w:left="540"/>
        <w:jc w:val="both"/>
        <w:rPr>
          <w:rFonts w:ascii="Tahoma" w:hAnsi="Tahoma" w:cs="Tahoma"/>
        </w:rPr>
      </w:pPr>
      <w:r w:rsidRPr="004407AA">
        <w:rPr>
          <w:rFonts w:ascii="Tahoma" w:hAnsi="Tahoma" w:cs="Tahoma"/>
          <w:lang w:val="es-ES_tradnl"/>
        </w:rPr>
        <w:t xml:space="preserve">El cumplimiento de este procedimiento es </w:t>
      </w:r>
      <w:r w:rsidRPr="004407AA">
        <w:rPr>
          <w:rFonts w:ascii="Tahoma" w:hAnsi="Tahoma" w:cs="Tahoma"/>
          <w:b/>
          <w:i/>
          <w:lang w:val="es-ES_tradnl"/>
        </w:rPr>
        <w:t>condición necesaria</w:t>
      </w:r>
      <w:r w:rsidRPr="004407AA">
        <w:rPr>
          <w:rFonts w:ascii="Tahoma" w:hAnsi="Tahoma" w:cs="Tahoma"/>
          <w:lang w:val="es-ES_tradnl"/>
        </w:rPr>
        <w:t xml:space="preserve"> para evaluar la existencia de eventuales responsabilidades de carácter administrativo.</w:t>
      </w:r>
    </w:p>
    <w:p w:rsidR="00282EDA" w:rsidRPr="004407AA" w:rsidRDefault="00282EDA" w:rsidP="00282EDA">
      <w:pPr>
        <w:tabs>
          <w:tab w:val="num" w:pos="540"/>
        </w:tabs>
        <w:jc w:val="both"/>
        <w:rPr>
          <w:rFonts w:ascii="Tahoma" w:hAnsi="Tahoma" w:cs="Tahoma"/>
        </w:rPr>
      </w:pPr>
    </w:p>
    <w:p w:rsidR="00282EDA" w:rsidRPr="004407AA" w:rsidRDefault="00282EDA" w:rsidP="00282EDA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jc w:val="both"/>
        <w:rPr>
          <w:rFonts w:ascii="Tahoma" w:hAnsi="Tahoma" w:cs="Tahoma"/>
        </w:rPr>
      </w:pPr>
      <w:r w:rsidRPr="004407AA">
        <w:rPr>
          <w:rFonts w:ascii="Tahoma" w:hAnsi="Tahoma" w:cs="Tahoma"/>
        </w:rPr>
        <w:t>De la revisión de los antecedentes se aprecia que con Carta S/N-2006-UNC</w:t>
      </w:r>
      <w:r w:rsidRPr="004407AA">
        <w:rPr>
          <w:rStyle w:val="Refdenotaalpie"/>
          <w:rFonts w:ascii="Tahoma" w:hAnsi="Tahoma" w:cs="Tahoma"/>
          <w:bCs/>
          <w:lang w:val="es-ES_tradnl"/>
        </w:rPr>
        <w:footnoteReference w:id="3"/>
      </w:r>
      <w:r w:rsidRPr="004407AA">
        <w:rPr>
          <w:rFonts w:ascii="Tahoma" w:hAnsi="Tahoma" w:cs="Tahoma"/>
        </w:rPr>
        <w:t xml:space="preserve">, notificada </w:t>
      </w:r>
      <w:r>
        <w:rPr>
          <w:rFonts w:ascii="Tahoma" w:hAnsi="Tahoma" w:cs="Tahoma"/>
        </w:rPr>
        <w:t xml:space="preserve">por conducto notarial </w:t>
      </w:r>
      <w:r w:rsidRPr="004407AA">
        <w:rPr>
          <w:rFonts w:ascii="Tahoma" w:hAnsi="Tahoma" w:cs="Tahoma"/>
        </w:rPr>
        <w:t>el 16 de mayo de 2006, la Entidad requirió a la Contratista la entrega de los materiales de construcción</w:t>
      </w:r>
      <w:r>
        <w:rPr>
          <w:rFonts w:ascii="Tahoma" w:hAnsi="Tahoma" w:cs="Tahoma"/>
        </w:rPr>
        <w:t xml:space="preserve"> otorgándole </w:t>
      </w:r>
      <w:r w:rsidRPr="004407AA">
        <w:rPr>
          <w:rFonts w:ascii="Tahoma" w:hAnsi="Tahoma" w:cs="Tahoma"/>
        </w:rPr>
        <w:t>el plazo de cinco (05) días</w:t>
      </w:r>
      <w:r>
        <w:rPr>
          <w:rFonts w:ascii="Tahoma" w:hAnsi="Tahoma" w:cs="Tahoma"/>
        </w:rPr>
        <w:t xml:space="preserve"> a efectos de que honre sus obligaciones</w:t>
      </w:r>
      <w:r w:rsidRPr="004407AA">
        <w:rPr>
          <w:rFonts w:ascii="Tahoma" w:hAnsi="Tahoma" w:cs="Tahoma"/>
        </w:rPr>
        <w:t>. Persistiendo el incumplimiento, a través de la Carta Notarial S/N.-2006-UNC</w:t>
      </w:r>
      <w:r w:rsidRPr="004407AA">
        <w:rPr>
          <w:rStyle w:val="Refdenotaalpie"/>
          <w:rFonts w:ascii="Tahoma" w:hAnsi="Tahoma" w:cs="Tahoma"/>
        </w:rPr>
        <w:footnoteReference w:id="4"/>
      </w:r>
      <w:r w:rsidRPr="004407AA">
        <w:rPr>
          <w:rFonts w:ascii="Tahoma" w:hAnsi="Tahoma" w:cs="Tahoma"/>
        </w:rPr>
        <w:t>, notificada el 26 de mayo de 2006, la Entidad resolvió el vínculo contractual debido al incumplimiento de sus obligaciones.</w:t>
      </w:r>
    </w:p>
    <w:p w:rsidR="00282EDA" w:rsidRPr="004407AA" w:rsidRDefault="00282EDA" w:rsidP="00282EDA">
      <w:pPr>
        <w:tabs>
          <w:tab w:val="num" w:pos="540"/>
        </w:tabs>
        <w:jc w:val="both"/>
        <w:rPr>
          <w:rFonts w:ascii="Tahoma" w:hAnsi="Tahoma" w:cs="Tahoma"/>
        </w:rPr>
      </w:pPr>
    </w:p>
    <w:p w:rsidR="00282EDA" w:rsidRPr="00DB444E" w:rsidRDefault="00282EDA" w:rsidP="00282EDA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jc w:val="both"/>
        <w:rPr>
          <w:rFonts w:ascii="Tahoma" w:hAnsi="Tahoma" w:cs="Tahoma"/>
        </w:rPr>
      </w:pPr>
      <w:r w:rsidRPr="004407AA">
        <w:rPr>
          <w:rFonts w:ascii="Tahoma" w:hAnsi="Tahoma" w:cs="Tahoma"/>
        </w:rPr>
        <w:t>E</w:t>
      </w:r>
      <w:r w:rsidRPr="004407AA">
        <w:rPr>
          <w:rFonts w:ascii="Tahoma" w:hAnsi="Tahoma" w:cs="Tahoma"/>
          <w:lang w:val="es-ES_tradnl"/>
        </w:rPr>
        <w:t xml:space="preserve">n razón a lo expuesto, habiéndose acreditado que la </w:t>
      </w:r>
      <w:r w:rsidRPr="004407AA">
        <w:rPr>
          <w:rFonts w:ascii="Tahoma" w:hAnsi="Tahoma" w:cs="Tahoma"/>
        </w:rPr>
        <w:t xml:space="preserve">Entidad requirió válidamente a la Contratista para que cumpla sus obligaciones, </w:t>
      </w:r>
      <w:r w:rsidRPr="004407AA">
        <w:rPr>
          <w:rFonts w:ascii="Tahoma" w:hAnsi="Tahoma" w:cs="Tahoma"/>
          <w:lang w:val="es-ES_tradnl"/>
        </w:rPr>
        <w:t xml:space="preserve">corresponde a este Colegiado determinar si dicha conducta resultó justificada o no, en tanto que solamente el incumplimiento que obedece a causas injustificadas atribuibles a los contratistas es sancionable administrativamente.  </w:t>
      </w:r>
    </w:p>
    <w:p w:rsidR="00282EDA" w:rsidRDefault="00282EDA" w:rsidP="00282EDA">
      <w:pPr>
        <w:jc w:val="both"/>
        <w:rPr>
          <w:rFonts w:ascii="Tahoma" w:hAnsi="Tahoma" w:cs="Tahoma"/>
        </w:rPr>
      </w:pPr>
    </w:p>
    <w:p w:rsidR="00282EDA" w:rsidRPr="00F26BDC" w:rsidRDefault="00282EDA" w:rsidP="00282EDA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jc w:val="both"/>
        <w:rPr>
          <w:rFonts w:ascii="Tahoma" w:hAnsi="Tahoma" w:cs="Tahoma"/>
        </w:rPr>
      </w:pPr>
      <w:r w:rsidRPr="00F26BDC">
        <w:rPr>
          <w:rFonts w:ascii="Tahoma" w:hAnsi="Tahoma" w:cs="Tahoma"/>
        </w:rPr>
        <w:t>Al respecto, se ha podido verificar de la revisión a los documentos obrantes en el expediente administrativo, que el Postor no cumplió con presentar argumentos de defensa</w:t>
      </w:r>
      <w:r>
        <w:rPr>
          <w:rFonts w:ascii="Tahoma" w:hAnsi="Tahoma" w:cs="Tahoma"/>
        </w:rPr>
        <w:t xml:space="preserve"> mediante la presentación de sus descargos</w:t>
      </w:r>
      <w:r w:rsidRPr="00F26BDC">
        <w:rPr>
          <w:rFonts w:ascii="Tahoma" w:hAnsi="Tahoma" w:cs="Tahoma"/>
        </w:rPr>
        <w:t xml:space="preserve">, </w:t>
      </w:r>
      <w:r w:rsidRPr="004407AA">
        <w:rPr>
          <w:rFonts w:ascii="Tahoma" w:hAnsi="Tahoma" w:cs="Tahoma"/>
        </w:rPr>
        <w:t>a pesar de haber sido debidamente notificada, mediante cédula de notificación  Nº 22477/2007.TC el 08 de agosto de 2007</w:t>
      </w:r>
      <w:r>
        <w:rPr>
          <w:rFonts w:ascii="Tahoma" w:hAnsi="Tahoma" w:cs="Tahoma"/>
        </w:rPr>
        <w:t xml:space="preserve">, </w:t>
      </w:r>
      <w:r w:rsidRPr="00F26BDC">
        <w:rPr>
          <w:rFonts w:ascii="Tahoma" w:hAnsi="Tahoma" w:cs="Tahoma"/>
        </w:rPr>
        <w:t>que justifiquen el incumplimiento antes descrito, aplicándose válidamente ante esta situación la presunción legal</w:t>
      </w:r>
      <w:r w:rsidRPr="00F26BDC">
        <w:rPr>
          <w:rStyle w:val="Refdenotaalpie"/>
          <w:rFonts w:ascii="Tahoma" w:hAnsi="Tahoma" w:cs="Tahoma"/>
        </w:rPr>
        <w:footnoteReference w:id="5"/>
      </w:r>
      <w:r w:rsidRPr="00F26BDC">
        <w:rPr>
          <w:rFonts w:ascii="Tahoma" w:hAnsi="Tahoma" w:cs="Tahoma"/>
        </w:rPr>
        <w:t xml:space="preserve"> establecida en el artículo 1329 del Código Civil,  que supone el incumplimiento de obligaciones o su cumplimiento parcial, tardío o defectuoso, como atribuible a la parte que debió ejecutarlas, salvo que ésta demuestre que el incumplimiento se produjo a pesar de haber actuado con la diligencia ordinaria exigida por la naturaleza de la prestación, o que la causa de ella fue un caso fortuito o fuerza mayor.  De esta manera queda configurada la causal invocada.</w:t>
      </w:r>
    </w:p>
    <w:p w:rsidR="00282EDA" w:rsidRPr="004407AA" w:rsidRDefault="00282EDA" w:rsidP="00282EDA">
      <w:pPr>
        <w:tabs>
          <w:tab w:val="num" w:pos="540"/>
        </w:tabs>
        <w:jc w:val="both"/>
        <w:rPr>
          <w:rFonts w:ascii="Tahoma" w:hAnsi="Tahoma" w:cs="Tahoma"/>
        </w:rPr>
      </w:pPr>
    </w:p>
    <w:p w:rsidR="00282EDA" w:rsidRPr="004407AA" w:rsidRDefault="00282EDA" w:rsidP="00282EDA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jc w:val="both"/>
        <w:rPr>
          <w:rFonts w:ascii="Tahoma" w:hAnsi="Tahoma" w:cs="Tahoma"/>
          <w:lang w:val="es-MX"/>
        </w:rPr>
      </w:pPr>
      <w:r w:rsidRPr="004407AA">
        <w:rPr>
          <w:rFonts w:ascii="Tahoma" w:hAnsi="Tahoma" w:cs="Tahoma"/>
        </w:rPr>
        <w:t>Consecuentemente, dado que el Contratista no ha presentado prueba instrumental que permita desvirtuar las imputaciones formuladas en su contra para acreditar que el incumplimiento se debió a causas justificadas ajenas a su voluntad, corresponde imponerle sanción administrativa por la comisión de la infracción tipificada en el numeral 2 del artículo 294 del Reglamento.</w:t>
      </w:r>
    </w:p>
    <w:p w:rsidR="00282EDA" w:rsidRPr="004407AA" w:rsidRDefault="00282EDA" w:rsidP="00282EDA">
      <w:pPr>
        <w:tabs>
          <w:tab w:val="num" w:pos="540"/>
        </w:tabs>
        <w:jc w:val="both"/>
        <w:rPr>
          <w:rFonts w:ascii="Tahoma" w:hAnsi="Tahoma" w:cs="Tahoma"/>
          <w:lang w:val="es-MX"/>
        </w:rPr>
      </w:pPr>
    </w:p>
    <w:p w:rsidR="00282EDA" w:rsidRPr="004407AA" w:rsidRDefault="00282EDA" w:rsidP="00282EDA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jc w:val="both"/>
        <w:rPr>
          <w:rFonts w:ascii="Tahoma" w:hAnsi="Tahoma" w:cs="Tahoma"/>
        </w:rPr>
      </w:pPr>
      <w:r w:rsidRPr="004407AA">
        <w:rPr>
          <w:rFonts w:ascii="Tahoma" w:hAnsi="Tahoma" w:cs="Tahoma"/>
          <w:lang w:val="es-MX"/>
        </w:rPr>
        <w:t xml:space="preserve">En relación a la graduación de la sanción imponible, es preciso señalar que el artículo 294 del Reglamento establece que aquellos contratistas que den lugar a la resolución del contrato por causal atribuible a su parte serán sancionados con inhabilitación temporal para contratar con el Estado por un periodo no menor de  un (01) año ni mayor de dos (02) años. </w:t>
      </w:r>
    </w:p>
    <w:p w:rsidR="00282EDA" w:rsidRPr="004407AA" w:rsidRDefault="00282EDA" w:rsidP="00282EDA">
      <w:pPr>
        <w:tabs>
          <w:tab w:val="num" w:pos="540"/>
        </w:tabs>
        <w:jc w:val="both"/>
        <w:rPr>
          <w:rFonts w:ascii="Tahoma" w:hAnsi="Tahoma" w:cs="Tahoma"/>
        </w:rPr>
      </w:pPr>
      <w:r w:rsidRPr="004407AA">
        <w:rPr>
          <w:rFonts w:ascii="Tahoma" w:hAnsi="Tahoma" w:cs="Tahoma"/>
          <w:lang w:val="es-MX"/>
        </w:rPr>
        <w:t xml:space="preserve"> </w:t>
      </w:r>
    </w:p>
    <w:p w:rsidR="00282EDA" w:rsidRPr="004407AA" w:rsidRDefault="00282EDA" w:rsidP="00282EDA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jc w:val="both"/>
        <w:rPr>
          <w:rFonts w:ascii="Tahoma" w:hAnsi="Tahoma" w:cs="Tahoma"/>
        </w:rPr>
      </w:pPr>
      <w:r w:rsidRPr="004407AA">
        <w:rPr>
          <w:rFonts w:ascii="Tahoma" w:hAnsi="Tahoma" w:cs="Tahoma"/>
        </w:rPr>
        <w:t>Por tanto</w:t>
      </w:r>
      <w:r w:rsidRPr="004407AA">
        <w:rPr>
          <w:rFonts w:ascii="Tahoma" w:hAnsi="Tahoma" w:cs="Tahoma"/>
          <w:lang w:val="es-PE"/>
        </w:rPr>
        <w:t>, este Tribunal considera pertinente imponer</w:t>
      </w:r>
      <w:r>
        <w:rPr>
          <w:rFonts w:ascii="Tahoma" w:hAnsi="Tahoma" w:cs="Tahoma"/>
          <w:lang w:val="es-PE"/>
        </w:rPr>
        <w:t xml:space="preserve"> catorce</w:t>
      </w:r>
      <w:r w:rsidRPr="004407AA">
        <w:rPr>
          <w:rFonts w:ascii="Tahoma" w:hAnsi="Tahoma" w:cs="Tahoma"/>
          <w:lang w:val="es-PE"/>
        </w:rPr>
        <w:t xml:space="preserve"> (1</w:t>
      </w:r>
      <w:r>
        <w:rPr>
          <w:rFonts w:ascii="Tahoma" w:hAnsi="Tahoma" w:cs="Tahoma"/>
          <w:lang w:val="es-PE"/>
        </w:rPr>
        <w:t>4</w:t>
      </w:r>
      <w:r w:rsidRPr="004407AA">
        <w:rPr>
          <w:rFonts w:ascii="Tahoma" w:hAnsi="Tahoma" w:cs="Tahoma"/>
          <w:lang w:val="es-PE"/>
        </w:rPr>
        <w:t>) meses de inhabilitación temporal, en razón a la naturaleza de la infracción cometida, el monto involucrado en el proceso de selección de la referencia, la conducta procesal del infractor,</w:t>
      </w:r>
      <w:r>
        <w:rPr>
          <w:rFonts w:ascii="Tahoma" w:hAnsi="Tahoma" w:cs="Tahoma"/>
          <w:lang w:val="es-PE"/>
        </w:rPr>
        <w:t xml:space="preserve"> la no </w:t>
      </w:r>
      <w:proofErr w:type="spellStart"/>
      <w:r>
        <w:rPr>
          <w:rFonts w:ascii="Tahoma" w:hAnsi="Tahoma" w:cs="Tahoma"/>
          <w:lang w:val="es-PE"/>
        </w:rPr>
        <w:t>reiterancia</w:t>
      </w:r>
      <w:proofErr w:type="spellEnd"/>
      <w:r>
        <w:rPr>
          <w:rFonts w:ascii="Tahoma" w:hAnsi="Tahoma" w:cs="Tahoma"/>
          <w:lang w:val="es-PE"/>
        </w:rPr>
        <w:t xml:space="preserve"> en la conducta invocada como sancionable,</w:t>
      </w:r>
      <w:r w:rsidRPr="004407AA">
        <w:rPr>
          <w:rFonts w:ascii="Tahoma" w:hAnsi="Tahoma" w:cs="Tahoma"/>
          <w:lang w:val="es-PE"/>
        </w:rPr>
        <w:t xml:space="preserve"> así como el </w:t>
      </w:r>
      <w:r w:rsidRPr="004407AA">
        <w:rPr>
          <w:rFonts w:ascii="Tahoma" w:hAnsi="Tahoma" w:cs="Tahoma"/>
        </w:rPr>
        <w:t>daño causado a la Entidad, puesto que la infracción cometida ha retrasado el cumplimiento de sus objetivos, los cuales fueron programados y presupuestados con anticipación.</w:t>
      </w:r>
    </w:p>
    <w:p w:rsidR="00282EDA" w:rsidRDefault="00282EDA" w:rsidP="00282EDA">
      <w:pPr>
        <w:jc w:val="both"/>
        <w:rPr>
          <w:rFonts w:ascii="Tahoma" w:hAnsi="Tahoma" w:cs="Tahoma"/>
          <w:b/>
          <w:shadow/>
        </w:rPr>
      </w:pPr>
    </w:p>
    <w:p w:rsidR="00282EDA" w:rsidRPr="008D008A" w:rsidRDefault="00282EDA" w:rsidP="00282EDA">
      <w:pPr>
        <w:jc w:val="both"/>
        <w:rPr>
          <w:rFonts w:ascii="Tahoma" w:hAnsi="Tahoma" w:cs="Tahoma"/>
          <w:b/>
          <w:shadow/>
        </w:rPr>
      </w:pPr>
    </w:p>
    <w:p w:rsidR="00282EDA" w:rsidRPr="008D008A" w:rsidRDefault="00282EDA" w:rsidP="00282EDA">
      <w:pPr>
        <w:jc w:val="both"/>
        <w:rPr>
          <w:rFonts w:ascii="Tahoma" w:hAnsi="Tahoma" w:cs="Tahoma"/>
        </w:rPr>
      </w:pPr>
      <w:r w:rsidRPr="008D008A">
        <w:rPr>
          <w:rFonts w:ascii="Tahoma" w:hAnsi="Tahoma" w:cs="Tahoma"/>
        </w:rPr>
        <w:t xml:space="preserve">Por estos fundamentos, de conformidad con el informe de la Vocal Ponente doctora </w:t>
      </w:r>
      <w:proofErr w:type="spellStart"/>
      <w:r w:rsidRPr="008D008A">
        <w:rPr>
          <w:rFonts w:ascii="Tahoma" w:hAnsi="Tahoma" w:cs="Tahoma"/>
        </w:rPr>
        <w:t>Janette</w:t>
      </w:r>
      <w:proofErr w:type="spellEnd"/>
      <w:r w:rsidRPr="008D008A">
        <w:rPr>
          <w:rFonts w:ascii="Tahoma" w:hAnsi="Tahoma" w:cs="Tahoma"/>
        </w:rPr>
        <w:t xml:space="preserve"> </w:t>
      </w:r>
      <w:proofErr w:type="spellStart"/>
      <w:r w:rsidRPr="008D008A">
        <w:rPr>
          <w:rFonts w:ascii="Tahoma" w:hAnsi="Tahoma" w:cs="Tahoma"/>
        </w:rPr>
        <w:t>Elke</w:t>
      </w:r>
      <w:proofErr w:type="spellEnd"/>
      <w:r w:rsidRPr="008D008A">
        <w:rPr>
          <w:rFonts w:ascii="Tahoma" w:hAnsi="Tahoma" w:cs="Tahoma"/>
        </w:rPr>
        <w:t xml:space="preserve"> Ramírez </w:t>
      </w:r>
      <w:proofErr w:type="spellStart"/>
      <w:r w:rsidRPr="008D008A">
        <w:rPr>
          <w:rFonts w:ascii="Tahoma" w:hAnsi="Tahoma" w:cs="Tahoma"/>
        </w:rPr>
        <w:t>Maynetto</w:t>
      </w:r>
      <w:proofErr w:type="spellEnd"/>
      <w:r w:rsidRPr="008D008A">
        <w:rPr>
          <w:rFonts w:ascii="Tahoma" w:hAnsi="Tahoma" w:cs="Tahoma"/>
        </w:rPr>
        <w:t xml:space="preserve">, con la intervención de los doctores Juan Carlos Valdivia </w:t>
      </w:r>
      <w:proofErr w:type="spellStart"/>
      <w:r w:rsidRPr="008D008A">
        <w:rPr>
          <w:rFonts w:ascii="Tahoma" w:hAnsi="Tahoma" w:cs="Tahoma"/>
        </w:rPr>
        <w:t>Huaringa</w:t>
      </w:r>
      <w:proofErr w:type="spellEnd"/>
      <w:r w:rsidRPr="008D008A">
        <w:rPr>
          <w:rFonts w:ascii="Tahoma" w:hAnsi="Tahoma" w:cs="Tahoma"/>
        </w:rPr>
        <w:t xml:space="preserve"> y Carlos Vicente Navas Rondón, atendiendo a la </w:t>
      </w:r>
      <w:proofErr w:type="spellStart"/>
      <w:r w:rsidRPr="008D008A">
        <w:rPr>
          <w:rFonts w:ascii="Tahoma" w:hAnsi="Tahoma" w:cs="Tahoma"/>
        </w:rPr>
        <w:t>reconformación</w:t>
      </w:r>
      <w:proofErr w:type="spellEnd"/>
      <w:r w:rsidRPr="008D008A">
        <w:rPr>
          <w:rFonts w:ascii="Tahoma" w:hAnsi="Tahoma" w:cs="Tahoma"/>
        </w:rPr>
        <w:t xml:space="preserve"> de </w:t>
      </w:r>
      <w:smartTag w:uri="urn:schemas-microsoft-com:office:smarttags" w:element="PersonName">
        <w:smartTagPr>
          <w:attr w:name="ProductID" w:val="la Tercera Sala"/>
        </w:smartTagPr>
        <w:r w:rsidRPr="008D008A">
          <w:rPr>
            <w:rFonts w:ascii="Tahoma" w:hAnsi="Tahoma" w:cs="Tahoma"/>
          </w:rPr>
          <w:t>la Tercera Sala</w:t>
        </w:r>
      </w:smartTag>
      <w:r w:rsidRPr="008D008A">
        <w:rPr>
          <w:rFonts w:ascii="Tahoma" w:hAnsi="Tahoma" w:cs="Tahoma"/>
        </w:rPr>
        <w:t xml:space="preserve"> del Tribunal de Contrataciones y Adquisiciones del Estado, según lo dispuesto en </w:t>
      </w:r>
      <w:smartTag w:uri="urn:schemas-microsoft-com:office:smarttags" w:element="PersonName">
        <w:smartTagPr>
          <w:attr w:name="ProductID" w:val="la Resoluci￳n N.ﾺ"/>
        </w:smartTagPr>
        <w:r w:rsidRPr="008D008A">
          <w:rPr>
            <w:rFonts w:ascii="Tahoma" w:hAnsi="Tahoma" w:cs="Tahoma"/>
          </w:rPr>
          <w:t>la Resolución N.º</w:t>
        </w:r>
      </w:smartTag>
      <w:r w:rsidRPr="008D008A">
        <w:rPr>
          <w:rFonts w:ascii="Tahoma" w:hAnsi="Tahoma" w:cs="Tahoma"/>
        </w:rPr>
        <w:t xml:space="preserve"> 279-2007-CONSUCODE/PRE de fecha 21 de mayo de 2007, y de conformidad con las facultades conferidas en los artículos 53, 59 y 61 del Texto Único Ordenado de </w:t>
      </w:r>
      <w:smartTag w:uri="urn:schemas-microsoft-com:office:smarttags" w:element="PersonName">
        <w:smartTagPr>
          <w:attr w:name="ProductID" w:val="la Ley"/>
        </w:smartTagPr>
        <w:r w:rsidRPr="008D008A">
          <w:rPr>
            <w:rFonts w:ascii="Tahoma" w:hAnsi="Tahoma" w:cs="Tahoma"/>
          </w:rPr>
          <w:t>la Ley</w:t>
        </w:r>
      </w:smartTag>
      <w:r w:rsidRPr="008D008A">
        <w:rPr>
          <w:rFonts w:ascii="Tahoma" w:hAnsi="Tahoma" w:cs="Tahoma"/>
        </w:rPr>
        <w:t xml:space="preserve"> de Contrataciones y Adquisiciones del Estado, aprobado por Decreto Supremo N.º 083-2004-PCM, su Reglamento, aprobado por Dec</w:t>
      </w:r>
      <w:r>
        <w:rPr>
          <w:rFonts w:ascii="Tahoma" w:hAnsi="Tahoma" w:cs="Tahoma"/>
        </w:rPr>
        <w:t xml:space="preserve">reto Supremo N.º 084-2004-PCM, el Decreto N.º 013-2001-PCM, en aplicación del artículo 4 de la Ley 28267, </w:t>
      </w:r>
      <w:r w:rsidRPr="008D008A">
        <w:rPr>
          <w:rFonts w:ascii="Tahoma" w:hAnsi="Tahoma" w:cs="Tahoma"/>
        </w:rPr>
        <w:t>y los artículos 17 y 18 del Reglamento de Organización y Funciones del CONSUCODE, aprobado por Decreto Supremos N.º 054-2007-EF; analizados los antecedentes y luego de agotado el correspondiente debate, por unanimidad;</w:t>
      </w:r>
    </w:p>
    <w:p w:rsidR="00282EDA" w:rsidRPr="008D008A" w:rsidRDefault="00282EDA" w:rsidP="00282EDA">
      <w:pPr>
        <w:tabs>
          <w:tab w:val="num" w:pos="360"/>
        </w:tabs>
        <w:ind w:left="-180" w:firstLine="180"/>
        <w:jc w:val="both"/>
        <w:rPr>
          <w:rFonts w:ascii="Tahoma" w:hAnsi="Tahoma" w:cs="Tahoma"/>
          <w:b/>
          <w:shadow/>
        </w:rPr>
      </w:pPr>
    </w:p>
    <w:p w:rsidR="00282EDA" w:rsidRPr="008D008A" w:rsidRDefault="00282EDA" w:rsidP="00282EDA">
      <w:pPr>
        <w:tabs>
          <w:tab w:val="num" w:pos="360"/>
        </w:tabs>
        <w:ind w:left="-180" w:firstLine="180"/>
        <w:jc w:val="both"/>
        <w:rPr>
          <w:rFonts w:ascii="Tahoma" w:hAnsi="Tahoma" w:cs="Tahoma"/>
          <w:b/>
          <w:shadow/>
        </w:rPr>
      </w:pPr>
      <w:r w:rsidRPr="008D008A">
        <w:rPr>
          <w:rFonts w:ascii="Tahoma" w:hAnsi="Tahoma" w:cs="Tahoma"/>
          <w:b/>
          <w:shadow/>
        </w:rPr>
        <w:t>LA SALA RESUELVE:</w:t>
      </w:r>
    </w:p>
    <w:p w:rsidR="00282EDA" w:rsidRPr="004407AA" w:rsidRDefault="00282EDA" w:rsidP="00282EDA">
      <w:pPr>
        <w:pStyle w:val="Textoindependiente"/>
        <w:tabs>
          <w:tab w:val="num" w:pos="540"/>
        </w:tabs>
        <w:ind w:left="720" w:hanging="360"/>
        <w:rPr>
          <w:rFonts w:cs="Tahoma"/>
          <w:sz w:val="20"/>
        </w:rPr>
      </w:pPr>
    </w:p>
    <w:p w:rsidR="00282EDA" w:rsidRPr="004407AA" w:rsidRDefault="00282EDA" w:rsidP="00282EDA">
      <w:pPr>
        <w:pStyle w:val="Textoindependiente"/>
        <w:widowControl/>
        <w:numPr>
          <w:ilvl w:val="0"/>
          <w:numId w:val="3"/>
        </w:numPr>
        <w:tabs>
          <w:tab w:val="clear" w:pos="720"/>
          <w:tab w:val="num" w:pos="360"/>
          <w:tab w:val="num" w:pos="540"/>
        </w:tabs>
        <w:suppressAutoHyphens w:val="0"/>
        <w:ind w:left="540"/>
        <w:rPr>
          <w:rFonts w:cs="Tahoma"/>
          <w:sz w:val="20"/>
        </w:rPr>
      </w:pPr>
      <w:r w:rsidRPr="004407AA">
        <w:rPr>
          <w:rFonts w:cs="Tahoma"/>
          <w:sz w:val="20"/>
        </w:rPr>
        <w:t xml:space="preserve">Sancionar a la </w:t>
      </w:r>
      <w:r w:rsidRPr="00EA5600">
        <w:rPr>
          <w:rFonts w:cs="Tahoma"/>
          <w:sz w:val="20"/>
        </w:rPr>
        <w:t>señora</w:t>
      </w:r>
      <w:r w:rsidRPr="00EA5600">
        <w:rPr>
          <w:rFonts w:cs="Tahoma"/>
          <w:b/>
          <w:sz w:val="20"/>
        </w:rPr>
        <w:t xml:space="preserve"> María del Pilar Pachas Bonilla</w:t>
      </w:r>
      <w:r w:rsidRPr="004407AA">
        <w:rPr>
          <w:rFonts w:cs="Tahoma"/>
          <w:sz w:val="20"/>
        </w:rPr>
        <w:t xml:space="preserve"> con </w:t>
      </w:r>
      <w:r>
        <w:rPr>
          <w:rFonts w:cs="Tahoma"/>
          <w:sz w:val="20"/>
        </w:rPr>
        <w:t xml:space="preserve">catorce </w:t>
      </w:r>
      <w:r w:rsidRPr="004407AA">
        <w:rPr>
          <w:rFonts w:cs="Tahoma"/>
          <w:sz w:val="20"/>
        </w:rPr>
        <w:t>(</w:t>
      </w:r>
      <w:r>
        <w:rPr>
          <w:rFonts w:cs="Tahoma"/>
          <w:sz w:val="20"/>
        </w:rPr>
        <w:t>14</w:t>
      </w:r>
      <w:r w:rsidRPr="004407AA">
        <w:rPr>
          <w:rFonts w:cs="Tahoma"/>
          <w:sz w:val="20"/>
        </w:rPr>
        <w:t>) meses de inhabilitación temporal en su derecho de participar en procesos de selección y contratar con el Estado por la comisión de la infracción tipificada en el numeral 2 del artículo 294 del Reglamento de la Ley de Contrataciones y Adquisiciones del Estado, aprobado por Decreto Supremo N.° 084-2004-PCM, sanción que tendrá vigencia a partir del cuarto día hábil siguiente de notificada la presente resolución.</w:t>
      </w:r>
    </w:p>
    <w:p w:rsidR="00282EDA" w:rsidRPr="004407AA" w:rsidRDefault="00282EDA" w:rsidP="00282EDA">
      <w:pPr>
        <w:pStyle w:val="Textoindependiente"/>
        <w:tabs>
          <w:tab w:val="num" w:pos="540"/>
        </w:tabs>
        <w:ind w:left="180"/>
        <w:rPr>
          <w:rFonts w:cs="Tahoma"/>
          <w:sz w:val="20"/>
        </w:rPr>
      </w:pPr>
    </w:p>
    <w:p w:rsidR="00282EDA" w:rsidRDefault="00282EDA" w:rsidP="00282EDA">
      <w:pPr>
        <w:pStyle w:val="Textoindependiente"/>
        <w:widowControl/>
        <w:numPr>
          <w:ilvl w:val="0"/>
          <w:numId w:val="3"/>
        </w:numPr>
        <w:tabs>
          <w:tab w:val="clear" w:pos="720"/>
          <w:tab w:val="num" w:pos="360"/>
          <w:tab w:val="num" w:pos="540"/>
        </w:tabs>
        <w:suppressAutoHyphens w:val="0"/>
        <w:ind w:left="540"/>
        <w:rPr>
          <w:rFonts w:cs="Tahoma"/>
          <w:sz w:val="20"/>
        </w:rPr>
      </w:pPr>
      <w:r w:rsidRPr="004407AA">
        <w:rPr>
          <w:rFonts w:cs="Tahoma"/>
          <w:sz w:val="20"/>
        </w:rPr>
        <w:t>Poner la presente r</w:t>
      </w:r>
      <w:r>
        <w:rPr>
          <w:rFonts w:cs="Tahoma"/>
          <w:sz w:val="20"/>
        </w:rPr>
        <w:t>esolución en conocimiento a la Subdirección</w:t>
      </w:r>
      <w:r w:rsidRPr="004407AA">
        <w:rPr>
          <w:rFonts w:cs="Tahoma"/>
          <w:sz w:val="20"/>
        </w:rPr>
        <w:t xml:space="preserve"> de Registros del CONSUCODE para las anotaciones de ley.</w:t>
      </w:r>
    </w:p>
    <w:p w:rsidR="00282EDA" w:rsidRDefault="00282EDA" w:rsidP="00282EDA">
      <w:pPr>
        <w:pStyle w:val="Textoindependiente"/>
        <w:widowControl/>
        <w:tabs>
          <w:tab w:val="num" w:pos="720"/>
        </w:tabs>
        <w:suppressAutoHyphens w:val="0"/>
        <w:rPr>
          <w:rFonts w:cs="Tahoma"/>
          <w:sz w:val="20"/>
        </w:rPr>
      </w:pPr>
    </w:p>
    <w:p w:rsidR="00282EDA" w:rsidRPr="004407AA" w:rsidRDefault="00282EDA" w:rsidP="00282EDA">
      <w:pPr>
        <w:pStyle w:val="Textoindependiente"/>
        <w:widowControl/>
        <w:tabs>
          <w:tab w:val="num" w:pos="540"/>
        </w:tabs>
        <w:suppressAutoHyphens w:val="0"/>
        <w:ind w:left="180"/>
        <w:rPr>
          <w:rFonts w:cs="Tahoma"/>
          <w:sz w:val="20"/>
        </w:rPr>
      </w:pPr>
    </w:p>
    <w:p w:rsidR="00282EDA" w:rsidRPr="008D008A" w:rsidRDefault="00282EDA" w:rsidP="00282EDA">
      <w:pPr>
        <w:pStyle w:val="BodyText2"/>
        <w:rPr>
          <w:rFonts w:cs="Tahoma"/>
          <w:sz w:val="20"/>
        </w:rPr>
      </w:pPr>
      <w:r w:rsidRPr="008D008A">
        <w:rPr>
          <w:rFonts w:cs="Tahoma"/>
          <w:sz w:val="20"/>
        </w:rPr>
        <w:t>Regístrese, comuníquese y publíquese.</w:t>
      </w:r>
    </w:p>
    <w:p w:rsidR="00282EDA" w:rsidRPr="008D008A" w:rsidRDefault="00282EDA" w:rsidP="00282EDA">
      <w:pPr>
        <w:jc w:val="center"/>
        <w:rPr>
          <w:rFonts w:ascii="Tahoma" w:hAnsi="Tahoma" w:cs="Tahoma"/>
          <w:b/>
          <w:lang w:val="es-ES_tradnl"/>
        </w:rPr>
      </w:pPr>
    </w:p>
    <w:p w:rsidR="00282EDA" w:rsidRPr="008D008A" w:rsidRDefault="00282EDA" w:rsidP="00282EDA">
      <w:pPr>
        <w:jc w:val="center"/>
        <w:rPr>
          <w:rFonts w:ascii="Tahoma" w:hAnsi="Tahoma" w:cs="Tahoma"/>
          <w:b/>
          <w:lang w:val="es-ES_tradnl"/>
        </w:rPr>
      </w:pPr>
    </w:p>
    <w:p w:rsidR="00282EDA" w:rsidRDefault="00282EDA" w:rsidP="00282EDA">
      <w:pPr>
        <w:jc w:val="center"/>
        <w:rPr>
          <w:rFonts w:ascii="Tahoma" w:hAnsi="Tahoma" w:cs="Tahoma"/>
          <w:b/>
          <w:lang w:val="es-ES_tradnl"/>
        </w:rPr>
      </w:pPr>
    </w:p>
    <w:p w:rsidR="00282EDA" w:rsidRDefault="00282EDA" w:rsidP="00282EDA">
      <w:pPr>
        <w:jc w:val="center"/>
        <w:rPr>
          <w:rFonts w:ascii="Tahoma" w:hAnsi="Tahoma" w:cs="Tahoma"/>
          <w:b/>
          <w:lang w:val="es-ES_tradnl"/>
        </w:rPr>
      </w:pPr>
    </w:p>
    <w:p w:rsidR="00282EDA" w:rsidRPr="008D008A" w:rsidRDefault="00282EDA" w:rsidP="00282EDA">
      <w:pPr>
        <w:jc w:val="center"/>
        <w:rPr>
          <w:rFonts w:ascii="Tahoma" w:hAnsi="Tahoma" w:cs="Tahoma"/>
          <w:b/>
          <w:lang w:val="es-ES_tradnl"/>
        </w:rPr>
      </w:pPr>
    </w:p>
    <w:p w:rsidR="00282EDA" w:rsidRPr="008D008A" w:rsidRDefault="00282EDA" w:rsidP="00282EDA">
      <w:pPr>
        <w:jc w:val="center"/>
        <w:rPr>
          <w:rFonts w:ascii="Tahoma" w:hAnsi="Tahoma" w:cs="Tahoma"/>
          <w:b/>
          <w:shadow/>
          <w:lang w:val="pt-BR"/>
        </w:rPr>
      </w:pPr>
      <w:r w:rsidRPr="008D008A">
        <w:rPr>
          <w:rFonts w:ascii="Tahoma" w:hAnsi="Tahoma" w:cs="Tahoma"/>
          <w:b/>
          <w:shadow/>
          <w:lang w:val="pt-BR"/>
        </w:rPr>
        <w:t>PRESIDENTE</w:t>
      </w:r>
    </w:p>
    <w:p w:rsidR="00282EDA" w:rsidRPr="008D008A" w:rsidRDefault="00282EDA" w:rsidP="00282EDA">
      <w:pPr>
        <w:jc w:val="center"/>
        <w:rPr>
          <w:rFonts w:ascii="Tahoma" w:hAnsi="Tahoma" w:cs="Tahoma"/>
          <w:b/>
          <w:shadow/>
          <w:lang w:val="pt-BR"/>
        </w:rPr>
      </w:pPr>
    </w:p>
    <w:p w:rsidR="00282EDA" w:rsidRPr="008D008A" w:rsidRDefault="00282EDA" w:rsidP="00282EDA">
      <w:pPr>
        <w:jc w:val="center"/>
        <w:rPr>
          <w:rFonts w:ascii="Tahoma" w:hAnsi="Tahoma" w:cs="Tahoma"/>
          <w:b/>
          <w:shadow/>
          <w:lang w:val="pt-BR"/>
        </w:rPr>
      </w:pPr>
    </w:p>
    <w:p w:rsidR="00282EDA" w:rsidRPr="008D008A" w:rsidRDefault="00282EDA" w:rsidP="00282EDA">
      <w:pPr>
        <w:jc w:val="center"/>
        <w:rPr>
          <w:rFonts w:ascii="Tahoma" w:hAnsi="Tahoma" w:cs="Tahoma"/>
          <w:b/>
          <w:shadow/>
          <w:lang w:val="pt-BR"/>
        </w:rPr>
      </w:pPr>
    </w:p>
    <w:p w:rsidR="00282EDA" w:rsidRPr="008D008A" w:rsidRDefault="00282EDA" w:rsidP="00282EDA">
      <w:pPr>
        <w:jc w:val="center"/>
        <w:rPr>
          <w:rFonts w:ascii="Tahoma" w:hAnsi="Tahoma" w:cs="Tahoma"/>
          <w:b/>
          <w:shadow/>
          <w:lang w:val="pt-BR"/>
        </w:rPr>
      </w:pPr>
    </w:p>
    <w:p w:rsidR="00282EDA" w:rsidRPr="008D008A" w:rsidRDefault="00282EDA" w:rsidP="00282EDA">
      <w:pPr>
        <w:jc w:val="center"/>
        <w:rPr>
          <w:rFonts w:ascii="Tahoma" w:hAnsi="Tahoma" w:cs="Tahoma"/>
          <w:b/>
          <w:shadow/>
          <w:lang w:val="pt-BR"/>
        </w:rPr>
      </w:pPr>
    </w:p>
    <w:p w:rsidR="00282EDA" w:rsidRPr="008D008A" w:rsidRDefault="00282EDA" w:rsidP="00282EDA">
      <w:pPr>
        <w:ind w:left="708"/>
        <w:jc w:val="both"/>
        <w:rPr>
          <w:rFonts w:ascii="Tahoma" w:hAnsi="Tahoma" w:cs="Tahoma"/>
          <w:b/>
          <w:shadow/>
          <w:lang w:val="pt-BR"/>
        </w:rPr>
      </w:pPr>
      <w:r w:rsidRPr="008D008A">
        <w:rPr>
          <w:rFonts w:ascii="Tahoma" w:hAnsi="Tahoma" w:cs="Tahoma"/>
          <w:b/>
          <w:shadow/>
          <w:lang w:val="pt-BR"/>
        </w:rPr>
        <w:t xml:space="preserve"> VOCAL           </w:t>
      </w:r>
      <w:r w:rsidRPr="008D008A">
        <w:rPr>
          <w:rFonts w:ascii="Tahoma" w:hAnsi="Tahoma" w:cs="Tahoma"/>
          <w:b/>
          <w:shadow/>
          <w:lang w:val="pt-BR"/>
        </w:rPr>
        <w:tab/>
      </w:r>
      <w:r w:rsidRPr="008D008A">
        <w:rPr>
          <w:rFonts w:ascii="Tahoma" w:hAnsi="Tahoma" w:cs="Tahoma"/>
          <w:b/>
          <w:shadow/>
          <w:lang w:val="pt-BR"/>
        </w:rPr>
        <w:tab/>
        <w:t xml:space="preserve">                                                                    VOCAL</w:t>
      </w:r>
    </w:p>
    <w:p w:rsidR="00282EDA" w:rsidRPr="008D008A" w:rsidRDefault="00282EDA" w:rsidP="00282EDA">
      <w:pPr>
        <w:ind w:firstLine="708"/>
        <w:rPr>
          <w:rFonts w:ascii="Tahoma" w:hAnsi="Tahoma" w:cs="Tahoma"/>
          <w:b/>
          <w:shadow/>
          <w:lang w:val="pt-BR"/>
        </w:rPr>
      </w:pPr>
    </w:p>
    <w:p w:rsidR="00282EDA" w:rsidRDefault="00282EDA" w:rsidP="00282EDA">
      <w:pPr>
        <w:ind w:firstLine="708"/>
        <w:rPr>
          <w:rFonts w:ascii="Tahoma" w:hAnsi="Tahoma" w:cs="Tahoma"/>
          <w:b/>
          <w:shadow/>
          <w:lang w:val="pt-BR"/>
        </w:rPr>
      </w:pPr>
    </w:p>
    <w:p w:rsidR="00282EDA" w:rsidRDefault="00282EDA" w:rsidP="00282EDA">
      <w:pPr>
        <w:ind w:firstLine="708"/>
        <w:rPr>
          <w:rFonts w:ascii="Tahoma" w:hAnsi="Tahoma" w:cs="Tahoma"/>
          <w:b/>
          <w:shadow/>
          <w:lang w:val="pt-BR"/>
        </w:rPr>
      </w:pPr>
    </w:p>
    <w:p w:rsidR="00282EDA" w:rsidRDefault="00282EDA" w:rsidP="00282EDA">
      <w:pPr>
        <w:ind w:firstLine="708"/>
        <w:rPr>
          <w:rFonts w:ascii="Tahoma" w:hAnsi="Tahoma" w:cs="Tahoma"/>
          <w:b/>
          <w:shadow/>
          <w:lang w:val="pt-BR"/>
        </w:rPr>
      </w:pPr>
    </w:p>
    <w:p w:rsidR="00282EDA" w:rsidRPr="008D008A" w:rsidRDefault="00282EDA" w:rsidP="00282EDA">
      <w:pPr>
        <w:ind w:firstLine="708"/>
        <w:rPr>
          <w:rFonts w:ascii="Tahoma" w:hAnsi="Tahoma" w:cs="Tahoma"/>
          <w:b/>
          <w:shadow/>
          <w:lang w:val="pt-BR"/>
        </w:rPr>
      </w:pPr>
    </w:p>
    <w:p w:rsidR="00282EDA" w:rsidRPr="00EA5600" w:rsidRDefault="00282EDA" w:rsidP="00282EDA">
      <w:pPr>
        <w:jc w:val="both"/>
        <w:rPr>
          <w:rFonts w:ascii="Tahoma" w:hAnsi="Tahoma" w:cs="Tahoma"/>
          <w:sz w:val="18"/>
          <w:szCs w:val="18"/>
          <w:lang w:val="pt-BR"/>
        </w:rPr>
      </w:pPr>
      <w:proofErr w:type="gramStart"/>
      <w:r w:rsidRPr="00EA5600">
        <w:rPr>
          <w:rFonts w:ascii="Tahoma" w:hAnsi="Tahoma" w:cs="Tahoma"/>
          <w:sz w:val="18"/>
          <w:szCs w:val="18"/>
          <w:lang w:val="pt-BR"/>
        </w:rPr>
        <w:t>ss.</w:t>
      </w:r>
      <w:proofErr w:type="gramEnd"/>
    </w:p>
    <w:p w:rsidR="00282EDA" w:rsidRPr="00EA5600" w:rsidRDefault="00282EDA" w:rsidP="00282EDA">
      <w:pPr>
        <w:pStyle w:val="BodyText2"/>
        <w:rPr>
          <w:rFonts w:cs="Tahoma"/>
          <w:sz w:val="18"/>
          <w:szCs w:val="18"/>
          <w:lang w:val="pt-BR"/>
        </w:rPr>
      </w:pPr>
      <w:proofErr w:type="spellStart"/>
      <w:r w:rsidRPr="00EA5600">
        <w:rPr>
          <w:rFonts w:cs="Tahoma"/>
          <w:sz w:val="18"/>
          <w:szCs w:val="18"/>
          <w:lang w:val="pt-BR"/>
        </w:rPr>
        <w:t>Valdivia</w:t>
      </w:r>
      <w:proofErr w:type="spellEnd"/>
      <w:r w:rsidRPr="00EA5600">
        <w:rPr>
          <w:rFonts w:cs="Tahoma"/>
          <w:sz w:val="18"/>
          <w:szCs w:val="18"/>
          <w:lang w:val="pt-BR"/>
        </w:rPr>
        <w:t xml:space="preserve"> </w:t>
      </w:r>
      <w:proofErr w:type="spellStart"/>
      <w:r w:rsidRPr="00EA5600">
        <w:rPr>
          <w:rFonts w:cs="Tahoma"/>
          <w:sz w:val="18"/>
          <w:szCs w:val="18"/>
          <w:lang w:val="pt-BR"/>
        </w:rPr>
        <w:t>Huaringa</w:t>
      </w:r>
      <w:proofErr w:type="spellEnd"/>
      <w:r w:rsidRPr="00EA5600">
        <w:rPr>
          <w:rFonts w:cs="Tahoma"/>
          <w:sz w:val="18"/>
          <w:szCs w:val="18"/>
          <w:lang w:val="pt-BR"/>
        </w:rPr>
        <w:t>.</w:t>
      </w:r>
    </w:p>
    <w:p w:rsidR="00282EDA" w:rsidRPr="00EA5600" w:rsidRDefault="00282EDA" w:rsidP="00282EDA">
      <w:pPr>
        <w:pStyle w:val="BodyText2"/>
        <w:rPr>
          <w:rFonts w:cs="Tahoma"/>
          <w:sz w:val="18"/>
          <w:szCs w:val="18"/>
        </w:rPr>
      </w:pPr>
      <w:r w:rsidRPr="00EA5600">
        <w:rPr>
          <w:rFonts w:cs="Tahoma"/>
          <w:sz w:val="18"/>
          <w:szCs w:val="18"/>
        </w:rPr>
        <w:t xml:space="preserve">Ramírez </w:t>
      </w:r>
      <w:proofErr w:type="spellStart"/>
      <w:r w:rsidRPr="00EA5600">
        <w:rPr>
          <w:rFonts w:cs="Tahoma"/>
          <w:sz w:val="18"/>
          <w:szCs w:val="18"/>
        </w:rPr>
        <w:t>Maynetto</w:t>
      </w:r>
      <w:proofErr w:type="spellEnd"/>
      <w:r w:rsidRPr="00EA5600">
        <w:rPr>
          <w:rFonts w:cs="Tahoma"/>
          <w:sz w:val="18"/>
          <w:szCs w:val="18"/>
        </w:rPr>
        <w:t>.</w:t>
      </w:r>
    </w:p>
    <w:p w:rsidR="00282EDA" w:rsidRPr="00EA5600" w:rsidRDefault="00282EDA" w:rsidP="00282EDA">
      <w:pPr>
        <w:pStyle w:val="BodyText2"/>
        <w:tabs>
          <w:tab w:val="left" w:pos="7740"/>
        </w:tabs>
        <w:rPr>
          <w:sz w:val="18"/>
          <w:szCs w:val="18"/>
        </w:rPr>
      </w:pPr>
      <w:r w:rsidRPr="00EA5600">
        <w:rPr>
          <w:sz w:val="18"/>
          <w:szCs w:val="18"/>
        </w:rPr>
        <w:t>Navas Rondón.</w:t>
      </w:r>
    </w:p>
    <w:p w:rsidR="00282EDA" w:rsidRDefault="00282EDA" w:rsidP="00282EDA"/>
    <w:p w:rsidR="00DD5730" w:rsidRDefault="00A92AB5"/>
    <w:sectPr w:rsidR="00DD5730" w:rsidSect="007F7BA2">
      <w:footerReference w:type="even" r:id="rId7"/>
      <w:footerReference w:type="default" r:id="rId8"/>
      <w:pgSz w:w="11907" w:h="16840" w:code="9"/>
      <w:pgMar w:top="3235" w:right="1107" w:bottom="1258" w:left="1260" w:header="720" w:footer="107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EDA" w:rsidRDefault="00282EDA" w:rsidP="00282EDA">
      <w:r>
        <w:separator/>
      </w:r>
    </w:p>
  </w:endnote>
  <w:endnote w:type="continuationSeparator" w:id="1">
    <w:p w:rsidR="00282EDA" w:rsidRDefault="00282EDA" w:rsidP="00282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8BE" w:rsidRDefault="00A92AB5" w:rsidP="007F7BA2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808BE" w:rsidRDefault="00A92AB5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8BE" w:rsidRPr="00864C03" w:rsidRDefault="00A92AB5">
    <w:pPr>
      <w:pStyle w:val="Piedepgina"/>
      <w:framePr w:wrap="around" w:vAnchor="text" w:hAnchor="margin" w:xAlign="center" w:y="1"/>
      <w:rPr>
        <w:rStyle w:val="Nmerodepgina"/>
        <w:i/>
        <w:sz w:val="20"/>
      </w:rPr>
    </w:pPr>
    <w:r w:rsidRPr="00864C03">
      <w:rPr>
        <w:rStyle w:val="Nmerodepgina"/>
        <w:i/>
        <w:sz w:val="20"/>
      </w:rPr>
      <w:t xml:space="preserve">Página </w:t>
    </w:r>
    <w:r w:rsidRPr="00864C03">
      <w:rPr>
        <w:rStyle w:val="Nmerodepgina"/>
        <w:i/>
        <w:sz w:val="20"/>
      </w:rPr>
      <w:fldChar w:fldCharType="begin"/>
    </w:r>
    <w:r w:rsidRPr="00864C03">
      <w:rPr>
        <w:rStyle w:val="Nmerodepgina"/>
        <w:i/>
        <w:sz w:val="20"/>
      </w:rPr>
      <w:instrText xml:space="preserve"> PAGE </w:instrText>
    </w:r>
    <w:r w:rsidRPr="00864C03">
      <w:rPr>
        <w:rStyle w:val="Nmerodepgina"/>
        <w:i/>
        <w:sz w:val="20"/>
      </w:rPr>
      <w:fldChar w:fldCharType="separate"/>
    </w:r>
    <w:r>
      <w:rPr>
        <w:rStyle w:val="Nmerodepgina"/>
        <w:i/>
        <w:noProof/>
        <w:sz w:val="20"/>
      </w:rPr>
      <w:t>1</w:t>
    </w:r>
    <w:r w:rsidRPr="00864C03">
      <w:rPr>
        <w:rStyle w:val="Nmerodepgina"/>
        <w:i/>
        <w:sz w:val="20"/>
      </w:rPr>
      <w:fldChar w:fldCharType="end"/>
    </w:r>
    <w:r w:rsidRPr="00864C03">
      <w:rPr>
        <w:rStyle w:val="Nmerodepgina"/>
        <w:i/>
        <w:sz w:val="20"/>
      </w:rPr>
      <w:t xml:space="preserve"> de </w:t>
    </w:r>
    <w:r w:rsidRPr="00864C03">
      <w:rPr>
        <w:rStyle w:val="Nmerodepgina"/>
        <w:i/>
        <w:sz w:val="20"/>
      </w:rPr>
      <w:fldChar w:fldCharType="begin"/>
    </w:r>
    <w:r w:rsidRPr="00864C03">
      <w:rPr>
        <w:rStyle w:val="Nmerodepgina"/>
        <w:i/>
        <w:sz w:val="20"/>
      </w:rPr>
      <w:instrText xml:space="preserve"> NUMPAGES </w:instrText>
    </w:r>
    <w:r w:rsidRPr="00864C03">
      <w:rPr>
        <w:rStyle w:val="Nmerodepgina"/>
        <w:i/>
        <w:sz w:val="20"/>
      </w:rPr>
      <w:fldChar w:fldCharType="separate"/>
    </w:r>
    <w:r>
      <w:rPr>
        <w:rStyle w:val="Nmerodepgina"/>
        <w:i/>
        <w:noProof/>
        <w:sz w:val="20"/>
      </w:rPr>
      <w:t>4</w:t>
    </w:r>
    <w:r w:rsidRPr="00864C03">
      <w:rPr>
        <w:rStyle w:val="Nmerodepgina"/>
        <w:i/>
        <w:sz w:val="20"/>
      </w:rPr>
      <w:fldChar w:fldCharType="end"/>
    </w:r>
  </w:p>
  <w:p w:rsidR="008808BE" w:rsidRDefault="00A92AB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EDA" w:rsidRDefault="00282EDA" w:rsidP="00282EDA">
      <w:r>
        <w:separator/>
      </w:r>
    </w:p>
  </w:footnote>
  <w:footnote w:type="continuationSeparator" w:id="1">
    <w:p w:rsidR="00282EDA" w:rsidRDefault="00282EDA" w:rsidP="00282EDA">
      <w:r>
        <w:continuationSeparator/>
      </w:r>
    </w:p>
  </w:footnote>
  <w:footnote w:id="2">
    <w:p w:rsidR="00282EDA" w:rsidRPr="00EA5600" w:rsidRDefault="00282EDA" w:rsidP="00282EDA">
      <w:pPr>
        <w:pStyle w:val="Textonotapie"/>
        <w:rPr>
          <w:rFonts w:ascii="Tahoma" w:hAnsi="Tahoma" w:cs="Tahoma"/>
          <w:sz w:val="16"/>
          <w:szCs w:val="16"/>
          <w:lang w:val="es-PE"/>
        </w:rPr>
      </w:pPr>
      <w:r>
        <w:rPr>
          <w:rStyle w:val="Refdenotaalpie"/>
        </w:rPr>
        <w:footnoteRef/>
      </w:r>
      <w:r>
        <w:t xml:space="preserve"> </w:t>
      </w:r>
      <w:r w:rsidRPr="00EA5600">
        <w:rPr>
          <w:rFonts w:ascii="Tahoma" w:hAnsi="Tahoma" w:cs="Tahoma"/>
          <w:sz w:val="16"/>
          <w:szCs w:val="16"/>
          <w:lang w:val="es-PE"/>
        </w:rPr>
        <w:t>Documento obrante de fojas 138 del expediente administrativo.</w:t>
      </w:r>
    </w:p>
  </w:footnote>
  <w:footnote w:id="3">
    <w:p w:rsidR="00282EDA" w:rsidRPr="00EA5600" w:rsidRDefault="00282EDA" w:rsidP="00282EDA">
      <w:pPr>
        <w:pStyle w:val="Textonotapie"/>
        <w:rPr>
          <w:rFonts w:ascii="Tahoma" w:hAnsi="Tahoma" w:cs="Tahoma"/>
          <w:sz w:val="16"/>
          <w:szCs w:val="16"/>
          <w:lang w:val="es-PE"/>
        </w:rPr>
      </w:pPr>
      <w:r>
        <w:rPr>
          <w:rStyle w:val="Refdenotaalpie"/>
        </w:rPr>
        <w:footnoteRef/>
      </w:r>
      <w:r>
        <w:t xml:space="preserve"> </w:t>
      </w:r>
      <w:r w:rsidRPr="00EA5600">
        <w:rPr>
          <w:rFonts w:ascii="Tahoma" w:hAnsi="Tahoma" w:cs="Tahoma"/>
          <w:sz w:val="16"/>
          <w:szCs w:val="16"/>
          <w:lang w:val="es-PE"/>
        </w:rPr>
        <w:t>Documento obrante a fojas 143 del expediente administrativo.</w:t>
      </w:r>
    </w:p>
  </w:footnote>
  <w:footnote w:id="4">
    <w:p w:rsidR="00282EDA" w:rsidRPr="00EA5600" w:rsidRDefault="00282EDA" w:rsidP="00282EDA">
      <w:pPr>
        <w:pStyle w:val="Textonotapie"/>
        <w:rPr>
          <w:rFonts w:ascii="Tahoma" w:hAnsi="Tahoma" w:cs="Tahoma"/>
          <w:sz w:val="16"/>
          <w:szCs w:val="16"/>
          <w:lang w:val="es-PE"/>
        </w:rPr>
      </w:pPr>
      <w:r w:rsidRPr="00EA5600">
        <w:rPr>
          <w:rStyle w:val="Refdenotaalpie"/>
          <w:rFonts w:ascii="Tahoma" w:hAnsi="Tahoma" w:cs="Tahoma"/>
          <w:sz w:val="16"/>
          <w:szCs w:val="16"/>
        </w:rPr>
        <w:footnoteRef/>
      </w:r>
      <w:r w:rsidRPr="00EA5600">
        <w:rPr>
          <w:rFonts w:ascii="Tahoma" w:hAnsi="Tahoma" w:cs="Tahoma"/>
          <w:sz w:val="16"/>
          <w:szCs w:val="16"/>
        </w:rPr>
        <w:t xml:space="preserve"> </w:t>
      </w:r>
      <w:r w:rsidRPr="00EA5600">
        <w:rPr>
          <w:rFonts w:ascii="Tahoma" w:hAnsi="Tahoma" w:cs="Tahoma"/>
          <w:sz w:val="16"/>
          <w:szCs w:val="16"/>
          <w:lang w:val="es-PE"/>
        </w:rPr>
        <w:t>Documento obrante a fojas 147 del expediente administrativo.</w:t>
      </w:r>
    </w:p>
  </w:footnote>
  <w:footnote w:id="5">
    <w:p w:rsidR="00282EDA" w:rsidRPr="00EA5600" w:rsidRDefault="00282EDA" w:rsidP="00282EDA">
      <w:pPr>
        <w:pStyle w:val="Textonotapie"/>
        <w:jc w:val="both"/>
        <w:rPr>
          <w:rFonts w:ascii="Tahoma" w:hAnsi="Tahoma" w:cs="Tahoma"/>
          <w:sz w:val="16"/>
          <w:szCs w:val="16"/>
        </w:rPr>
      </w:pPr>
      <w:r w:rsidRPr="00EA5600">
        <w:rPr>
          <w:rStyle w:val="Refdenotaalpie"/>
          <w:rFonts w:ascii="Tahoma" w:hAnsi="Tahoma" w:cs="Tahoma"/>
          <w:i/>
          <w:sz w:val="16"/>
          <w:szCs w:val="16"/>
        </w:rPr>
        <w:footnoteRef/>
      </w:r>
      <w:r w:rsidRPr="00EA5600">
        <w:rPr>
          <w:rFonts w:ascii="Tahoma" w:hAnsi="Tahoma" w:cs="Tahoma"/>
          <w:i/>
          <w:sz w:val="16"/>
          <w:szCs w:val="16"/>
        </w:rPr>
        <w:t xml:space="preserve"> </w:t>
      </w:r>
      <w:r w:rsidRPr="00EA5600">
        <w:rPr>
          <w:rFonts w:ascii="Tahoma" w:hAnsi="Tahoma" w:cs="Tahoma"/>
          <w:sz w:val="16"/>
          <w:szCs w:val="16"/>
        </w:rPr>
        <w:t>La anotada presunción legal se sustenta en el artículo 1329 del Código Civil, el cual establece que “se presume que la inejecución de la obligación, o su cumplimiento parcial, tardío o defectuoso, obedece a culpa leve del deudor”, artículo aplicable al presente caso de conformidad con el artículo IX, del Título Preliminar del mismo cuerpo normativo: “Las disposiciones del Código Civil se aplican supletoriamente a las relaciones y situaciones jurídicas reguladas por otras leyes, siempre que no sean incompatibles con su naturaleza”.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45921"/>
    <w:multiLevelType w:val="hybridMultilevel"/>
    <w:tmpl w:val="99888066"/>
    <w:lvl w:ilvl="0" w:tplc="3D7E8B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F24358"/>
    <w:multiLevelType w:val="hybridMultilevel"/>
    <w:tmpl w:val="F0C2F9F8"/>
    <w:lvl w:ilvl="0" w:tplc="3820B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98099B"/>
    <w:multiLevelType w:val="hybridMultilevel"/>
    <w:tmpl w:val="248A1E08"/>
    <w:lvl w:ilvl="0" w:tplc="AFB2B48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</w:rPr>
    </w:lvl>
    <w:lvl w:ilvl="1" w:tplc="9F10B11E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b/>
      </w:r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2EDA"/>
    <w:rsid w:val="00282EDA"/>
    <w:rsid w:val="0040016F"/>
    <w:rsid w:val="005F15D1"/>
    <w:rsid w:val="00896EE1"/>
    <w:rsid w:val="00A92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E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282EDA"/>
    <w:pPr>
      <w:widowControl w:val="0"/>
      <w:tabs>
        <w:tab w:val="center" w:pos="4252"/>
        <w:tab w:val="right" w:pos="8504"/>
      </w:tabs>
      <w:suppressAutoHyphens/>
    </w:pPr>
    <w:rPr>
      <w:sz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282EDA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rsid w:val="00282EDA"/>
  </w:style>
  <w:style w:type="paragraph" w:styleId="Textoindependiente">
    <w:name w:val="Body Text"/>
    <w:basedOn w:val="Normal"/>
    <w:link w:val="TextoindependienteCar"/>
    <w:rsid w:val="00282EDA"/>
    <w:pPr>
      <w:widowControl w:val="0"/>
      <w:suppressAutoHyphens/>
      <w:jc w:val="both"/>
    </w:pPr>
    <w:rPr>
      <w:rFonts w:ascii="Tahoma" w:hAnsi="Tahoma"/>
      <w:sz w:val="22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282EDA"/>
    <w:rPr>
      <w:rFonts w:ascii="Tahoma" w:eastAsia="Times New Roman" w:hAnsi="Tahoma" w:cs="Times New Roman"/>
      <w:szCs w:val="20"/>
      <w:lang w:val="es-ES_tradnl" w:eastAsia="es-ES"/>
    </w:rPr>
  </w:style>
  <w:style w:type="paragraph" w:customStyle="1" w:styleId="BodyText2">
    <w:name w:val="Body Text 2"/>
    <w:basedOn w:val="Normal"/>
    <w:rsid w:val="00282EDA"/>
    <w:pPr>
      <w:jc w:val="both"/>
    </w:pPr>
    <w:rPr>
      <w:rFonts w:ascii="Tahoma" w:hAnsi="Tahoma"/>
      <w:sz w:val="22"/>
    </w:rPr>
  </w:style>
  <w:style w:type="paragraph" w:styleId="Textoindependiente3">
    <w:name w:val="Body Text 3"/>
    <w:basedOn w:val="Normal"/>
    <w:link w:val="Textoindependiente3Car"/>
    <w:rsid w:val="00282EDA"/>
    <w:pPr>
      <w:spacing w:after="120"/>
    </w:pPr>
    <w:rPr>
      <w:sz w:val="16"/>
      <w:szCs w:val="16"/>
      <w:lang w:val="es-PE"/>
    </w:rPr>
  </w:style>
  <w:style w:type="character" w:customStyle="1" w:styleId="Textoindependiente3Car">
    <w:name w:val="Texto independiente 3 Car"/>
    <w:basedOn w:val="Fuentedeprrafopredeter"/>
    <w:link w:val="Textoindependiente3"/>
    <w:rsid w:val="00282EDA"/>
    <w:rPr>
      <w:rFonts w:ascii="Times New Roman" w:eastAsia="Times New Roman" w:hAnsi="Times New Roman" w:cs="Times New Roman"/>
      <w:sz w:val="16"/>
      <w:szCs w:val="16"/>
      <w:lang w:val="es-PE" w:eastAsia="es-ES"/>
    </w:rPr>
  </w:style>
  <w:style w:type="paragraph" w:styleId="Textonotapie">
    <w:name w:val="footnote text"/>
    <w:basedOn w:val="Normal"/>
    <w:link w:val="TextonotapieCar"/>
    <w:semiHidden/>
    <w:rsid w:val="00282EDA"/>
  </w:style>
  <w:style w:type="character" w:customStyle="1" w:styleId="TextonotapieCar">
    <w:name w:val="Texto nota pie Car"/>
    <w:basedOn w:val="Fuentedeprrafopredeter"/>
    <w:link w:val="Textonotapie"/>
    <w:semiHidden/>
    <w:rsid w:val="00282EDA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semiHidden/>
    <w:rsid w:val="00282EDA"/>
    <w:rPr>
      <w:vertAlign w:val="superscript"/>
    </w:rPr>
  </w:style>
  <w:style w:type="paragraph" w:styleId="Prrafodelista">
    <w:name w:val="List Paragraph"/>
    <w:basedOn w:val="Normal"/>
    <w:qFormat/>
    <w:rsid w:val="00282EDA"/>
    <w:pPr>
      <w:ind w:left="720"/>
      <w:contextualSpacing/>
    </w:pPr>
    <w:rPr>
      <w:sz w:val="24"/>
      <w:szCs w:val="24"/>
    </w:rPr>
  </w:style>
  <w:style w:type="table" w:styleId="Tablaconcuadrcula">
    <w:name w:val="Table Grid"/>
    <w:basedOn w:val="Tablanormal"/>
    <w:rsid w:val="00282E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1637</Words>
  <Characters>9006</Characters>
  <Application>Microsoft Office Word</Application>
  <DocSecurity>0</DocSecurity>
  <Lines>75</Lines>
  <Paragraphs>21</Paragraphs>
  <ScaleCrop>false</ScaleCrop>
  <Company/>
  <LinksUpToDate>false</LinksUpToDate>
  <CharactersWithSpaces>10622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2052-2007/TC-S3</dc:title>
  <dc:subject>APLICACIÓN DE SANCION A LA SEÑORA MARIA PACHAS</dc:subject>
  <dc:creator>TRIBUNAL</dc:creator>
  <cp:keywords>RESOLUCION CONTRACTUAL</cp:keywords>
  <dc:description/>
  <cp:lastModifiedBy>jcabrera</cp:lastModifiedBy>
  <cp:revision>2</cp:revision>
  <dcterms:created xsi:type="dcterms:W3CDTF">2007-12-13T20:16:00Z</dcterms:created>
  <dcterms:modified xsi:type="dcterms:W3CDTF">2007-12-13T20:18:00Z</dcterms:modified>
  <cp:category>RESOLUCION - TRIBUNAL</cp:category>
</cp:coreProperties>
</file>