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15B" w:rsidRDefault="008F015B" w:rsidP="008F015B">
      <w:pPr>
        <w:ind w:left="2340" w:right="1440" w:hanging="900"/>
        <w:jc w:val="both"/>
        <w:rPr>
          <w:rFonts w:ascii="Tahoma" w:hAnsi="Tahoma" w:cs="Tahoma"/>
          <w:b/>
        </w:rPr>
      </w:pPr>
    </w:p>
    <w:p w:rsidR="008F015B" w:rsidRDefault="008F015B" w:rsidP="008F015B">
      <w:pPr>
        <w:ind w:left="2340" w:right="1440" w:hanging="900"/>
        <w:jc w:val="both"/>
        <w:rPr>
          <w:rFonts w:ascii="Tahoma" w:hAnsi="Tahoma" w:cs="Tahoma"/>
          <w:b/>
        </w:rPr>
      </w:pPr>
    </w:p>
    <w:p w:rsidR="008F015B" w:rsidRDefault="008F015B" w:rsidP="008F015B">
      <w:pPr>
        <w:ind w:left="2340" w:right="1440"/>
        <w:jc w:val="both"/>
        <w:rPr>
          <w:rFonts w:ascii="Tahoma" w:hAnsi="Tahoma" w:cs="Tahoma"/>
          <w:b/>
        </w:rPr>
      </w:pPr>
      <w:r>
        <w:rPr>
          <w:rFonts w:ascii="Tahoma" w:hAnsi="Tahoma" w:cs="Tahoma"/>
          <w:b/>
        </w:rPr>
        <w:t>RESOLUCIÓN N</w:t>
      </w:r>
      <w:proofErr w:type="gramStart"/>
      <w:r>
        <w:rPr>
          <w:rFonts w:ascii="Tahoma" w:hAnsi="Tahoma" w:cs="Tahoma"/>
          <w:b/>
        </w:rPr>
        <w:t>.º</w:t>
      </w:r>
      <w:proofErr w:type="gramEnd"/>
      <w:r>
        <w:rPr>
          <w:rFonts w:ascii="Tahoma" w:hAnsi="Tahoma" w:cs="Tahoma"/>
          <w:b/>
        </w:rPr>
        <w:t xml:space="preserve"> 2051-2007/TC-S3</w:t>
      </w:r>
    </w:p>
    <w:p w:rsidR="008F015B" w:rsidRDefault="008F015B" w:rsidP="008F015B">
      <w:pPr>
        <w:ind w:left="2340" w:right="1440"/>
        <w:jc w:val="both"/>
        <w:rPr>
          <w:rFonts w:ascii="Tahoma" w:hAnsi="Tahoma" w:cs="Tahoma"/>
          <w:b/>
        </w:rPr>
      </w:pPr>
    </w:p>
    <w:p w:rsidR="008F015B" w:rsidRPr="00D5441B" w:rsidRDefault="008F015B" w:rsidP="008F015B">
      <w:pPr>
        <w:ind w:left="2340" w:right="1440" w:hanging="900"/>
        <w:jc w:val="both"/>
        <w:rPr>
          <w:rFonts w:ascii="Tahoma" w:hAnsi="Tahoma" w:cs="Tahoma"/>
          <w:i/>
        </w:rPr>
      </w:pPr>
      <w:r w:rsidRPr="00D5441B">
        <w:rPr>
          <w:rFonts w:ascii="Tahoma" w:hAnsi="Tahoma" w:cs="Tahoma"/>
          <w:b/>
        </w:rPr>
        <w:t>Sumilla</w:t>
      </w:r>
      <w:r w:rsidRPr="00D5441B">
        <w:rPr>
          <w:rFonts w:ascii="Tahoma" w:hAnsi="Tahoma" w:cs="Tahoma"/>
        </w:rPr>
        <w:t xml:space="preserve">: </w:t>
      </w:r>
      <w:r w:rsidRPr="00D5441B">
        <w:rPr>
          <w:rFonts w:ascii="Tahoma" w:hAnsi="Tahoma" w:cs="Tahoma"/>
          <w:i/>
        </w:rPr>
        <w:t>El daño descrito en la normativa de contrataciones, busca tutelar el interés público,</w:t>
      </w:r>
      <w:r>
        <w:rPr>
          <w:rFonts w:ascii="Tahoma" w:hAnsi="Tahoma" w:cs="Tahoma"/>
          <w:i/>
        </w:rPr>
        <w:t xml:space="preserve"> </w:t>
      </w:r>
      <w:r w:rsidRPr="00D5441B">
        <w:rPr>
          <w:rFonts w:ascii="Tahoma" w:hAnsi="Tahoma" w:cs="Tahoma"/>
          <w:i/>
        </w:rPr>
        <w:t xml:space="preserve">(entendido como el resultado de un conjunto de intereses individuales compartidos y coincidentes, que prevalece sobre los intereses individuales que se le opongan o lo afecten) que se fundamenta en la satisfacción de las necesidades estatales para la consecución de sus fines institucionales programados con anticipación, por tal motivo, el Reglamento señala como elemento para graduar la sanción </w:t>
      </w:r>
      <w:r>
        <w:rPr>
          <w:rFonts w:ascii="Tahoma" w:hAnsi="Tahoma" w:cs="Tahoma"/>
          <w:i/>
        </w:rPr>
        <w:t>a</w:t>
      </w:r>
      <w:r w:rsidRPr="00D5441B">
        <w:rPr>
          <w:rFonts w:ascii="Tahoma" w:hAnsi="Tahoma" w:cs="Tahoma"/>
          <w:i/>
        </w:rPr>
        <w:t xml:space="preserve">l daño causado, es decir, qué tan relevante o pernicioso fue el detrimento que afrontó la Entidad producto del incumplimiento, no existiendo la posibilidad de la no presencia de </w:t>
      </w:r>
      <w:r>
        <w:rPr>
          <w:rFonts w:ascii="Tahoma" w:hAnsi="Tahoma" w:cs="Tahoma"/>
          <w:i/>
        </w:rPr>
        <w:t>un perjuicio</w:t>
      </w:r>
      <w:r w:rsidRPr="00D5441B">
        <w:rPr>
          <w:rFonts w:ascii="Tahoma" w:hAnsi="Tahoma" w:cs="Tahoma"/>
          <w:i/>
        </w:rPr>
        <w:t xml:space="preserve"> como producto de una conducta tipificada como sancionable, libre de incidencia en el tema patrimonial.</w:t>
      </w:r>
    </w:p>
    <w:p w:rsidR="008F015B" w:rsidRDefault="008F015B" w:rsidP="008F015B">
      <w:pPr>
        <w:tabs>
          <w:tab w:val="left" w:pos="2700"/>
          <w:tab w:val="left" w:pos="2880"/>
          <w:tab w:val="left" w:pos="6300"/>
        </w:tabs>
        <w:ind w:left="2700" w:right="3060" w:hanging="1080"/>
        <w:jc w:val="both"/>
        <w:rPr>
          <w:rFonts w:ascii="Tahoma" w:hAnsi="Tahoma" w:cs="Tahoma"/>
          <w:i/>
          <w:lang w:val="es-PE"/>
        </w:rPr>
      </w:pPr>
    </w:p>
    <w:p w:rsidR="008F015B" w:rsidRPr="00AC077E" w:rsidRDefault="008F015B" w:rsidP="008F015B">
      <w:pPr>
        <w:tabs>
          <w:tab w:val="left" w:pos="2700"/>
          <w:tab w:val="left" w:pos="2880"/>
          <w:tab w:val="left" w:pos="6300"/>
        </w:tabs>
        <w:ind w:left="2700" w:right="3060" w:hanging="1080"/>
        <w:jc w:val="both"/>
        <w:rPr>
          <w:rFonts w:ascii="Tahoma" w:hAnsi="Tahoma" w:cs="Tahoma"/>
          <w:i/>
          <w:lang w:val="es-PE"/>
        </w:rPr>
      </w:pPr>
    </w:p>
    <w:p w:rsidR="008F015B" w:rsidRDefault="008F015B" w:rsidP="008F015B">
      <w:pPr>
        <w:pStyle w:val="Textoindependiente3"/>
        <w:ind w:left="4956" w:firstLine="84"/>
        <w:rPr>
          <w:rFonts w:ascii="Tahoma" w:hAnsi="Tahoma" w:cs="Tahoma"/>
          <w:b/>
          <w:sz w:val="20"/>
          <w:szCs w:val="20"/>
        </w:rPr>
      </w:pPr>
      <w:r w:rsidRPr="008D008A">
        <w:rPr>
          <w:rFonts w:ascii="Tahoma" w:hAnsi="Tahoma" w:cs="Tahoma"/>
          <w:b/>
          <w:sz w:val="20"/>
          <w:szCs w:val="20"/>
        </w:rPr>
        <w:t xml:space="preserve">Lima, </w:t>
      </w:r>
      <w:r>
        <w:rPr>
          <w:rFonts w:ascii="Tahoma" w:hAnsi="Tahoma" w:cs="Tahoma"/>
          <w:b/>
          <w:sz w:val="20"/>
          <w:szCs w:val="20"/>
        </w:rPr>
        <w:t>27 DE NOVIEMBRE DE 2007</w:t>
      </w:r>
    </w:p>
    <w:p w:rsidR="008F015B" w:rsidRPr="008D008A" w:rsidRDefault="008F015B" w:rsidP="008F015B">
      <w:pPr>
        <w:jc w:val="both"/>
        <w:rPr>
          <w:rFonts w:ascii="Tahoma" w:hAnsi="Tahoma" w:cs="Tahoma"/>
          <w:color w:val="000000"/>
        </w:rPr>
      </w:pPr>
      <w:r w:rsidRPr="008D008A">
        <w:rPr>
          <w:rFonts w:ascii="Tahoma" w:hAnsi="Tahoma" w:cs="Tahoma"/>
          <w:b/>
        </w:rPr>
        <w:t>VISTO</w:t>
      </w:r>
      <w:r w:rsidRPr="008D008A">
        <w:rPr>
          <w:rFonts w:ascii="Tahoma" w:hAnsi="Tahoma" w:cs="Tahoma"/>
        </w:rPr>
        <w:t xml:space="preserve">, </w:t>
      </w:r>
      <w:r w:rsidRPr="008D008A">
        <w:rPr>
          <w:rFonts w:ascii="Tahoma" w:hAnsi="Tahoma" w:cs="Tahoma"/>
          <w:color w:val="000000"/>
        </w:rPr>
        <w:t xml:space="preserve">en sesión de fecha </w:t>
      </w:r>
      <w:r>
        <w:rPr>
          <w:rFonts w:ascii="Tahoma" w:hAnsi="Tahoma" w:cs="Tahoma"/>
          <w:color w:val="000000"/>
        </w:rPr>
        <w:t>26</w:t>
      </w:r>
      <w:r w:rsidRPr="008D008A">
        <w:rPr>
          <w:rFonts w:ascii="Tahoma" w:hAnsi="Tahoma" w:cs="Tahoma"/>
          <w:color w:val="000000"/>
        </w:rPr>
        <w:t xml:space="preserve"> de</w:t>
      </w:r>
      <w:r>
        <w:rPr>
          <w:rFonts w:ascii="Tahoma" w:hAnsi="Tahoma" w:cs="Tahoma"/>
          <w:color w:val="000000"/>
        </w:rPr>
        <w:t xml:space="preserve"> noviembre</w:t>
      </w:r>
      <w:r w:rsidRPr="008D008A">
        <w:rPr>
          <w:rFonts w:ascii="Tahoma" w:hAnsi="Tahoma" w:cs="Tahoma"/>
          <w:color w:val="000000"/>
        </w:rPr>
        <w:t xml:space="preserve"> de 2007 de la Tercera Sala del Tribunal de Contrataciones y Adquisiciones del Estado el Expediente N.° </w:t>
      </w:r>
      <w:r>
        <w:rPr>
          <w:rFonts w:ascii="Tahoma" w:hAnsi="Tahoma" w:cs="Tahoma"/>
          <w:color w:val="000000"/>
        </w:rPr>
        <w:t>1480</w:t>
      </w:r>
      <w:r w:rsidRPr="008D008A">
        <w:rPr>
          <w:rFonts w:ascii="Tahoma" w:hAnsi="Tahoma" w:cs="Tahoma"/>
          <w:color w:val="000000"/>
        </w:rPr>
        <w:t>.200</w:t>
      </w:r>
      <w:r>
        <w:rPr>
          <w:rFonts w:ascii="Tahoma" w:hAnsi="Tahoma" w:cs="Tahoma"/>
          <w:color w:val="000000"/>
        </w:rPr>
        <w:t>6</w:t>
      </w:r>
      <w:r w:rsidRPr="008D008A">
        <w:rPr>
          <w:rFonts w:ascii="Tahoma" w:hAnsi="Tahoma" w:cs="Tahoma"/>
          <w:color w:val="000000"/>
        </w:rPr>
        <w:t xml:space="preserve">.TC, sobre el recurso de reconsideración interpuesto por la empresa </w:t>
      </w:r>
      <w:proofErr w:type="spellStart"/>
      <w:r w:rsidRPr="00E1306B">
        <w:rPr>
          <w:rFonts w:ascii="Tahoma" w:hAnsi="Tahoma" w:cs="Tahoma"/>
          <w:b/>
        </w:rPr>
        <w:t>Ernst</w:t>
      </w:r>
      <w:proofErr w:type="spellEnd"/>
      <w:r w:rsidRPr="00E1306B">
        <w:rPr>
          <w:rFonts w:ascii="Tahoma" w:hAnsi="Tahoma" w:cs="Tahoma"/>
          <w:b/>
        </w:rPr>
        <w:t xml:space="preserve"> &amp; Young S. Civil de R. L.</w:t>
      </w:r>
      <w:r w:rsidRPr="008D008A">
        <w:rPr>
          <w:rFonts w:ascii="Tahoma" w:hAnsi="Tahoma" w:cs="Tahoma"/>
        </w:rPr>
        <w:t xml:space="preserve"> </w:t>
      </w:r>
      <w:r w:rsidRPr="008D008A">
        <w:rPr>
          <w:rFonts w:ascii="Tahoma" w:hAnsi="Tahoma" w:cs="Tahoma"/>
          <w:color w:val="000000"/>
        </w:rPr>
        <w:t xml:space="preserve">contra la </w:t>
      </w:r>
      <w:r w:rsidRPr="008D008A">
        <w:rPr>
          <w:rFonts w:ascii="Tahoma" w:hAnsi="Tahoma" w:cs="Tahoma"/>
          <w:lang w:val="es-PE"/>
        </w:rPr>
        <w:t xml:space="preserve">Resolución N.º </w:t>
      </w:r>
      <w:r w:rsidRPr="00E1306B">
        <w:rPr>
          <w:rFonts w:ascii="Tahoma" w:hAnsi="Tahoma" w:cs="Tahoma"/>
        </w:rPr>
        <w:t>1781/2007.TC-S3 de fecha  31 de octubre de 2007</w:t>
      </w:r>
      <w:r w:rsidRPr="008D008A">
        <w:rPr>
          <w:rFonts w:ascii="Tahoma" w:hAnsi="Tahoma" w:cs="Tahoma"/>
          <w:color w:val="000000"/>
        </w:rPr>
        <w:t xml:space="preserve">, mediante la cual, el Tribunal de Contrataciones y Adquisiciones del Estado le impuso sanción administrativa por </w:t>
      </w:r>
      <w:r w:rsidRPr="00E1306B">
        <w:rPr>
          <w:rFonts w:ascii="Tahoma" w:hAnsi="Tahoma" w:cs="Tahoma"/>
        </w:rPr>
        <w:t>incumplimiento injustificado de las obligaciones derivadas del contrato N.º 02-S28-029-04-001-046/05</w:t>
      </w:r>
      <w:r w:rsidRPr="008D008A">
        <w:rPr>
          <w:rFonts w:ascii="Tahoma" w:hAnsi="Tahoma" w:cs="Tahoma"/>
          <w:color w:val="000000"/>
        </w:rPr>
        <w:t xml:space="preserve">, </w:t>
      </w:r>
      <w:r w:rsidRPr="00E1306B">
        <w:rPr>
          <w:rFonts w:ascii="Tahoma" w:hAnsi="Tahoma" w:cs="Tahoma"/>
        </w:rPr>
        <w:t>correspondiente al Concurso Público Nacional N.º 0029-2004-ONP Segunda Convocatoria</w:t>
      </w:r>
      <w:r w:rsidRPr="00E1306B">
        <w:rPr>
          <w:rFonts w:ascii="Tahoma" w:hAnsi="Tahoma" w:cs="Tahoma"/>
          <w:lang w:val="es-PE"/>
        </w:rPr>
        <w:t xml:space="preserve">, efectuado por la </w:t>
      </w:r>
      <w:r w:rsidRPr="00E1306B">
        <w:rPr>
          <w:rFonts w:ascii="Tahoma" w:hAnsi="Tahoma" w:cs="Tahoma"/>
        </w:rPr>
        <w:t>OFICINA DE NORMALIZACIÓN PREVISIONAL</w:t>
      </w:r>
      <w:r w:rsidRPr="00E1306B">
        <w:rPr>
          <w:rFonts w:ascii="Tahoma" w:hAnsi="Tahoma" w:cs="Tahoma"/>
          <w:lang w:val="es-PE"/>
        </w:rPr>
        <w:t xml:space="preserve">, </w:t>
      </w:r>
      <w:r w:rsidRPr="00E1306B">
        <w:rPr>
          <w:rFonts w:ascii="Tahoma" w:hAnsi="Tahoma" w:cs="Tahoma"/>
        </w:rPr>
        <w:t>para el Servicio de Metodología y Estándares para la Gestión de Proyectos</w:t>
      </w:r>
      <w:r w:rsidRPr="008D008A">
        <w:rPr>
          <w:rFonts w:ascii="Tahoma" w:hAnsi="Tahoma" w:cs="Tahoma"/>
        </w:rPr>
        <w:t xml:space="preserve">; </w:t>
      </w:r>
      <w:r w:rsidRPr="008D008A">
        <w:rPr>
          <w:rFonts w:ascii="Tahoma" w:hAnsi="Tahoma" w:cs="Tahoma"/>
          <w:color w:val="000000"/>
        </w:rPr>
        <w:t>y atendiendo a los siguientes:</w:t>
      </w:r>
    </w:p>
    <w:p w:rsidR="008F015B" w:rsidRPr="008D008A" w:rsidRDefault="008F015B" w:rsidP="008F015B">
      <w:pPr>
        <w:pStyle w:val="Textoindependiente"/>
        <w:widowControl/>
        <w:tabs>
          <w:tab w:val="left" w:pos="540"/>
        </w:tabs>
        <w:suppressAutoHyphens w:val="0"/>
        <w:rPr>
          <w:rFonts w:cs="Tahoma"/>
          <w:sz w:val="20"/>
          <w:lang w:val="es-ES"/>
        </w:rPr>
      </w:pPr>
    </w:p>
    <w:p w:rsidR="008F015B" w:rsidRPr="008D008A" w:rsidRDefault="008F015B" w:rsidP="008F015B">
      <w:pPr>
        <w:jc w:val="both"/>
        <w:rPr>
          <w:rFonts w:ascii="Tahoma" w:hAnsi="Tahoma" w:cs="Tahoma"/>
          <w:b/>
          <w:shadow/>
        </w:rPr>
      </w:pPr>
      <w:r w:rsidRPr="008D008A">
        <w:rPr>
          <w:rFonts w:ascii="Tahoma" w:hAnsi="Tahoma" w:cs="Tahoma"/>
          <w:b/>
          <w:shadow/>
        </w:rPr>
        <w:t>ANTECEDENTES:</w:t>
      </w:r>
    </w:p>
    <w:p w:rsidR="008F015B" w:rsidRPr="00E1306B" w:rsidRDefault="008F015B" w:rsidP="008F015B">
      <w:pPr>
        <w:jc w:val="both"/>
        <w:rPr>
          <w:rFonts w:ascii="Tahoma" w:hAnsi="Tahoma" w:cs="Tahoma"/>
          <w:lang w:val="es-PE"/>
        </w:rPr>
      </w:pPr>
    </w:p>
    <w:p w:rsidR="008F015B" w:rsidRPr="00E1306B" w:rsidRDefault="008F015B" w:rsidP="008F015B">
      <w:pPr>
        <w:numPr>
          <w:ilvl w:val="0"/>
          <w:numId w:val="4"/>
        </w:numPr>
        <w:ind w:hanging="540"/>
        <w:jc w:val="both"/>
        <w:rPr>
          <w:rFonts w:ascii="Tahoma" w:hAnsi="Tahoma" w:cs="Tahoma"/>
        </w:rPr>
      </w:pPr>
      <w:r w:rsidRPr="00E1306B">
        <w:rPr>
          <w:rFonts w:ascii="Tahoma" w:hAnsi="Tahoma" w:cs="Tahoma"/>
        </w:rPr>
        <w:t xml:space="preserve">Mediante Resolución N.° 1781/2007.TC-S3 de fecha  31 de octubre de 2007, la Tercera Sala del Tribunal de Contrataciones y Adquisiciones del Estado resolvió el Expediente N.° 1480.2006.TC referido al procedimiento de aplicación de sanción a la empresa </w:t>
      </w:r>
      <w:proofErr w:type="spellStart"/>
      <w:r w:rsidRPr="00E1306B">
        <w:rPr>
          <w:rFonts w:ascii="Tahoma" w:hAnsi="Tahoma" w:cs="Tahoma"/>
          <w:b/>
        </w:rPr>
        <w:t>Ernst</w:t>
      </w:r>
      <w:proofErr w:type="spellEnd"/>
      <w:r w:rsidRPr="00E1306B">
        <w:rPr>
          <w:rFonts w:ascii="Tahoma" w:hAnsi="Tahoma" w:cs="Tahoma"/>
          <w:b/>
        </w:rPr>
        <w:t xml:space="preserve"> &amp; Young S. Civil de R. L.</w:t>
      </w:r>
      <w:r w:rsidRPr="00E1306B">
        <w:rPr>
          <w:rFonts w:ascii="Tahoma" w:hAnsi="Tahoma" w:cs="Tahoma"/>
        </w:rPr>
        <w:t>, en adelante el Postor, por supuesta responsabilidad en el incumplimiento injustificado de las obligaciones derivadas del contrato N.º 02-S28-029-04-001-046/05, dando lugar a que éste se resuelva, correspondiente al Concurso Público Nacional N.º 0029-2004-ONP Segunda Convocatoria</w:t>
      </w:r>
      <w:r w:rsidRPr="00E1306B">
        <w:rPr>
          <w:rFonts w:ascii="Tahoma" w:hAnsi="Tahoma" w:cs="Tahoma"/>
          <w:lang w:val="es-PE"/>
        </w:rPr>
        <w:t xml:space="preserve">, efectuado por la </w:t>
      </w:r>
      <w:r w:rsidRPr="00E1306B">
        <w:rPr>
          <w:rFonts w:ascii="Tahoma" w:hAnsi="Tahoma" w:cs="Tahoma"/>
        </w:rPr>
        <w:t>OFICINA DE NORMALIZACIÓN PREVISIONAL</w:t>
      </w:r>
      <w:r w:rsidRPr="00E1306B">
        <w:rPr>
          <w:rFonts w:ascii="Tahoma" w:hAnsi="Tahoma" w:cs="Tahoma"/>
          <w:lang w:val="es-PE"/>
        </w:rPr>
        <w:t xml:space="preserve">, </w:t>
      </w:r>
      <w:r w:rsidRPr="00E1306B">
        <w:rPr>
          <w:rFonts w:ascii="Tahoma" w:hAnsi="Tahoma" w:cs="Tahoma"/>
        </w:rPr>
        <w:t>para el Servicio de Metodología y Estándares para la Gestión de Proyectos.</w:t>
      </w:r>
    </w:p>
    <w:p w:rsidR="008F015B" w:rsidRPr="00E1306B" w:rsidRDefault="008F015B" w:rsidP="008F015B">
      <w:pPr>
        <w:ind w:left="180"/>
        <w:jc w:val="both"/>
        <w:rPr>
          <w:rFonts w:ascii="Tahoma" w:hAnsi="Tahoma" w:cs="Tahoma"/>
        </w:rPr>
      </w:pPr>
    </w:p>
    <w:p w:rsidR="008F015B" w:rsidRPr="00E1306B" w:rsidRDefault="008F015B" w:rsidP="008F015B">
      <w:pPr>
        <w:tabs>
          <w:tab w:val="num" w:pos="360"/>
        </w:tabs>
        <w:ind w:left="708"/>
        <w:jc w:val="both"/>
        <w:rPr>
          <w:rFonts w:ascii="Tahoma" w:hAnsi="Tahoma" w:cs="Tahoma"/>
        </w:rPr>
      </w:pPr>
      <w:r w:rsidRPr="00E1306B">
        <w:rPr>
          <w:rFonts w:ascii="Tahoma" w:hAnsi="Tahoma" w:cs="Tahoma"/>
        </w:rPr>
        <w:t>A través de la citada resolución, dicho Colegiado sancionó al Postor con ocho (08) meses de inhabilitación temporal en su derecho de participar en procesos de selección y contratar con el Estado por la comisión de la infracción tipificada en el numeral 2) del artículo 294 del Reglamento de la Ley de Contrataciones y Adquisiciones del Estado, aprobado por Decreto Supremo N.° 084-2004-PCM, en lo sucesivo el Reglamento.</w:t>
      </w:r>
    </w:p>
    <w:p w:rsidR="008F015B" w:rsidRPr="00E1306B" w:rsidRDefault="008F015B" w:rsidP="008F015B">
      <w:pPr>
        <w:tabs>
          <w:tab w:val="num" w:pos="360"/>
        </w:tabs>
        <w:ind w:left="360" w:hanging="360"/>
        <w:jc w:val="both"/>
        <w:rPr>
          <w:rFonts w:ascii="Tahoma" w:hAnsi="Tahoma" w:cs="Tahoma"/>
        </w:rPr>
      </w:pPr>
    </w:p>
    <w:p w:rsidR="008F015B" w:rsidRPr="00E1306B" w:rsidRDefault="008F015B" w:rsidP="008F015B">
      <w:pPr>
        <w:numPr>
          <w:ilvl w:val="0"/>
          <w:numId w:val="4"/>
        </w:numPr>
        <w:ind w:hanging="540"/>
        <w:jc w:val="both"/>
        <w:rPr>
          <w:rFonts w:ascii="Tahoma" w:hAnsi="Tahoma" w:cs="Tahoma"/>
          <w:b/>
          <w:i/>
        </w:rPr>
      </w:pPr>
      <w:r w:rsidRPr="00E1306B">
        <w:rPr>
          <w:rFonts w:ascii="Tahoma" w:hAnsi="Tahoma" w:cs="Tahoma"/>
        </w:rPr>
        <w:t>El acto administrativo anteriormente mencionado fue debidamente diligenciado el 05 de noviembre de 2007, mediante la Cédula de notificación N</w:t>
      </w:r>
      <w:proofErr w:type="gramStart"/>
      <w:r w:rsidRPr="00E1306B">
        <w:rPr>
          <w:rFonts w:ascii="Tahoma" w:hAnsi="Tahoma" w:cs="Tahoma"/>
        </w:rPr>
        <w:t>.º</w:t>
      </w:r>
      <w:proofErr w:type="gramEnd"/>
      <w:r w:rsidRPr="00E1306B">
        <w:rPr>
          <w:rFonts w:ascii="Tahoma" w:hAnsi="Tahoma" w:cs="Tahoma"/>
        </w:rPr>
        <w:t xml:space="preserve"> 35592/2007.TC al domicilio procesal señalado por el Postor en sus descargos, </w:t>
      </w:r>
      <w:r w:rsidRPr="00E1306B">
        <w:rPr>
          <w:rFonts w:ascii="Tahoma" w:hAnsi="Tahoma" w:cs="Tahoma"/>
          <w:b/>
          <w:i/>
        </w:rPr>
        <w:t>Calle Las Flores N.º 326, San Isidro.</w:t>
      </w:r>
    </w:p>
    <w:p w:rsidR="008F015B" w:rsidRPr="00E1306B" w:rsidRDefault="008F015B" w:rsidP="008F015B">
      <w:pPr>
        <w:ind w:left="180"/>
        <w:jc w:val="both"/>
        <w:rPr>
          <w:rFonts w:ascii="Tahoma" w:hAnsi="Tahoma" w:cs="Tahoma"/>
          <w:b/>
          <w:i/>
        </w:rPr>
      </w:pPr>
    </w:p>
    <w:p w:rsidR="008F015B" w:rsidRPr="00E1306B" w:rsidRDefault="008F015B" w:rsidP="008F015B">
      <w:pPr>
        <w:numPr>
          <w:ilvl w:val="0"/>
          <w:numId w:val="4"/>
        </w:numPr>
        <w:ind w:hanging="540"/>
        <w:jc w:val="both"/>
        <w:rPr>
          <w:rFonts w:ascii="Tahoma" w:hAnsi="Tahoma" w:cs="Tahoma"/>
        </w:rPr>
      </w:pPr>
      <w:r w:rsidRPr="00E1306B">
        <w:rPr>
          <w:rFonts w:ascii="Tahoma" w:hAnsi="Tahoma" w:cs="Tahoma"/>
        </w:rPr>
        <w:lastRenderedPageBreak/>
        <w:t>Mediante escrito presentado el 08 de noviembre de 2007 ante la Mesa de Partes del Tribunal, el Postor interpuso recurso de reconsideración contra la Resolución N.° 1781/2007.TC-S3 de fecha 31 de octubre de 2007, en los siguientes fundamentos:</w:t>
      </w:r>
    </w:p>
    <w:p w:rsidR="008F015B" w:rsidRPr="00E1306B" w:rsidRDefault="008F015B" w:rsidP="008F015B">
      <w:pPr>
        <w:ind w:left="180"/>
        <w:jc w:val="both"/>
        <w:rPr>
          <w:rFonts w:ascii="Tahoma" w:hAnsi="Tahoma" w:cs="Tahoma"/>
        </w:rPr>
      </w:pPr>
    </w:p>
    <w:p w:rsidR="008F015B" w:rsidRPr="00E1306B" w:rsidRDefault="008F015B" w:rsidP="008F015B">
      <w:pPr>
        <w:ind w:left="1413" w:hanging="705"/>
        <w:jc w:val="both"/>
        <w:rPr>
          <w:rFonts w:ascii="Tahoma" w:hAnsi="Tahoma" w:cs="Tahoma"/>
        </w:rPr>
      </w:pPr>
      <w:r w:rsidRPr="00E1306B">
        <w:rPr>
          <w:rFonts w:ascii="Tahoma" w:hAnsi="Tahoma" w:cs="Tahoma"/>
          <w:b/>
        </w:rPr>
        <w:t>a.</w:t>
      </w:r>
      <w:r w:rsidRPr="00E1306B">
        <w:rPr>
          <w:rFonts w:ascii="Tahoma" w:hAnsi="Tahoma" w:cs="Tahoma"/>
          <w:b/>
        </w:rPr>
        <w:tab/>
      </w:r>
      <w:r w:rsidRPr="00E1306B">
        <w:rPr>
          <w:rFonts w:ascii="Tahoma" w:hAnsi="Tahoma" w:cs="Tahoma"/>
        </w:rPr>
        <w:t>Al momento de determinar la sanción aplicable al Postor el Tribunal únicamente ha evaluado los criterios señalados en los numerales 1), 2), 3) y 6) del artículo del Reglamento de la Ley vigente al caso materia de autos.</w:t>
      </w:r>
    </w:p>
    <w:p w:rsidR="008F015B" w:rsidRPr="00E1306B" w:rsidRDefault="008F015B" w:rsidP="008F015B">
      <w:pPr>
        <w:ind w:left="1413" w:hanging="705"/>
        <w:jc w:val="both"/>
        <w:rPr>
          <w:rFonts w:ascii="Tahoma" w:hAnsi="Tahoma" w:cs="Tahoma"/>
        </w:rPr>
      </w:pPr>
    </w:p>
    <w:p w:rsidR="008F015B" w:rsidRPr="00E1306B" w:rsidRDefault="008F015B" w:rsidP="008F015B">
      <w:pPr>
        <w:ind w:left="1413" w:hanging="705"/>
        <w:jc w:val="both"/>
        <w:rPr>
          <w:rFonts w:ascii="Tahoma" w:hAnsi="Tahoma" w:cs="Tahoma"/>
        </w:rPr>
      </w:pPr>
      <w:r w:rsidRPr="00E1306B">
        <w:rPr>
          <w:rFonts w:ascii="Tahoma" w:hAnsi="Tahoma" w:cs="Tahoma"/>
          <w:b/>
        </w:rPr>
        <w:t>b.</w:t>
      </w:r>
      <w:r w:rsidRPr="00E1306B">
        <w:rPr>
          <w:rFonts w:ascii="Tahoma" w:hAnsi="Tahoma" w:cs="Tahoma"/>
          <w:b/>
        </w:rPr>
        <w:tab/>
      </w:r>
      <w:r w:rsidRPr="00E1306B">
        <w:rPr>
          <w:rFonts w:ascii="Tahoma" w:hAnsi="Tahoma" w:cs="Tahoma"/>
        </w:rPr>
        <w:t>El Tribunal al momento de graduar la sanción aplicable, debió ceñirse a lo indicado en el considerando 15 de la resolución recurrida, que señaló la imposibilidad de revisar lo resuelto en el Laudo Arbitral, pues si el fundamento empleado por el Tribunal para considerar que el incumplimiento de las obligaciones  del Postor es injustificado, por la misma razón , no puede dicho órgano colegiado concluir que la Entidad sufrió menoscabo en su patrimonio por causa del mero incumplimiento del Postor, por cuanto el referido Laudo concluyó que no ha existido tal daño, al no haberse probado el mismo por  la parte que tenía la carga de la prueba: la ONP.</w:t>
      </w:r>
    </w:p>
    <w:p w:rsidR="008F015B" w:rsidRPr="00E1306B" w:rsidRDefault="008F015B" w:rsidP="008F015B">
      <w:pPr>
        <w:jc w:val="both"/>
        <w:rPr>
          <w:rFonts w:ascii="Tahoma" w:hAnsi="Tahoma" w:cs="Tahoma"/>
        </w:rPr>
      </w:pPr>
      <w:r w:rsidRPr="00E1306B">
        <w:rPr>
          <w:rFonts w:ascii="Tahoma" w:hAnsi="Tahoma" w:cs="Tahoma"/>
        </w:rPr>
        <w:t xml:space="preserve"> </w:t>
      </w:r>
    </w:p>
    <w:p w:rsidR="008F015B" w:rsidRPr="00E1306B" w:rsidRDefault="008F015B" w:rsidP="008F015B">
      <w:pPr>
        <w:ind w:left="1413" w:hanging="705"/>
        <w:jc w:val="both"/>
        <w:rPr>
          <w:rFonts w:ascii="Tahoma" w:hAnsi="Tahoma" w:cs="Tahoma"/>
        </w:rPr>
      </w:pPr>
      <w:r w:rsidRPr="00E1306B">
        <w:rPr>
          <w:rFonts w:ascii="Tahoma" w:hAnsi="Tahoma" w:cs="Tahoma"/>
          <w:b/>
        </w:rPr>
        <w:t>c.</w:t>
      </w:r>
      <w:r w:rsidRPr="00E1306B">
        <w:rPr>
          <w:rFonts w:ascii="Tahoma" w:hAnsi="Tahoma" w:cs="Tahoma"/>
          <w:b/>
        </w:rPr>
        <w:tab/>
      </w:r>
      <w:r w:rsidRPr="00E1306B">
        <w:rPr>
          <w:rFonts w:ascii="Tahoma" w:hAnsi="Tahoma" w:cs="Tahoma"/>
        </w:rPr>
        <w:t>Dicha resolución afecta nuestro derecho al debido proceso, constituido por el derecho a la emisión de una resolución adecuadamente motivada, pues dicha resolución viola el principio de no contradicción.</w:t>
      </w:r>
    </w:p>
    <w:p w:rsidR="008F015B" w:rsidRPr="00E1306B" w:rsidRDefault="008F015B" w:rsidP="008F015B">
      <w:pPr>
        <w:ind w:left="1413" w:hanging="705"/>
        <w:jc w:val="both"/>
        <w:rPr>
          <w:rFonts w:ascii="Tahoma" w:hAnsi="Tahoma" w:cs="Tahoma"/>
        </w:rPr>
      </w:pPr>
    </w:p>
    <w:p w:rsidR="008F015B" w:rsidRPr="00E1306B" w:rsidRDefault="008F015B" w:rsidP="008F015B">
      <w:pPr>
        <w:numPr>
          <w:ilvl w:val="0"/>
          <w:numId w:val="5"/>
        </w:numPr>
        <w:tabs>
          <w:tab w:val="clear" w:pos="1080"/>
          <w:tab w:val="num" w:pos="1440"/>
        </w:tabs>
        <w:ind w:left="1440" w:hanging="732"/>
        <w:jc w:val="both"/>
        <w:rPr>
          <w:rFonts w:ascii="Tahoma" w:hAnsi="Tahoma" w:cs="Tahoma"/>
        </w:rPr>
      </w:pPr>
      <w:r w:rsidRPr="00E1306B">
        <w:rPr>
          <w:rFonts w:ascii="Tahoma" w:hAnsi="Tahoma" w:cs="Tahoma"/>
        </w:rPr>
        <w:t>La sanción impuesta al Postor ocasionaría un perjuicio al Estado Peruano, puesto que es un proveedor al que normalmente se acude son el fin de satisfacer requerimientos de interés público, razón por la cual una sanción podría perjudicar al Estado mismo. El postor es proveedor de servicios de la SUNAT, entidad a la que se le brinda capacitación en métodos de interpretación jurídica, cobranzas, aspectos contables y otros temas técnicos. Al sancionar en demasía al Postor, dicha institución no contaría con la asesoría necesaria para alcanzar los niveles de eficiencia.</w:t>
      </w:r>
    </w:p>
    <w:p w:rsidR="008F015B" w:rsidRPr="00E1306B" w:rsidRDefault="008F015B" w:rsidP="008F015B">
      <w:pPr>
        <w:numPr>
          <w:ilvl w:val="0"/>
          <w:numId w:val="5"/>
        </w:numPr>
        <w:tabs>
          <w:tab w:val="clear" w:pos="1080"/>
          <w:tab w:val="num" w:pos="1440"/>
        </w:tabs>
        <w:ind w:left="1440" w:hanging="732"/>
        <w:jc w:val="both"/>
        <w:rPr>
          <w:rFonts w:ascii="Tahoma" w:hAnsi="Tahoma" w:cs="Tahoma"/>
        </w:rPr>
      </w:pPr>
      <w:r w:rsidRPr="00E1306B">
        <w:rPr>
          <w:rFonts w:ascii="Tahoma" w:hAnsi="Tahoma" w:cs="Tahoma"/>
        </w:rPr>
        <w:t>La reducción de la sanción impuesta por el Tribunal de CONSUCODE es posible en vía de reconsideración, tal como se ha realizado en anteriores oportunidades.</w:t>
      </w:r>
    </w:p>
    <w:p w:rsidR="008F015B" w:rsidRPr="00E1306B" w:rsidRDefault="008F015B" w:rsidP="008F015B">
      <w:pPr>
        <w:ind w:left="705" w:hanging="345"/>
        <w:jc w:val="both"/>
        <w:rPr>
          <w:rFonts w:ascii="Tahoma" w:hAnsi="Tahoma" w:cs="Tahoma"/>
        </w:rPr>
      </w:pPr>
    </w:p>
    <w:p w:rsidR="008F015B" w:rsidRPr="00E1306B" w:rsidRDefault="008F015B" w:rsidP="008F015B">
      <w:pPr>
        <w:numPr>
          <w:ilvl w:val="0"/>
          <w:numId w:val="4"/>
        </w:numPr>
        <w:ind w:hanging="540"/>
        <w:jc w:val="both"/>
        <w:rPr>
          <w:rFonts w:ascii="Tahoma" w:hAnsi="Tahoma" w:cs="Tahoma"/>
        </w:rPr>
      </w:pPr>
      <w:r w:rsidRPr="00E1306B">
        <w:rPr>
          <w:rFonts w:ascii="Tahoma" w:hAnsi="Tahoma" w:cs="Tahoma"/>
        </w:rPr>
        <w:t>Con Decreto de fecha 08 de noviembre de 2007 se remitió el expediente a la Tercera Sala del Tribunal para que resuelva.</w:t>
      </w:r>
    </w:p>
    <w:p w:rsidR="008F015B" w:rsidRPr="008D008A" w:rsidRDefault="008F015B" w:rsidP="008F015B">
      <w:pPr>
        <w:jc w:val="both"/>
        <w:rPr>
          <w:rFonts w:ascii="Tahoma" w:hAnsi="Tahoma" w:cs="Tahoma"/>
        </w:rPr>
      </w:pPr>
    </w:p>
    <w:p w:rsidR="008F015B" w:rsidRPr="008D008A" w:rsidRDefault="008F015B" w:rsidP="008F015B">
      <w:pPr>
        <w:jc w:val="both"/>
        <w:rPr>
          <w:rFonts w:ascii="Tahoma" w:hAnsi="Tahoma" w:cs="Tahoma"/>
          <w:b/>
        </w:rPr>
      </w:pPr>
      <w:r w:rsidRPr="008D008A">
        <w:rPr>
          <w:rFonts w:ascii="Tahoma" w:hAnsi="Tahoma" w:cs="Tahoma"/>
          <w:b/>
        </w:rPr>
        <w:t>FUNDAMENTACIÓN:</w:t>
      </w:r>
    </w:p>
    <w:p w:rsidR="008F015B" w:rsidRPr="00E1306B" w:rsidRDefault="008F015B" w:rsidP="008F015B">
      <w:pPr>
        <w:jc w:val="both"/>
        <w:rPr>
          <w:rFonts w:ascii="Tahoma" w:hAnsi="Tahoma" w:cs="Tahoma"/>
          <w:b/>
          <w:shadow/>
        </w:rPr>
      </w:pPr>
    </w:p>
    <w:p w:rsidR="008F015B" w:rsidRPr="004C77A6" w:rsidRDefault="008F015B" w:rsidP="008F015B">
      <w:pPr>
        <w:pStyle w:val="Textoindependiente"/>
        <w:numPr>
          <w:ilvl w:val="0"/>
          <w:numId w:val="1"/>
        </w:numPr>
        <w:tabs>
          <w:tab w:val="clear" w:pos="454"/>
          <w:tab w:val="num" w:pos="540"/>
        </w:tabs>
        <w:ind w:left="540" w:hanging="540"/>
        <w:rPr>
          <w:rFonts w:cs="Tahoma"/>
          <w:sz w:val="20"/>
        </w:rPr>
      </w:pPr>
      <w:r>
        <w:rPr>
          <w:rFonts w:cs="Tahoma"/>
          <w:sz w:val="20"/>
        </w:rPr>
        <w:t>En virtud del Acuerdo de Sala Plena N</w:t>
      </w:r>
      <w:proofErr w:type="gramStart"/>
      <w:r>
        <w:rPr>
          <w:rFonts w:cs="Tahoma"/>
          <w:sz w:val="20"/>
        </w:rPr>
        <w:t>.º</w:t>
      </w:r>
      <w:proofErr w:type="gramEnd"/>
      <w:r>
        <w:rPr>
          <w:rFonts w:cs="Tahoma"/>
          <w:sz w:val="20"/>
        </w:rPr>
        <w:t xml:space="preserve"> 004/2005 de fecha 03 de marzo de 2005, se acordó establecer en materia de procedimiento administrativo sancionador que las normas procesales contenidas en el Reglamento de la Ley de Contrataciones y Adquisiciones del Estado, aprobado por D.S. N.º 084-2004-PCM, serán de aplicación inmediata, considerando el principio de eficacia inmediata de las normas de carácter procesal.</w:t>
      </w:r>
    </w:p>
    <w:p w:rsidR="008F015B" w:rsidRDefault="008F015B" w:rsidP="008F015B">
      <w:pPr>
        <w:pStyle w:val="Textoindependiente"/>
        <w:rPr>
          <w:rFonts w:cs="Tahoma"/>
          <w:sz w:val="20"/>
        </w:rPr>
      </w:pPr>
    </w:p>
    <w:p w:rsidR="008F015B" w:rsidRDefault="008F015B" w:rsidP="008F015B">
      <w:pPr>
        <w:pStyle w:val="Textoindependiente"/>
        <w:ind w:left="540"/>
        <w:rPr>
          <w:rFonts w:cs="Tahoma"/>
          <w:sz w:val="20"/>
        </w:rPr>
      </w:pPr>
      <w:r>
        <w:rPr>
          <w:rFonts w:cs="Tahoma"/>
          <w:sz w:val="20"/>
        </w:rPr>
        <w:t>En ese sentido, e</w:t>
      </w:r>
      <w:r w:rsidRPr="004C77A6">
        <w:rPr>
          <w:rFonts w:cs="Tahoma"/>
          <w:sz w:val="20"/>
        </w:rPr>
        <w:t>l recurso de reconsideración en los procedimientos administrativos sancionadores a cargo de este Tribunal ha sido regulado en el artículo 306 del Reglamento de la Ley de Contrataciones y Adquisiciones del Estado</w:t>
      </w:r>
      <w:r w:rsidRPr="004C77A6">
        <w:rPr>
          <w:rStyle w:val="Refdenotaalpie"/>
          <w:rFonts w:cs="Tahoma"/>
          <w:sz w:val="20"/>
        </w:rPr>
        <w:footnoteReference w:id="2"/>
      </w:r>
      <w:r w:rsidRPr="004C77A6">
        <w:rPr>
          <w:rFonts w:cs="Tahoma"/>
          <w:sz w:val="20"/>
        </w:rPr>
        <w:t xml:space="preserve">, aprobado mediante Decreto Supremo Nº 084-2004-PCM, en lo sucesivo el Reglamento, el cual, de acuerdo con la indicada norma, debe ser resuelto en el </w:t>
      </w:r>
      <w:r w:rsidRPr="004C77A6">
        <w:rPr>
          <w:rFonts w:cs="Tahoma"/>
          <w:sz w:val="20"/>
        </w:rPr>
        <w:lastRenderedPageBreak/>
        <w:t>término de quince días hábiles desde su interposición.</w:t>
      </w:r>
    </w:p>
    <w:p w:rsidR="008F015B" w:rsidRPr="00E1306B" w:rsidRDefault="008F015B" w:rsidP="008F015B">
      <w:pPr>
        <w:pStyle w:val="Textoindependiente"/>
        <w:tabs>
          <w:tab w:val="num" w:pos="540"/>
        </w:tabs>
        <w:ind w:left="540" w:hanging="540"/>
        <w:rPr>
          <w:rFonts w:cs="Tahoma"/>
          <w:sz w:val="20"/>
        </w:rPr>
      </w:pPr>
    </w:p>
    <w:p w:rsidR="008F015B" w:rsidRPr="00E1306B" w:rsidRDefault="008F015B" w:rsidP="008F015B">
      <w:pPr>
        <w:pStyle w:val="Textoindependiente"/>
        <w:numPr>
          <w:ilvl w:val="0"/>
          <w:numId w:val="1"/>
        </w:numPr>
        <w:tabs>
          <w:tab w:val="clear" w:pos="454"/>
          <w:tab w:val="num" w:pos="540"/>
        </w:tabs>
        <w:ind w:left="540" w:hanging="540"/>
        <w:rPr>
          <w:rFonts w:cs="Tahoma"/>
          <w:sz w:val="20"/>
        </w:rPr>
      </w:pPr>
      <w:r w:rsidRPr="00E1306B">
        <w:rPr>
          <w:rFonts w:cs="Tahoma"/>
          <w:sz w:val="20"/>
        </w:rPr>
        <w:t>En el presente caso, el Tribunal mediante Resolución N</w:t>
      </w:r>
      <w:proofErr w:type="gramStart"/>
      <w:r w:rsidRPr="00E1306B">
        <w:rPr>
          <w:rFonts w:cs="Tahoma"/>
          <w:sz w:val="20"/>
        </w:rPr>
        <w:t>.º</w:t>
      </w:r>
      <w:proofErr w:type="gramEnd"/>
      <w:r w:rsidRPr="00E1306B">
        <w:rPr>
          <w:rFonts w:cs="Tahoma"/>
          <w:sz w:val="20"/>
        </w:rPr>
        <w:t xml:space="preserve"> 1781/2007.TC-S3 </w:t>
      </w:r>
      <w:r>
        <w:rPr>
          <w:rFonts w:cs="Tahoma"/>
          <w:sz w:val="20"/>
        </w:rPr>
        <w:t xml:space="preserve">de fecha </w:t>
      </w:r>
      <w:r w:rsidRPr="00E1306B">
        <w:rPr>
          <w:rFonts w:cs="Tahoma"/>
          <w:sz w:val="20"/>
        </w:rPr>
        <w:t xml:space="preserve">31 de octubre de 2007, resolvió imponer al Postor la sanción de inhabilitación temporal en su derecho de participar en procesos de selección y contratar con el Estado por el periodo de </w:t>
      </w:r>
      <w:r>
        <w:rPr>
          <w:rFonts w:cs="Tahoma"/>
          <w:sz w:val="20"/>
        </w:rPr>
        <w:t>ocho</w:t>
      </w:r>
      <w:r w:rsidRPr="00E1306B">
        <w:rPr>
          <w:rFonts w:cs="Tahoma"/>
          <w:sz w:val="20"/>
        </w:rPr>
        <w:t xml:space="preserve"> meses, por haber incurrido en la infracción tipificada en el</w:t>
      </w:r>
      <w:r>
        <w:rPr>
          <w:rFonts w:cs="Tahoma"/>
          <w:sz w:val="20"/>
        </w:rPr>
        <w:t xml:space="preserve"> literal</w:t>
      </w:r>
      <w:r w:rsidRPr="00E1306B">
        <w:rPr>
          <w:rFonts w:cs="Tahoma"/>
          <w:sz w:val="20"/>
        </w:rPr>
        <w:t xml:space="preserve"> </w:t>
      </w:r>
      <w:r>
        <w:rPr>
          <w:rFonts w:cs="Tahoma"/>
          <w:sz w:val="20"/>
        </w:rPr>
        <w:t>b</w:t>
      </w:r>
      <w:r w:rsidRPr="00E1306B">
        <w:rPr>
          <w:rFonts w:cs="Tahoma"/>
          <w:sz w:val="20"/>
        </w:rPr>
        <w:t>) del artículo 2</w:t>
      </w:r>
      <w:r>
        <w:rPr>
          <w:rFonts w:cs="Tahoma"/>
          <w:sz w:val="20"/>
        </w:rPr>
        <w:t>05</w:t>
      </w:r>
      <w:r w:rsidRPr="00E1306B">
        <w:rPr>
          <w:rFonts w:cs="Tahoma"/>
          <w:sz w:val="20"/>
        </w:rPr>
        <w:t xml:space="preserve"> del Reglamento.</w:t>
      </w:r>
    </w:p>
    <w:p w:rsidR="008F015B" w:rsidRPr="00E1306B" w:rsidRDefault="008F015B" w:rsidP="008F015B">
      <w:pPr>
        <w:pStyle w:val="Textoindependiente"/>
        <w:tabs>
          <w:tab w:val="num" w:pos="540"/>
        </w:tabs>
        <w:ind w:left="540" w:hanging="540"/>
        <w:rPr>
          <w:rFonts w:cs="Tahoma"/>
          <w:sz w:val="20"/>
        </w:rPr>
      </w:pPr>
    </w:p>
    <w:p w:rsidR="008F015B" w:rsidRDefault="008F015B" w:rsidP="008F015B">
      <w:pPr>
        <w:pStyle w:val="Textoindependiente"/>
        <w:numPr>
          <w:ilvl w:val="0"/>
          <w:numId w:val="1"/>
        </w:numPr>
        <w:tabs>
          <w:tab w:val="clear" w:pos="454"/>
          <w:tab w:val="num" w:pos="540"/>
        </w:tabs>
        <w:ind w:left="540" w:hanging="540"/>
        <w:rPr>
          <w:rFonts w:cs="Tahoma"/>
          <w:sz w:val="20"/>
        </w:rPr>
      </w:pPr>
      <w:r w:rsidRPr="00E1306B">
        <w:rPr>
          <w:rFonts w:cs="Tahoma"/>
          <w:sz w:val="20"/>
        </w:rPr>
        <w:t>Como cuestión previa se debe analizar, el cumplimiento de las formalidades legales para la interposición del recurso materia de análisis, específicamente en lo que se refiere al plazo para la interposición del medio impugnatorio, de acuerdo con lo previsto por la normatividad legal.</w:t>
      </w:r>
    </w:p>
    <w:p w:rsidR="008F015B" w:rsidRDefault="008F015B" w:rsidP="008F015B">
      <w:pPr>
        <w:pStyle w:val="Textoindependiente"/>
        <w:rPr>
          <w:rFonts w:cs="Tahoma"/>
          <w:sz w:val="20"/>
        </w:rPr>
      </w:pPr>
    </w:p>
    <w:p w:rsidR="008F015B" w:rsidRPr="00E1306B" w:rsidRDefault="008F015B" w:rsidP="008F015B">
      <w:pPr>
        <w:pStyle w:val="Textoindependiente"/>
        <w:ind w:left="540"/>
        <w:rPr>
          <w:rFonts w:cs="Tahoma"/>
          <w:sz w:val="20"/>
        </w:rPr>
      </w:pPr>
      <w:r w:rsidRPr="00E1306B">
        <w:rPr>
          <w:rFonts w:cs="Tahoma"/>
          <w:sz w:val="20"/>
        </w:rPr>
        <w:t xml:space="preserve">Al respecto, el artículo 306 del Reglamento de la Ley de Contrataciones y Adquisiciones del Estado, aprobado mediante Decreto Supremo Nº 084-2004-PCM, dispone que contra lo resuelto por el Tribunal en un procedimiento sancionador podrá interponerse recurso de reconsideración dentro de los </w:t>
      </w:r>
      <w:r w:rsidRPr="00E1306B">
        <w:rPr>
          <w:rFonts w:cs="Tahoma"/>
          <w:b/>
          <w:sz w:val="20"/>
        </w:rPr>
        <w:t>tres (3) días</w:t>
      </w:r>
      <w:r w:rsidRPr="00E1306B">
        <w:rPr>
          <w:rFonts w:cs="Tahoma"/>
          <w:sz w:val="20"/>
        </w:rPr>
        <w:t xml:space="preserve"> hábiles de notificada o publicada la respectiva resolución.</w:t>
      </w:r>
    </w:p>
    <w:p w:rsidR="008F015B" w:rsidRPr="00E1306B" w:rsidRDefault="008F015B" w:rsidP="008F015B">
      <w:pPr>
        <w:pStyle w:val="Textoindependiente"/>
        <w:ind w:left="454"/>
        <w:rPr>
          <w:rFonts w:cs="Tahoma"/>
          <w:sz w:val="20"/>
        </w:rPr>
      </w:pPr>
    </w:p>
    <w:p w:rsidR="008F015B" w:rsidRPr="00E1306B" w:rsidRDefault="008F015B" w:rsidP="008F015B">
      <w:pPr>
        <w:ind w:left="540"/>
        <w:jc w:val="both"/>
        <w:rPr>
          <w:rFonts w:ascii="Tahoma" w:hAnsi="Tahoma" w:cs="Tahoma"/>
          <w:i/>
        </w:rPr>
      </w:pPr>
      <w:r w:rsidRPr="00E1306B">
        <w:rPr>
          <w:rFonts w:ascii="Tahoma" w:hAnsi="Tahoma" w:cs="Tahoma"/>
          <w:lang w:val="es-ES_tradnl"/>
        </w:rPr>
        <w:t xml:space="preserve">En este orden de ideas, el </w:t>
      </w:r>
      <w:r w:rsidRPr="00E1306B">
        <w:rPr>
          <w:rFonts w:ascii="Tahoma" w:hAnsi="Tahoma" w:cs="Tahoma"/>
        </w:rPr>
        <w:t xml:space="preserve">artículo 131 de la Ley N° 27444, Ley del Procedimiento Administrativo General, en su inciso primero, señala que </w:t>
      </w:r>
      <w:r w:rsidRPr="00E1306B">
        <w:rPr>
          <w:rFonts w:ascii="Tahoma" w:hAnsi="Tahoma" w:cs="Tahoma"/>
          <w:b/>
        </w:rPr>
        <w:t>los plazos y términos son entendidos como máximos</w:t>
      </w:r>
      <w:r w:rsidRPr="00E1306B">
        <w:rPr>
          <w:rFonts w:ascii="Tahoma" w:hAnsi="Tahoma" w:cs="Tahoma"/>
        </w:rPr>
        <w:t xml:space="preserve">, se computan independientemente de cualquier formalidad, y obligan por igual a la administración y a los administrados, sin necesidad de apremio, en aquello que respectivamente les concierna; por su parte, el inciso primero del artículo 136 del mismo cuerpo normativo precisa que </w:t>
      </w:r>
      <w:r w:rsidRPr="00E1306B">
        <w:rPr>
          <w:rFonts w:ascii="Tahoma" w:hAnsi="Tahoma" w:cs="Tahoma"/>
          <w:b/>
        </w:rPr>
        <w:t>los plazos fijados por norma expresa son improrrogables</w:t>
      </w:r>
      <w:r w:rsidRPr="00E1306B">
        <w:rPr>
          <w:rFonts w:ascii="Tahoma" w:hAnsi="Tahoma" w:cs="Tahoma"/>
        </w:rPr>
        <w:t>, salvo disposición habilitante en contrario</w:t>
      </w:r>
      <w:r w:rsidRPr="00E1306B">
        <w:rPr>
          <w:rFonts w:ascii="Tahoma" w:hAnsi="Tahoma" w:cs="Tahoma"/>
          <w:i/>
        </w:rPr>
        <w:t>.</w:t>
      </w:r>
    </w:p>
    <w:p w:rsidR="008F015B" w:rsidRPr="00D5441B" w:rsidRDefault="008F015B" w:rsidP="008F015B">
      <w:pPr>
        <w:pStyle w:val="Textoindependiente"/>
        <w:rPr>
          <w:rFonts w:cs="Tahoma"/>
          <w:sz w:val="20"/>
          <w:lang w:val="es-ES"/>
        </w:rPr>
      </w:pPr>
    </w:p>
    <w:p w:rsidR="008F015B" w:rsidRPr="00D5441B" w:rsidRDefault="008F015B" w:rsidP="008F015B">
      <w:pPr>
        <w:pStyle w:val="Textoindependiente"/>
        <w:numPr>
          <w:ilvl w:val="0"/>
          <w:numId w:val="1"/>
        </w:numPr>
        <w:tabs>
          <w:tab w:val="clear" w:pos="454"/>
          <w:tab w:val="num" w:pos="540"/>
        </w:tabs>
        <w:ind w:left="540" w:hanging="540"/>
        <w:rPr>
          <w:rFonts w:cs="Tahoma"/>
          <w:sz w:val="20"/>
        </w:rPr>
      </w:pPr>
      <w:r w:rsidRPr="00E1306B">
        <w:rPr>
          <w:rFonts w:cs="Tahoma"/>
          <w:sz w:val="20"/>
          <w:lang w:val="es-ES"/>
        </w:rPr>
        <w:t xml:space="preserve">Atendiendo a las normas señaladas en el literal precedente, y del análisis de lo actuado se observa que la </w:t>
      </w:r>
      <w:r>
        <w:rPr>
          <w:rFonts w:cs="Tahoma"/>
          <w:sz w:val="20"/>
          <w:lang w:val="es-ES"/>
        </w:rPr>
        <w:t>resolución</w:t>
      </w:r>
      <w:r w:rsidRPr="00E1306B">
        <w:rPr>
          <w:rFonts w:cs="Tahoma"/>
          <w:sz w:val="20"/>
          <w:lang w:val="es-ES"/>
        </w:rPr>
        <w:t xml:space="preserve"> materia de impugnación, fue válidamente notificada al Postor el </w:t>
      </w:r>
      <w:r>
        <w:rPr>
          <w:rFonts w:cs="Tahoma"/>
          <w:sz w:val="20"/>
          <w:lang w:val="es-ES"/>
        </w:rPr>
        <w:t>05</w:t>
      </w:r>
      <w:r w:rsidRPr="00E1306B">
        <w:rPr>
          <w:rFonts w:cs="Tahoma"/>
          <w:sz w:val="20"/>
          <w:lang w:val="es-ES"/>
        </w:rPr>
        <w:t xml:space="preserve"> de </w:t>
      </w:r>
      <w:r>
        <w:rPr>
          <w:rFonts w:cs="Tahoma"/>
          <w:sz w:val="20"/>
          <w:lang w:val="es-ES"/>
        </w:rPr>
        <w:t>noviembre</w:t>
      </w:r>
      <w:r w:rsidRPr="00E1306B">
        <w:rPr>
          <w:rFonts w:cs="Tahoma"/>
          <w:sz w:val="20"/>
          <w:lang w:val="es-ES"/>
        </w:rPr>
        <w:t xml:space="preserve"> de 2007, conforme al cargo de notificación obrante en autos</w:t>
      </w:r>
      <w:r w:rsidRPr="00E1306B">
        <w:rPr>
          <w:rStyle w:val="Refdenotaalpie"/>
          <w:rFonts w:cs="Tahoma"/>
          <w:sz w:val="20"/>
          <w:lang w:val="es-ES"/>
        </w:rPr>
        <w:footnoteReference w:id="3"/>
      </w:r>
      <w:r w:rsidRPr="00E1306B">
        <w:rPr>
          <w:rFonts w:cs="Tahoma"/>
          <w:sz w:val="20"/>
          <w:lang w:val="es-ES"/>
        </w:rPr>
        <w:t xml:space="preserve">, a su domicilio señalado expresamente </w:t>
      </w:r>
      <w:r>
        <w:rPr>
          <w:rFonts w:cs="Tahoma"/>
          <w:sz w:val="20"/>
          <w:lang w:val="es-ES"/>
        </w:rPr>
        <w:t>para tales fines</w:t>
      </w:r>
      <w:r w:rsidRPr="00E1306B">
        <w:rPr>
          <w:rFonts w:cs="Tahoma"/>
          <w:sz w:val="20"/>
          <w:lang w:val="es-ES"/>
        </w:rPr>
        <w:t xml:space="preserve">, por lo que aquél podía interponer válidamente su recurso de reconsideración dentro de los tres días hábiles siguientes, conforme con el artículo 306 del Reglamento </w:t>
      </w:r>
      <w:r w:rsidRPr="00E1306B">
        <w:rPr>
          <w:rFonts w:cs="Tahoma"/>
          <w:sz w:val="20"/>
        </w:rPr>
        <w:t>de la Ley de Contrataciones y Adquisiciones del Estado, aprobado mediante Decreto Supremo Nº 084-2004-PCM</w:t>
      </w:r>
      <w:r w:rsidRPr="00E1306B">
        <w:rPr>
          <w:rFonts w:cs="Tahoma"/>
          <w:sz w:val="20"/>
          <w:lang w:val="es-ES"/>
        </w:rPr>
        <w:t xml:space="preserve">, es decir, hasta el </w:t>
      </w:r>
      <w:r>
        <w:rPr>
          <w:rFonts w:cs="Tahoma"/>
          <w:sz w:val="20"/>
          <w:lang w:val="es-ES"/>
        </w:rPr>
        <w:t>08</w:t>
      </w:r>
      <w:r w:rsidRPr="00E1306B">
        <w:rPr>
          <w:rFonts w:cs="Tahoma"/>
          <w:sz w:val="20"/>
          <w:lang w:val="es-ES"/>
        </w:rPr>
        <w:t xml:space="preserve"> de</w:t>
      </w:r>
      <w:r>
        <w:rPr>
          <w:rFonts w:cs="Tahoma"/>
          <w:sz w:val="20"/>
          <w:lang w:val="es-ES"/>
        </w:rPr>
        <w:t xml:space="preserve"> noviembre</w:t>
      </w:r>
      <w:r w:rsidRPr="00E1306B">
        <w:rPr>
          <w:rFonts w:cs="Tahoma"/>
          <w:sz w:val="20"/>
          <w:lang w:val="es-ES"/>
        </w:rPr>
        <w:t xml:space="preserve"> de 2007</w:t>
      </w:r>
      <w:r>
        <w:rPr>
          <w:rFonts w:cs="Tahoma"/>
          <w:sz w:val="20"/>
          <w:lang w:val="es-ES"/>
        </w:rPr>
        <w:t xml:space="preserve">, situación que efectivamente sucedió en el caso concreto. </w:t>
      </w:r>
    </w:p>
    <w:p w:rsidR="008F015B" w:rsidRPr="00E1306B" w:rsidRDefault="008F015B" w:rsidP="008F015B">
      <w:pPr>
        <w:pStyle w:val="Textoindependiente"/>
        <w:rPr>
          <w:rFonts w:cs="Tahoma"/>
          <w:sz w:val="20"/>
          <w:lang w:val="es-ES"/>
        </w:rPr>
      </w:pPr>
    </w:p>
    <w:p w:rsidR="008F015B" w:rsidRDefault="008F015B" w:rsidP="008F015B">
      <w:pPr>
        <w:pStyle w:val="Textoindependiente"/>
        <w:numPr>
          <w:ilvl w:val="0"/>
          <w:numId w:val="2"/>
        </w:numPr>
        <w:tabs>
          <w:tab w:val="clear" w:pos="454"/>
          <w:tab w:val="num" w:pos="540"/>
        </w:tabs>
        <w:ind w:left="540" w:hanging="540"/>
        <w:rPr>
          <w:rFonts w:cs="Tahoma"/>
          <w:sz w:val="20"/>
          <w:lang w:val="es-ES"/>
        </w:rPr>
      </w:pPr>
      <w:r>
        <w:rPr>
          <w:rFonts w:cs="Tahoma"/>
          <w:sz w:val="20"/>
          <w:lang w:val="es-ES"/>
        </w:rPr>
        <w:t xml:space="preserve">En virtud a ello, corresponde a </w:t>
      </w:r>
      <w:r w:rsidRPr="00E1306B">
        <w:rPr>
          <w:rFonts w:cs="Tahoma"/>
          <w:sz w:val="20"/>
          <w:lang w:val="es-ES"/>
        </w:rPr>
        <w:t xml:space="preserve">este colegiado </w:t>
      </w:r>
      <w:r>
        <w:rPr>
          <w:rFonts w:cs="Tahoma"/>
          <w:sz w:val="20"/>
          <w:lang w:val="es-ES"/>
        </w:rPr>
        <w:t>analizar los hechos descritos por el Postor en su recurso impugnativo:</w:t>
      </w:r>
    </w:p>
    <w:p w:rsidR="008F015B" w:rsidRPr="00E1306B" w:rsidRDefault="008F015B" w:rsidP="008F015B">
      <w:pPr>
        <w:pStyle w:val="Textoindependiente"/>
        <w:rPr>
          <w:rFonts w:cs="Tahoma"/>
          <w:sz w:val="20"/>
          <w:lang w:val="es-ES"/>
        </w:rPr>
      </w:pPr>
    </w:p>
    <w:p w:rsidR="008F015B" w:rsidRPr="005F588D" w:rsidRDefault="008F015B" w:rsidP="008F015B">
      <w:pPr>
        <w:ind w:left="1080" w:right="639" w:hanging="540"/>
        <w:jc w:val="both"/>
        <w:rPr>
          <w:rFonts w:ascii="Tahoma" w:hAnsi="Tahoma" w:cs="Tahoma"/>
          <w:b/>
          <w:u w:val="single"/>
        </w:rPr>
      </w:pPr>
      <w:r w:rsidRPr="005F588D">
        <w:rPr>
          <w:rFonts w:ascii="Tahoma" w:hAnsi="Tahoma" w:cs="Tahoma"/>
          <w:b/>
        </w:rPr>
        <w:t xml:space="preserve">I.- </w:t>
      </w:r>
      <w:r>
        <w:rPr>
          <w:rFonts w:ascii="Tahoma" w:hAnsi="Tahoma" w:cs="Tahoma"/>
          <w:b/>
        </w:rPr>
        <w:t xml:space="preserve"> </w:t>
      </w:r>
      <w:r w:rsidRPr="005F588D">
        <w:rPr>
          <w:rFonts w:ascii="Tahoma" w:hAnsi="Tahoma" w:cs="Tahoma"/>
          <w:b/>
          <w:u w:val="single"/>
        </w:rPr>
        <w:t>Al momento de determinar la sanción aplicable al Postor el Tribunal únicamente ha evaluado los criterios señalados en los numerales 1), 2), 3) y 6) del artículo del Reglamento de la Ley vigente al caso materia de autos.</w:t>
      </w:r>
    </w:p>
    <w:p w:rsidR="008F015B" w:rsidRDefault="008F015B" w:rsidP="008F015B">
      <w:pPr>
        <w:tabs>
          <w:tab w:val="left" w:pos="360"/>
          <w:tab w:val="left" w:pos="540"/>
        </w:tabs>
        <w:jc w:val="both"/>
        <w:rPr>
          <w:rFonts w:ascii="Tahoma" w:hAnsi="Tahoma" w:cs="Tahoma"/>
        </w:rPr>
      </w:pPr>
      <w:r>
        <w:rPr>
          <w:rFonts w:ascii="Tahoma" w:hAnsi="Tahoma" w:cs="Tahoma"/>
        </w:rPr>
        <w:tab/>
      </w:r>
      <w:r>
        <w:rPr>
          <w:rFonts w:ascii="Tahoma" w:hAnsi="Tahoma" w:cs="Tahoma"/>
        </w:rPr>
        <w:tab/>
      </w:r>
    </w:p>
    <w:p w:rsidR="008F015B" w:rsidRDefault="008F015B" w:rsidP="008F015B">
      <w:pPr>
        <w:tabs>
          <w:tab w:val="left" w:pos="360"/>
          <w:tab w:val="left" w:pos="540"/>
        </w:tabs>
        <w:ind w:left="540" w:hanging="540"/>
        <w:jc w:val="both"/>
        <w:rPr>
          <w:rFonts w:ascii="Tahoma" w:hAnsi="Tahoma" w:cs="Tahoma"/>
        </w:rPr>
      </w:pPr>
      <w:r>
        <w:rPr>
          <w:rFonts w:ascii="Tahoma" w:hAnsi="Tahoma" w:cs="Tahoma"/>
        </w:rPr>
        <w:tab/>
      </w:r>
      <w:r>
        <w:rPr>
          <w:rFonts w:ascii="Tahoma" w:hAnsi="Tahoma" w:cs="Tahoma"/>
        </w:rPr>
        <w:tab/>
        <w:t>Tal como ha señalado correctamente el Postor en su recurso presentado, el artículo 209</w:t>
      </w:r>
      <w:r>
        <w:rPr>
          <w:rStyle w:val="Refdenotaalpie"/>
          <w:rFonts w:ascii="Tahoma" w:hAnsi="Tahoma" w:cs="Tahoma"/>
        </w:rPr>
        <w:footnoteReference w:id="4"/>
      </w:r>
      <w:r>
        <w:rPr>
          <w:rFonts w:ascii="Tahoma" w:hAnsi="Tahoma" w:cs="Tahoma"/>
        </w:rPr>
        <w:t xml:space="preserve"> del Reglamento de la Ley aplicable al caso concreto, ha señalado ocho criterios que debe considerar el </w:t>
      </w:r>
      <w:r>
        <w:rPr>
          <w:rFonts w:ascii="Tahoma" w:hAnsi="Tahoma" w:cs="Tahoma"/>
        </w:rPr>
        <w:lastRenderedPageBreak/>
        <w:t>Tribunal al momento de graduar  la sanción a imponerse. En virtud a la evaluación de los criterios mencionados, este Colegiado puede graduar el plazo sancionatorio en función a los parámetros que la norma de contrataciones ha previsto expresamente</w:t>
      </w:r>
      <w:r>
        <w:rPr>
          <w:rStyle w:val="Refdenotaalpie"/>
          <w:rFonts w:ascii="Tahoma" w:hAnsi="Tahoma" w:cs="Tahoma"/>
        </w:rPr>
        <w:footnoteReference w:id="5"/>
      </w:r>
      <w:r>
        <w:rPr>
          <w:rFonts w:ascii="Tahoma" w:hAnsi="Tahoma" w:cs="Tahoma"/>
        </w:rPr>
        <w:t xml:space="preserve">, para el caso concreto, el periodo determinado es no menor a un (01) año, ni mayor a dos (02) años. </w:t>
      </w:r>
    </w:p>
    <w:p w:rsidR="008F015B" w:rsidRDefault="008F015B" w:rsidP="008F015B">
      <w:pPr>
        <w:tabs>
          <w:tab w:val="left" w:pos="360"/>
          <w:tab w:val="left" w:pos="540"/>
        </w:tabs>
        <w:ind w:left="540" w:hanging="540"/>
        <w:jc w:val="both"/>
        <w:rPr>
          <w:rFonts w:ascii="Tahoma" w:hAnsi="Tahoma" w:cs="Tahoma"/>
        </w:rPr>
      </w:pPr>
    </w:p>
    <w:p w:rsidR="008F015B" w:rsidRDefault="008F015B" w:rsidP="008F015B">
      <w:pPr>
        <w:tabs>
          <w:tab w:val="left" w:pos="360"/>
          <w:tab w:val="left" w:pos="540"/>
        </w:tabs>
        <w:ind w:left="540" w:hanging="540"/>
        <w:jc w:val="both"/>
        <w:rPr>
          <w:rFonts w:ascii="Tahoma" w:hAnsi="Tahoma" w:cs="Tahoma"/>
        </w:rPr>
      </w:pPr>
      <w:r>
        <w:rPr>
          <w:rFonts w:ascii="Tahoma" w:hAnsi="Tahoma" w:cs="Tahoma"/>
        </w:rPr>
        <w:tab/>
      </w:r>
      <w:r>
        <w:rPr>
          <w:rFonts w:ascii="Tahoma" w:hAnsi="Tahoma" w:cs="Tahoma"/>
        </w:rPr>
        <w:tab/>
        <w:t xml:space="preserve">El Postor alega que no se ha valorado de manera </w:t>
      </w:r>
      <w:proofErr w:type="spellStart"/>
      <w:r>
        <w:rPr>
          <w:rFonts w:ascii="Tahoma" w:hAnsi="Tahoma" w:cs="Tahoma"/>
        </w:rPr>
        <w:t>integra</w:t>
      </w:r>
      <w:proofErr w:type="spellEnd"/>
      <w:r>
        <w:rPr>
          <w:rFonts w:ascii="Tahoma" w:hAnsi="Tahoma" w:cs="Tahoma"/>
        </w:rPr>
        <w:t xml:space="preserve"> los criterios antes referidos, suponiendo esto una contravención directa a la normativa de contrataciones y, una vulneración evidente al derecho que le asiste a todo Postor que se constituya como parte en un procedimiento administrativo, que este Tribunal tenga que dilucidar.</w:t>
      </w:r>
    </w:p>
    <w:p w:rsidR="008F015B" w:rsidRDefault="008F015B" w:rsidP="008F015B">
      <w:pPr>
        <w:tabs>
          <w:tab w:val="left" w:pos="360"/>
          <w:tab w:val="left" w:pos="540"/>
        </w:tabs>
        <w:ind w:left="540" w:hanging="540"/>
        <w:jc w:val="both"/>
        <w:rPr>
          <w:rFonts w:ascii="Tahoma" w:hAnsi="Tahoma" w:cs="Tahoma"/>
        </w:rPr>
      </w:pPr>
    </w:p>
    <w:p w:rsidR="008F015B" w:rsidRDefault="008F015B" w:rsidP="008F015B">
      <w:pPr>
        <w:tabs>
          <w:tab w:val="left" w:pos="360"/>
          <w:tab w:val="left" w:pos="540"/>
        </w:tabs>
        <w:ind w:left="540" w:hanging="540"/>
        <w:jc w:val="both"/>
        <w:rPr>
          <w:rFonts w:ascii="Tahoma" w:hAnsi="Tahoma" w:cs="Tahoma"/>
        </w:rPr>
      </w:pPr>
      <w:r>
        <w:rPr>
          <w:rFonts w:ascii="Tahoma" w:hAnsi="Tahoma" w:cs="Tahoma"/>
        </w:rPr>
        <w:tab/>
      </w:r>
      <w:r>
        <w:rPr>
          <w:rFonts w:ascii="Tahoma" w:hAnsi="Tahoma" w:cs="Tahoma"/>
        </w:rPr>
        <w:tab/>
        <w:t>Al respecto, debe precisarse que este Órgano Colegiado al momento de aplicar una sanción analiza los hechos y el derecho que se le presenta y se acredita en autos, desarrollando aquellos criterios que puedan ser materia de análisis o controversia para aumentar o disminuir la sanción, tomando como punto primigenio el plazo de 12 meses, en virtud del cual, se aumenta el plazo establecido o se mantiene inalterable el mínimo legal de periodo sancionatorio. Adicionalmente, sólo podría disminuirse por debajo del mínimo legal la sanción a imponer en función a circunstancias atenuantes de la responsabilidad del infractor, es decir, luego de haberse acreditado la responsabilidad del Postor y la evaluación de los criterios descritos en el artículo 209, se analizan hechos adicionales y excepcionales que justifiquen disminuir la carga a imponer hasta por debajo del límite mínimo fijado.</w:t>
      </w:r>
    </w:p>
    <w:p w:rsidR="008F015B" w:rsidRDefault="008F015B" w:rsidP="008F015B">
      <w:pPr>
        <w:tabs>
          <w:tab w:val="left" w:pos="360"/>
          <w:tab w:val="left" w:pos="540"/>
        </w:tabs>
        <w:ind w:left="540" w:hanging="540"/>
        <w:jc w:val="both"/>
        <w:rPr>
          <w:rFonts w:ascii="Tahoma" w:hAnsi="Tahoma" w:cs="Tahoma"/>
        </w:rPr>
      </w:pPr>
    </w:p>
    <w:p w:rsidR="008F015B" w:rsidRPr="00E1306B" w:rsidRDefault="008F015B" w:rsidP="008F015B">
      <w:pPr>
        <w:tabs>
          <w:tab w:val="left" w:pos="360"/>
          <w:tab w:val="left" w:pos="540"/>
        </w:tabs>
        <w:ind w:left="540" w:hanging="540"/>
        <w:jc w:val="both"/>
        <w:rPr>
          <w:rFonts w:ascii="Tahoma" w:hAnsi="Tahoma" w:cs="Tahoma"/>
        </w:rPr>
      </w:pPr>
      <w:r>
        <w:rPr>
          <w:rFonts w:ascii="Tahoma" w:hAnsi="Tahoma" w:cs="Tahoma"/>
        </w:rPr>
        <w:tab/>
      </w:r>
      <w:r>
        <w:rPr>
          <w:rFonts w:ascii="Tahoma" w:hAnsi="Tahoma" w:cs="Tahoma"/>
        </w:rPr>
        <w:tab/>
        <w:t>Como puede verificarse de la resolución impugnada, el plazo que este Tribunal dispuso imponer como sanción al Postor es de 8 meses, periodo inferior al mínimo legal descrito en la norma antes señalada, para lo cual,  se evaluó necesariamente la conducta procesal del infractor y las condiciones de este, así como la no existencia de haber sido sancionado previamente por este Tribunal, caso contrario, habría resultado un imposible jurídico el disminuir la sanción 4 meses por debajo del plazo mínimo señalado, resultando totalmente desproporcionado insinuar la emisión de acto administrativo con motivación insuficiente, lo cual supondría el incumplimiento a los requisitos de validez señaladas en la Ley N.º 27444, irregularidad que en la resolución impugnada no ha ocurrido.</w:t>
      </w:r>
    </w:p>
    <w:p w:rsidR="008F015B" w:rsidRPr="00E1306B" w:rsidRDefault="008F015B" w:rsidP="008F015B">
      <w:pPr>
        <w:tabs>
          <w:tab w:val="left" w:pos="360"/>
          <w:tab w:val="left" w:pos="540"/>
        </w:tabs>
        <w:jc w:val="both"/>
        <w:rPr>
          <w:rFonts w:ascii="Tahoma" w:hAnsi="Tahoma" w:cs="Tahoma"/>
        </w:rPr>
      </w:pPr>
    </w:p>
    <w:p w:rsidR="008F015B" w:rsidRPr="005F588D" w:rsidRDefault="008F015B" w:rsidP="008F015B">
      <w:pPr>
        <w:ind w:left="1080" w:right="639" w:hanging="540"/>
        <w:jc w:val="both"/>
        <w:rPr>
          <w:rFonts w:ascii="Tahoma" w:hAnsi="Tahoma" w:cs="Tahoma"/>
          <w:b/>
          <w:u w:val="single"/>
        </w:rPr>
      </w:pPr>
      <w:r w:rsidRPr="005F588D">
        <w:rPr>
          <w:rFonts w:ascii="Tahoma" w:hAnsi="Tahoma" w:cs="Tahoma"/>
          <w:b/>
        </w:rPr>
        <w:t>II.-</w:t>
      </w:r>
      <w:r>
        <w:rPr>
          <w:rFonts w:ascii="Tahoma" w:hAnsi="Tahoma" w:cs="Tahoma"/>
        </w:rPr>
        <w:t xml:space="preserve"> </w:t>
      </w:r>
      <w:r w:rsidRPr="00E1306B">
        <w:rPr>
          <w:rFonts w:ascii="Tahoma" w:hAnsi="Tahoma" w:cs="Tahoma"/>
        </w:rPr>
        <w:t xml:space="preserve"> </w:t>
      </w:r>
      <w:r>
        <w:rPr>
          <w:rFonts w:ascii="Tahoma" w:hAnsi="Tahoma" w:cs="Tahoma"/>
        </w:rPr>
        <w:t xml:space="preserve"> </w:t>
      </w:r>
      <w:r w:rsidRPr="005F588D">
        <w:rPr>
          <w:rFonts w:ascii="Tahoma" w:hAnsi="Tahoma" w:cs="Tahoma"/>
          <w:b/>
          <w:u w:val="single"/>
        </w:rPr>
        <w:t>El Tribunal al momento de graduar la sanción aplicable, debió ceñirse a lo indicado en el considerando 15 de la resolución recurrida, que señaló la imposibilidad de revisar lo resuelto en el Laudo Arbitral, pues si el fundamento empleado por el</w:t>
      </w:r>
      <w:r>
        <w:rPr>
          <w:rFonts w:ascii="Tahoma" w:hAnsi="Tahoma" w:cs="Tahoma"/>
          <w:b/>
          <w:u w:val="single"/>
        </w:rPr>
        <w:t xml:space="preserve"> </w:t>
      </w:r>
      <w:r w:rsidRPr="005F588D">
        <w:rPr>
          <w:rFonts w:ascii="Tahoma" w:hAnsi="Tahoma" w:cs="Tahoma"/>
          <w:b/>
          <w:u w:val="single"/>
        </w:rPr>
        <w:t>Tribunal para considerar que el incumplimiento de las obligaciones  del Postor es injustificado, por la misma razón, no puede dicho órgano colegiado concluir que la Entidad sufrió menoscabo en su patrimonio por causa del mero incumplimiento del Postor, por cuanto el referido Laudo concluyó que no ha existido tal daño, al no haberse probado el mismo por  la parte que tenía la carga de la prueba: la ONP.</w:t>
      </w:r>
    </w:p>
    <w:p w:rsidR="008F015B" w:rsidRPr="00E1306B" w:rsidRDefault="008F015B" w:rsidP="008F015B">
      <w:pPr>
        <w:tabs>
          <w:tab w:val="left" w:pos="360"/>
          <w:tab w:val="left" w:pos="540"/>
        </w:tabs>
        <w:jc w:val="both"/>
        <w:rPr>
          <w:rFonts w:ascii="Tahoma" w:hAnsi="Tahoma" w:cs="Tahoma"/>
        </w:rPr>
      </w:pPr>
    </w:p>
    <w:p w:rsidR="008F015B" w:rsidRDefault="008F015B" w:rsidP="008F015B">
      <w:pPr>
        <w:tabs>
          <w:tab w:val="left" w:pos="540"/>
        </w:tabs>
        <w:ind w:left="540"/>
        <w:jc w:val="both"/>
        <w:rPr>
          <w:rFonts w:ascii="Tahoma" w:hAnsi="Tahoma" w:cs="Tahoma"/>
        </w:rPr>
      </w:pPr>
      <w:r>
        <w:rPr>
          <w:rFonts w:ascii="Tahoma" w:hAnsi="Tahoma" w:cs="Tahoma"/>
        </w:rPr>
        <w:t xml:space="preserve">Al respecto, la Tercera Sala del Tribunal de Contrataciones y Adquisiciones del Estado reconoció en la resolución impugnada, y lo ratifica en el presente acto administrativo, la imposibilidad de revisar lo resuelto en el Laudo Arbitral, no negando ni contradiciendo su contenido, sino por el contrario, respetando los lineamientos en él establecidos. Es por dicha razón, que este Colegiado niega </w:t>
      </w:r>
      <w:r>
        <w:rPr>
          <w:rFonts w:ascii="Tahoma" w:hAnsi="Tahoma" w:cs="Tahoma"/>
        </w:rPr>
        <w:lastRenderedPageBreak/>
        <w:t>tajantemente haber concluido, la existencia de un daño patrimonial causado a la Entidad, recordándole al Postor que las impugnaciones se sustentan en cuestionamientos a lo expresamente resuelto, y no tergiversando los fundamentos por este Colegiado expuestos.</w:t>
      </w:r>
    </w:p>
    <w:p w:rsidR="008F015B" w:rsidRDefault="008F015B" w:rsidP="008F015B">
      <w:pPr>
        <w:tabs>
          <w:tab w:val="left" w:pos="540"/>
        </w:tabs>
        <w:ind w:left="540"/>
        <w:jc w:val="both"/>
        <w:rPr>
          <w:rFonts w:ascii="Tahoma" w:hAnsi="Tahoma" w:cs="Tahoma"/>
        </w:rPr>
      </w:pPr>
    </w:p>
    <w:p w:rsidR="008F015B" w:rsidRDefault="008F015B" w:rsidP="008F015B">
      <w:pPr>
        <w:tabs>
          <w:tab w:val="left" w:pos="540"/>
        </w:tabs>
        <w:ind w:left="540"/>
        <w:jc w:val="both"/>
        <w:rPr>
          <w:rFonts w:ascii="Tahoma" w:hAnsi="Tahoma" w:cs="Tahoma"/>
        </w:rPr>
      </w:pPr>
      <w:r>
        <w:rPr>
          <w:rFonts w:ascii="Tahoma" w:hAnsi="Tahoma" w:cs="Tahoma"/>
        </w:rPr>
        <w:t>En el numeral 22 de la fundamentación correspondiente a la resolución recurrida, el Tribunal concluyó lo siguiente:</w:t>
      </w:r>
    </w:p>
    <w:p w:rsidR="008F015B" w:rsidRDefault="008F015B" w:rsidP="008F015B">
      <w:pPr>
        <w:tabs>
          <w:tab w:val="left" w:pos="540"/>
        </w:tabs>
        <w:ind w:left="540"/>
        <w:jc w:val="both"/>
        <w:rPr>
          <w:rFonts w:ascii="Tahoma" w:hAnsi="Tahoma" w:cs="Tahoma"/>
        </w:rPr>
      </w:pPr>
    </w:p>
    <w:p w:rsidR="008F015B" w:rsidRPr="005F588D" w:rsidRDefault="008F015B" w:rsidP="008F015B">
      <w:pPr>
        <w:ind w:left="540" w:right="-81"/>
        <w:jc w:val="both"/>
        <w:rPr>
          <w:rFonts w:ascii="Tahoma" w:hAnsi="Tahoma" w:cs="Tahoma"/>
          <w:b/>
          <w:i/>
        </w:rPr>
      </w:pPr>
      <w:r w:rsidRPr="005F588D">
        <w:rPr>
          <w:rFonts w:ascii="Tahoma" w:hAnsi="Tahoma" w:cs="Tahoma"/>
          <w:b/>
          <w:i/>
        </w:rPr>
        <w:t>“</w:t>
      </w:r>
      <w:r>
        <w:rPr>
          <w:rFonts w:ascii="Tahoma" w:hAnsi="Tahoma" w:cs="Tahoma"/>
          <w:b/>
          <w:i/>
        </w:rPr>
        <w:t xml:space="preserve">(…) </w:t>
      </w:r>
      <w:r w:rsidRPr="005F588D">
        <w:rPr>
          <w:rFonts w:ascii="Tahoma" w:hAnsi="Tahoma" w:cs="Tahoma"/>
          <w:b/>
          <w:i/>
        </w:rPr>
        <w:t>Sin embargo, es necesario precisar que este Colegiado, considera que la presencia del daño en el ámbito de la norma de contrataciones y adquisiciones del Estado, surge con la sola configuración de la causal tipificada como sancionable, puesto que, el sólo hecho de establecer causales de aplicación de sanción, supone que su realización conlleva a un menoscabo o detrimento en los fines de la Entidad.  Si bien es cierto, en el caso materia de autos, el Árbitro Único señaló la inexistencia de daño alguno ocasionado por la conducta del contratista, por no haberse acreditado en el procedimiento arbitral los elementos que configuren la responsabilidad civil, debe precisarse que no estamos frente a una relación contractual entre privados,  sino que por el contrario, una de las partes es una entidad del Estado, cuyos fines van más allá de las expectativas particulares de los firmantes, pues representa íntegramente a los intereses del sector al cual se encuentra adscrito y tiene como planes estratégicos institucionales la satisfacción de intereses sociales.</w:t>
      </w:r>
    </w:p>
    <w:p w:rsidR="008F015B" w:rsidRPr="005F588D" w:rsidRDefault="008F015B" w:rsidP="008F015B">
      <w:pPr>
        <w:ind w:left="900" w:right="459"/>
        <w:jc w:val="both"/>
        <w:rPr>
          <w:rFonts w:ascii="Tahoma" w:hAnsi="Tahoma" w:cs="Tahoma"/>
          <w:b/>
          <w:i/>
        </w:rPr>
      </w:pPr>
    </w:p>
    <w:p w:rsidR="008F015B" w:rsidRDefault="008F015B" w:rsidP="008F015B">
      <w:pPr>
        <w:ind w:left="540" w:right="-81"/>
        <w:jc w:val="both"/>
        <w:rPr>
          <w:rFonts w:ascii="Tahoma" w:hAnsi="Tahoma" w:cs="Tahoma"/>
          <w:b/>
          <w:i/>
        </w:rPr>
      </w:pPr>
      <w:r w:rsidRPr="005F588D">
        <w:rPr>
          <w:rFonts w:ascii="Tahoma" w:hAnsi="Tahoma" w:cs="Tahoma"/>
          <w:b/>
          <w:i/>
        </w:rPr>
        <w:t>Por tal  motivo, este Tribunal considera la existencia de un perjuicio a la Entidad, que si bien es cierto no se configura como un daño subsecuente, sí ocasionó una demora en la satisfacción de un necesidad que había sido previamente programada en su Plan Anual de Contrataciones y Adquisiciones del Estado, para ejecutarse oportunamente.”</w:t>
      </w:r>
    </w:p>
    <w:p w:rsidR="008F015B" w:rsidRPr="005F588D" w:rsidRDefault="008F015B" w:rsidP="008F015B">
      <w:pPr>
        <w:ind w:left="360"/>
        <w:jc w:val="both"/>
        <w:rPr>
          <w:rFonts w:ascii="Tahoma" w:hAnsi="Tahoma" w:cs="Tahoma"/>
          <w:b/>
          <w:i/>
        </w:rPr>
      </w:pPr>
    </w:p>
    <w:p w:rsidR="008F015B" w:rsidRDefault="008F015B" w:rsidP="008F015B">
      <w:pPr>
        <w:tabs>
          <w:tab w:val="left" w:pos="540"/>
        </w:tabs>
        <w:ind w:left="540"/>
        <w:jc w:val="both"/>
        <w:rPr>
          <w:rFonts w:ascii="Tahoma" w:hAnsi="Tahoma" w:cs="Tahoma"/>
        </w:rPr>
      </w:pPr>
      <w:r>
        <w:rPr>
          <w:rFonts w:ascii="Tahoma" w:hAnsi="Tahoma" w:cs="Tahoma"/>
        </w:rPr>
        <w:t xml:space="preserve">Lo antes descrito hace referencia a la distinción del </w:t>
      </w:r>
      <w:r w:rsidRPr="008759D3">
        <w:rPr>
          <w:rFonts w:ascii="Tahoma" w:hAnsi="Tahoma" w:cs="Tahoma"/>
          <w:b/>
          <w:i/>
        </w:rPr>
        <w:t>“daño</w:t>
      </w:r>
      <w:r w:rsidRPr="008759D3">
        <w:rPr>
          <w:rFonts w:ascii="Tahoma" w:hAnsi="Tahoma" w:cs="Tahoma"/>
          <w:b/>
        </w:rPr>
        <w:t>”</w:t>
      </w:r>
      <w:r>
        <w:rPr>
          <w:rFonts w:ascii="Tahoma" w:hAnsi="Tahoma" w:cs="Tahoma"/>
        </w:rPr>
        <w:t xml:space="preserve"> previsto en la norma de contrataciones, y el daño establecido en el ámbito civil, desarrollado en el contexto de la responsabilidad contractual, toda vez que, para la configuración de este último deben concurrir de manera simultánea los 4 elementos que lo componen, tales como la </w:t>
      </w:r>
      <w:proofErr w:type="spellStart"/>
      <w:r>
        <w:rPr>
          <w:rFonts w:ascii="Tahoma" w:hAnsi="Tahoma" w:cs="Tahoma"/>
        </w:rPr>
        <w:t>antijuricidad</w:t>
      </w:r>
      <w:proofErr w:type="spellEnd"/>
      <w:r>
        <w:rPr>
          <w:rFonts w:ascii="Tahoma" w:hAnsi="Tahoma" w:cs="Tahoma"/>
        </w:rPr>
        <w:t xml:space="preserve">, imputabilidad, nexo causal y el daño ocasionado, siendo que la ausencia de uno de ellos imposibilita la existencia  de su realización, por tal motivo, el Árbitro Único señaló  en el considerando  149 del Laudo Arbitral referido al daño en el ámbito civil lo siguiente: </w:t>
      </w:r>
    </w:p>
    <w:p w:rsidR="008F015B" w:rsidRDefault="008F015B" w:rsidP="008F015B">
      <w:pPr>
        <w:tabs>
          <w:tab w:val="left" w:pos="540"/>
        </w:tabs>
        <w:ind w:left="540"/>
        <w:jc w:val="both"/>
        <w:rPr>
          <w:rFonts w:ascii="Tahoma" w:hAnsi="Tahoma" w:cs="Tahoma"/>
        </w:rPr>
      </w:pPr>
    </w:p>
    <w:p w:rsidR="008F015B" w:rsidRDefault="008F015B" w:rsidP="008F015B">
      <w:pPr>
        <w:tabs>
          <w:tab w:val="left" w:pos="540"/>
          <w:tab w:val="left" w:pos="1080"/>
        </w:tabs>
        <w:ind w:left="540" w:right="-81"/>
        <w:jc w:val="both"/>
        <w:rPr>
          <w:rFonts w:ascii="Tahoma" w:hAnsi="Tahoma" w:cs="Tahoma"/>
          <w:b/>
          <w:i/>
        </w:rPr>
      </w:pPr>
      <w:r w:rsidRPr="00F81326">
        <w:rPr>
          <w:rFonts w:ascii="Tahoma" w:hAnsi="Tahoma" w:cs="Tahoma"/>
          <w:b/>
          <w:i/>
        </w:rPr>
        <w:t>“ (…)</w:t>
      </w:r>
      <w:r>
        <w:rPr>
          <w:rFonts w:ascii="Tahoma" w:hAnsi="Tahoma" w:cs="Tahoma"/>
          <w:b/>
          <w:i/>
        </w:rPr>
        <w:t>(II)</w:t>
      </w:r>
      <w:r w:rsidRPr="00F81326">
        <w:rPr>
          <w:rFonts w:ascii="Tahoma" w:hAnsi="Tahoma" w:cs="Tahoma"/>
          <w:b/>
          <w:i/>
        </w:rPr>
        <w:t xml:space="preserve">No existe en autos pruebas de la ONP que demuestren los elementos que configuran la responsabilidad civil, esto es la existencia de un daño resarcible, la existencia de un hecho generador, la relación de la causalidad y la imputabilidad; (III) La única prueba aportada por la ONP es un informe que contiene una estimación de lo que esta Entidad considera que </w:t>
      </w:r>
      <w:proofErr w:type="spellStart"/>
      <w:r w:rsidRPr="00F81326">
        <w:rPr>
          <w:rFonts w:ascii="Tahoma" w:hAnsi="Tahoma" w:cs="Tahoma"/>
          <w:b/>
          <w:i/>
        </w:rPr>
        <w:t>Ernst</w:t>
      </w:r>
      <w:proofErr w:type="spellEnd"/>
      <w:r w:rsidRPr="00F81326">
        <w:rPr>
          <w:rFonts w:ascii="Tahoma" w:hAnsi="Tahoma" w:cs="Tahoma"/>
          <w:b/>
          <w:i/>
        </w:rPr>
        <w:t xml:space="preserve"> debe indemnizarle por daño emergente y lucro cesante, sin embargo, antes del quantum es imprescindible que la parte reclamante acredite cada uno de los elementos de responsabilidad civil, lo cual no ha sucedido en el presente caso; (</w:t>
      </w:r>
      <w:proofErr w:type="spellStart"/>
      <w:r w:rsidRPr="00F81326">
        <w:rPr>
          <w:rFonts w:ascii="Tahoma" w:hAnsi="Tahoma" w:cs="Tahoma"/>
          <w:b/>
          <w:i/>
        </w:rPr>
        <w:t>iv</w:t>
      </w:r>
      <w:proofErr w:type="spellEnd"/>
      <w:r w:rsidRPr="00F81326">
        <w:rPr>
          <w:rFonts w:ascii="Tahoma" w:hAnsi="Tahoma" w:cs="Tahoma"/>
          <w:b/>
          <w:i/>
        </w:rPr>
        <w:t>) Si bien de la resolución del contrato por incumplimiento de un contratista pueden generarse daños para la Entidad, esta posibilidad que dicta el sentido común no basta, no puede presumirse, pues necesariamente deben cumplirse y probarse cada una de las características del daño que ERNST ha señalado como fundamento jurídico de su absolución y con el que Tribunal coincide; Por los fundamentos expuestos, este Tribunal considera que no está acreditada por la ONP la existencia de daño resarcible y por tanto, esta primera pretensión principal de la ONP debe ser desestimada”.</w:t>
      </w:r>
    </w:p>
    <w:p w:rsidR="008F015B" w:rsidRDefault="008F015B" w:rsidP="008F015B">
      <w:pPr>
        <w:tabs>
          <w:tab w:val="left" w:pos="900"/>
        </w:tabs>
        <w:ind w:left="900" w:right="459"/>
        <w:jc w:val="both"/>
        <w:rPr>
          <w:rFonts w:ascii="Tahoma" w:hAnsi="Tahoma" w:cs="Tahoma"/>
          <w:b/>
          <w:i/>
        </w:rPr>
      </w:pPr>
    </w:p>
    <w:p w:rsidR="008F015B" w:rsidRDefault="008F015B" w:rsidP="008F015B">
      <w:pPr>
        <w:ind w:left="540"/>
        <w:jc w:val="both"/>
        <w:rPr>
          <w:rFonts w:ascii="Tahoma" w:hAnsi="Tahoma" w:cs="Tahoma"/>
        </w:rPr>
      </w:pPr>
      <w:r w:rsidRPr="00184060">
        <w:rPr>
          <w:rFonts w:ascii="Tahoma" w:hAnsi="Tahoma" w:cs="Tahoma"/>
        </w:rPr>
        <w:lastRenderedPageBreak/>
        <w:t xml:space="preserve">Caso contrario ocurre con el </w:t>
      </w:r>
      <w:r w:rsidRPr="00184060">
        <w:rPr>
          <w:rFonts w:ascii="Tahoma" w:hAnsi="Tahoma" w:cs="Tahoma"/>
          <w:b/>
        </w:rPr>
        <w:t>“daño”</w:t>
      </w:r>
      <w:r w:rsidRPr="00184060">
        <w:rPr>
          <w:rFonts w:ascii="Tahoma" w:hAnsi="Tahoma" w:cs="Tahoma"/>
        </w:rPr>
        <w:t xml:space="preserve"> descrito en la normativa de contrataciones, que busca tutelar el interés público</w:t>
      </w:r>
      <w:r>
        <w:rPr>
          <w:rFonts w:ascii="Tahoma" w:hAnsi="Tahoma" w:cs="Tahoma"/>
        </w:rPr>
        <w:t>,</w:t>
      </w:r>
      <w:r w:rsidRPr="00184060">
        <w:rPr>
          <w:rFonts w:ascii="Tahoma" w:hAnsi="Tahoma" w:cs="Tahoma"/>
        </w:rPr>
        <w:t>(entendido como el resultado de un conjunto de intereses individu</w:t>
      </w:r>
      <w:r>
        <w:rPr>
          <w:rFonts w:ascii="Tahoma" w:hAnsi="Tahoma" w:cs="Tahoma"/>
        </w:rPr>
        <w:t xml:space="preserve">ales compartidos y coincidentes, </w:t>
      </w:r>
      <w:r w:rsidRPr="00184060">
        <w:rPr>
          <w:rFonts w:ascii="Tahoma" w:hAnsi="Tahoma" w:cs="Tahoma"/>
        </w:rPr>
        <w:t xml:space="preserve">que </w:t>
      </w:r>
      <w:r>
        <w:rPr>
          <w:rFonts w:ascii="Tahoma" w:hAnsi="Tahoma" w:cs="Tahoma"/>
        </w:rPr>
        <w:t>prevalece</w:t>
      </w:r>
      <w:r w:rsidRPr="00184060">
        <w:rPr>
          <w:rFonts w:ascii="Tahoma" w:hAnsi="Tahoma" w:cs="Tahoma"/>
        </w:rPr>
        <w:t xml:space="preserve"> sobre los intereses individuales que se le opongan o lo afecten</w:t>
      </w:r>
      <w:r>
        <w:rPr>
          <w:rFonts w:ascii="Tahoma" w:hAnsi="Tahoma" w:cs="Tahoma"/>
        </w:rPr>
        <w:t>) que se fundamenta en la satisfacción de las necesidades estatales para la consecución de sus fines institucionales programados con anticipación, por tal motivo, el numeral 3 del artículo 209 del Reglamento, señala como elemento para graduar la sanción el daño causado, es decir, qué tan relevante o pernicioso fue el detrimento que afrontó la Entidad producto del incumplimiento, no existiendo la posibilidad de la no presencia de daño como producto de una conducta tipificada como sancionable, libre de incidencia en el tema patrimonial.</w:t>
      </w:r>
    </w:p>
    <w:p w:rsidR="008F015B" w:rsidRDefault="008F015B" w:rsidP="008F015B">
      <w:pPr>
        <w:ind w:left="540"/>
        <w:jc w:val="both"/>
        <w:rPr>
          <w:rFonts w:ascii="Tahoma" w:hAnsi="Tahoma" w:cs="Tahoma"/>
        </w:rPr>
      </w:pPr>
    </w:p>
    <w:p w:rsidR="008F015B" w:rsidRPr="00184060" w:rsidRDefault="008F015B" w:rsidP="008F015B">
      <w:pPr>
        <w:ind w:left="540"/>
        <w:jc w:val="both"/>
        <w:rPr>
          <w:rFonts w:ascii="Tahoma" w:hAnsi="Tahoma" w:cs="Tahoma"/>
        </w:rPr>
      </w:pPr>
      <w:r>
        <w:rPr>
          <w:rFonts w:ascii="Tahoma" w:hAnsi="Tahoma" w:cs="Tahoma"/>
        </w:rPr>
        <w:t xml:space="preserve">Es por estos motivos que el Laudo Arbitral hace referencia a otro tipo de daño, distinto al considerado en la norma de contrataciones, en virtud a ello, no existe contradicción a los argumentos descritos en la resolución recurrida. </w:t>
      </w:r>
    </w:p>
    <w:p w:rsidR="008F015B" w:rsidRPr="00184060" w:rsidRDefault="008F015B" w:rsidP="008F015B">
      <w:pPr>
        <w:tabs>
          <w:tab w:val="left" w:pos="900"/>
        </w:tabs>
        <w:ind w:left="540" w:right="459"/>
        <w:jc w:val="both"/>
        <w:rPr>
          <w:rFonts w:ascii="Tahoma" w:hAnsi="Tahoma" w:cs="Tahoma"/>
        </w:rPr>
      </w:pPr>
    </w:p>
    <w:p w:rsidR="008F015B" w:rsidRDefault="008F015B" w:rsidP="008F015B">
      <w:pPr>
        <w:tabs>
          <w:tab w:val="left" w:pos="1080"/>
        </w:tabs>
        <w:ind w:left="1080" w:right="639" w:hanging="540"/>
        <w:jc w:val="both"/>
        <w:rPr>
          <w:rFonts w:ascii="Tahoma" w:hAnsi="Tahoma" w:cs="Tahoma"/>
          <w:b/>
          <w:u w:val="single"/>
        </w:rPr>
      </w:pPr>
      <w:r w:rsidRPr="006928E2">
        <w:rPr>
          <w:rFonts w:ascii="Tahoma" w:hAnsi="Tahoma" w:cs="Tahoma"/>
          <w:b/>
        </w:rPr>
        <w:t>III.-</w:t>
      </w:r>
      <w:r>
        <w:rPr>
          <w:rFonts w:ascii="Tahoma" w:hAnsi="Tahoma" w:cs="Tahoma"/>
          <w:b/>
        </w:rPr>
        <w:t xml:space="preserve"> </w:t>
      </w:r>
      <w:r>
        <w:rPr>
          <w:rFonts w:ascii="Tahoma" w:hAnsi="Tahoma" w:cs="Tahoma"/>
        </w:rPr>
        <w:t xml:space="preserve"> </w:t>
      </w:r>
      <w:r w:rsidRPr="006928E2">
        <w:rPr>
          <w:rFonts w:ascii="Tahoma" w:hAnsi="Tahoma" w:cs="Tahoma"/>
          <w:b/>
          <w:u w:val="single"/>
        </w:rPr>
        <w:t>Dicha resolución afecta nuestro derecho al debido proceso, constituido por el derecho a la emisión de una resolución adecuadamente motivada, pues dicha resolución viola el principio de no contradicción.</w:t>
      </w:r>
    </w:p>
    <w:p w:rsidR="008F015B" w:rsidRDefault="008F015B" w:rsidP="008F015B">
      <w:pPr>
        <w:jc w:val="both"/>
        <w:rPr>
          <w:rFonts w:ascii="Tahoma" w:hAnsi="Tahoma" w:cs="Tahoma"/>
          <w:b/>
        </w:rPr>
      </w:pPr>
      <w:r>
        <w:rPr>
          <w:rFonts w:ascii="Tahoma" w:hAnsi="Tahoma" w:cs="Tahoma"/>
          <w:b/>
        </w:rPr>
        <w:tab/>
      </w:r>
    </w:p>
    <w:p w:rsidR="008F015B" w:rsidRDefault="008F015B" w:rsidP="008F015B">
      <w:pPr>
        <w:tabs>
          <w:tab w:val="left" w:pos="540"/>
        </w:tabs>
        <w:ind w:left="540"/>
        <w:jc w:val="both"/>
        <w:rPr>
          <w:rFonts w:ascii="Tahoma" w:hAnsi="Tahoma" w:cs="Tahoma"/>
        </w:rPr>
      </w:pPr>
      <w:r w:rsidRPr="00123896">
        <w:rPr>
          <w:rFonts w:ascii="Tahoma" w:hAnsi="Tahoma" w:cs="Tahoma"/>
        </w:rPr>
        <w:t>Tal como se ha señalado en los numerales anteriores, la resolución objeto de impugnación se encuentra debidamente motivada en virtud a los hechos cuestionados</w:t>
      </w:r>
      <w:r>
        <w:rPr>
          <w:rFonts w:ascii="Tahoma" w:hAnsi="Tahoma" w:cs="Tahoma"/>
        </w:rPr>
        <w:t xml:space="preserve">, cumpliendo íntegramente con los requisitos de validez señalados en la Ley del Procedimiento Administrativo General, Ley N.º 27444, y no existiendo contradicción en su fundamentación, pues como se ha desarrollado anteriormente, lo cuestionado a la resolución impugnada versa sobre elementos disímiles a lo resuelto en el Laudo Arbitral, es decir, el daño civil y el daño previsto en el marco de las contrataciones y adquisiciones del Estado. </w:t>
      </w:r>
    </w:p>
    <w:p w:rsidR="008F015B" w:rsidRPr="00123896" w:rsidRDefault="008F015B" w:rsidP="008F015B">
      <w:pPr>
        <w:tabs>
          <w:tab w:val="left" w:pos="540"/>
        </w:tabs>
        <w:ind w:left="540"/>
        <w:jc w:val="both"/>
        <w:rPr>
          <w:rFonts w:ascii="Tahoma" w:hAnsi="Tahoma" w:cs="Tahoma"/>
        </w:rPr>
      </w:pPr>
    </w:p>
    <w:p w:rsidR="008F015B" w:rsidRDefault="008F015B" w:rsidP="008F015B">
      <w:pPr>
        <w:ind w:left="1080" w:right="639" w:hanging="540"/>
        <w:jc w:val="both"/>
        <w:rPr>
          <w:rFonts w:ascii="Tahoma" w:hAnsi="Tahoma" w:cs="Tahoma"/>
          <w:b/>
          <w:u w:val="single"/>
        </w:rPr>
      </w:pPr>
      <w:r w:rsidRPr="00184060">
        <w:rPr>
          <w:rFonts w:ascii="Tahoma" w:hAnsi="Tahoma" w:cs="Tahoma"/>
          <w:b/>
        </w:rPr>
        <w:t xml:space="preserve">IV.- </w:t>
      </w:r>
      <w:r w:rsidRPr="00184060">
        <w:rPr>
          <w:rFonts w:ascii="Tahoma" w:hAnsi="Tahoma" w:cs="Tahoma"/>
          <w:b/>
          <w:u w:val="single"/>
        </w:rPr>
        <w:t xml:space="preserve">La sanción impuesta al Postor ocasionaría un perjuicio al Estado Peruano, puesto que es un proveedor al que normalmente se acude </w:t>
      </w:r>
      <w:r>
        <w:rPr>
          <w:rFonts w:ascii="Tahoma" w:hAnsi="Tahoma" w:cs="Tahoma"/>
          <w:b/>
          <w:u w:val="single"/>
        </w:rPr>
        <w:t>c</w:t>
      </w:r>
      <w:r w:rsidRPr="00184060">
        <w:rPr>
          <w:rFonts w:ascii="Tahoma" w:hAnsi="Tahoma" w:cs="Tahoma"/>
          <w:b/>
          <w:u w:val="single"/>
        </w:rPr>
        <w:t>on el fin de satisfacer requerimientos de interés público, razón por la cual una sanción podría perjudicar al Estado mismo. El postor es proveedor de servicios de la SUNAT, entidad a la que se le brinda capacitación en métodos de interpretación jurídica, cobranzas, aspectos contables y otros temas técnicos. Al sancionar en demasía al Postor, dicha institución no contaría con la asesoría necesaria para alcanzar los niveles de eficiencia.</w:t>
      </w:r>
    </w:p>
    <w:p w:rsidR="008F015B" w:rsidRPr="00590DD0" w:rsidRDefault="008F015B" w:rsidP="008F015B">
      <w:pPr>
        <w:ind w:left="1080" w:right="639" w:hanging="540"/>
        <w:jc w:val="both"/>
        <w:rPr>
          <w:rFonts w:ascii="Tahoma" w:hAnsi="Tahoma" w:cs="Tahoma"/>
        </w:rPr>
      </w:pPr>
    </w:p>
    <w:p w:rsidR="008F015B" w:rsidRDefault="008F015B" w:rsidP="008F015B">
      <w:pPr>
        <w:ind w:left="540" w:right="639"/>
        <w:jc w:val="both"/>
        <w:rPr>
          <w:rFonts w:ascii="Tahoma" w:hAnsi="Tahoma" w:cs="Tahoma"/>
          <w:b/>
          <w:u w:val="single"/>
        </w:rPr>
      </w:pPr>
      <w:r>
        <w:rPr>
          <w:rFonts w:ascii="Tahoma" w:hAnsi="Tahoma" w:cs="Tahoma"/>
        </w:rPr>
        <w:t xml:space="preserve">Cuando este Tribunal administrativo resuelve imponer una sanción administrativa, lo hace valorando los fundamentos de hecho y derecho presentados, así como  la normativa vigente y las demás consecuencias que pueden originarse producto del acto administrativo sancionador, es por ello que, no se emitiría pronunciamiento alguno que lesione o perjudique al Estado peruano, pues como se ha señalado líneas arriba, lo que se busca proteger mediante los procedimientos </w:t>
      </w:r>
      <w:r w:rsidRPr="000C745F">
        <w:rPr>
          <w:rFonts w:ascii="Tahoma" w:hAnsi="Tahoma" w:cs="Tahoma"/>
        </w:rPr>
        <w:t xml:space="preserve">administrativos sancionadores es el interés público, que se vulnera con la sola configuración de una de las causales invocadas como sancionables, en tal sentido, la emisión de la Resolución N.º 1781/2007.TC-S3 de fecha 31 de octubre de 2007 </w:t>
      </w:r>
      <w:r>
        <w:rPr>
          <w:rFonts w:ascii="Tahoma" w:hAnsi="Tahoma" w:cs="Tahoma"/>
        </w:rPr>
        <w:t>es respetuosa de los fines que ostenta el Estado Peruano  y establece un plazo de inhabilitación coherente en virtud a los hechos descritos.</w:t>
      </w:r>
      <w:r>
        <w:rPr>
          <w:rFonts w:ascii="Tahoma" w:hAnsi="Tahoma" w:cs="Tahoma"/>
          <w:b/>
          <w:u w:val="single"/>
        </w:rPr>
        <w:t xml:space="preserve"> </w:t>
      </w:r>
    </w:p>
    <w:p w:rsidR="008F015B" w:rsidRPr="00184060" w:rsidRDefault="008F015B" w:rsidP="008F015B">
      <w:pPr>
        <w:ind w:left="1080" w:right="639" w:hanging="540"/>
        <w:jc w:val="both"/>
        <w:rPr>
          <w:rFonts w:ascii="Tahoma" w:hAnsi="Tahoma" w:cs="Tahoma"/>
          <w:b/>
          <w:u w:val="single"/>
        </w:rPr>
      </w:pPr>
    </w:p>
    <w:p w:rsidR="008F015B" w:rsidRPr="00184060" w:rsidRDefault="008F015B" w:rsidP="008F015B">
      <w:pPr>
        <w:ind w:left="1080" w:right="639" w:hanging="540"/>
        <w:jc w:val="both"/>
        <w:rPr>
          <w:rFonts w:ascii="Tahoma" w:hAnsi="Tahoma" w:cs="Tahoma"/>
          <w:b/>
          <w:u w:val="single"/>
        </w:rPr>
      </w:pPr>
      <w:r w:rsidRPr="00184060">
        <w:rPr>
          <w:rFonts w:ascii="Tahoma" w:hAnsi="Tahoma" w:cs="Tahoma"/>
          <w:b/>
        </w:rPr>
        <w:t>V.-</w:t>
      </w:r>
      <w:r>
        <w:rPr>
          <w:rFonts w:ascii="Tahoma" w:hAnsi="Tahoma" w:cs="Tahoma"/>
        </w:rPr>
        <w:t xml:space="preserve">   </w:t>
      </w:r>
      <w:r w:rsidRPr="00184060">
        <w:rPr>
          <w:rFonts w:ascii="Tahoma" w:hAnsi="Tahoma" w:cs="Tahoma"/>
          <w:b/>
          <w:u w:val="single"/>
        </w:rPr>
        <w:t>La reducción de la sanción impuesta por el Tribunal de CONSUCODE es posible en vía de reconsideración, tal como se ha realizado en anteriores oportunidades.</w:t>
      </w:r>
    </w:p>
    <w:p w:rsidR="008F015B" w:rsidRPr="00E1306B" w:rsidRDefault="008F015B" w:rsidP="008F015B">
      <w:pPr>
        <w:ind w:left="705" w:right="639" w:hanging="345"/>
        <w:jc w:val="both"/>
        <w:rPr>
          <w:rFonts w:ascii="Tahoma" w:hAnsi="Tahoma" w:cs="Tahoma"/>
        </w:rPr>
      </w:pPr>
    </w:p>
    <w:p w:rsidR="008F015B" w:rsidRPr="00E1306B" w:rsidRDefault="008F015B" w:rsidP="008F015B">
      <w:pPr>
        <w:ind w:left="360"/>
        <w:jc w:val="both"/>
        <w:rPr>
          <w:rFonts w:ascii="Tahoma" w:hAnsi="Tahoma" w:cs="Tahoma"/>
        </w:rPr>
      </w:pPr>
      <w:r>
        <w:rPr>
          <w:rFonts w:ascii="Tahoma" w:hAnsi="Tahoma" w:cs="Tahoma"/>
        </w:rPr>
        <w:lastRenderedPageBreak/>
        <w:t xml:space="preserve">Como se ha indicado anteriormente, la sanción impuesta se ha graduado en función a lo dispuesto en el </w:t>
      </w:r>
      <w:r w:rsidRPr="00E1306B">
        <w:rPr>
          <w:rFonts w:ascii="Tahoma" w:hAnsi="Tahoma" w:cs="Tahoma"/>
        </w:rPr>
        <w:t xml:space="preserve">artículo </w:t>
      </w:r>
      <w:r>
        <w:rPr>
          <w:rFonts w:ascii="Tahoma" w:hAnsi="Tahoma" w:cs="Tahoma"/>
        </w:rPr>
        <w:t xml:space="preserve">209 del Reglamento, </w:t>
      </w:r>
      <w:r w:rsidRPr="00E1306B">
        <w:rPr>
          <w:rFonts w:ascii="Tahoma" w:hAnsi="Tahoma" w:cs="Tahoma"/>
        </w:rPr>
        <w:t>y el Principio de Razonabilidad</w:t>
      </w:r>
      <w:r w:rsidRPr="00E1306B">
        <w:rPr>
          <w:rStyle w:val="Refdenotaalpie"/>
          <w:rFonts w:ascii="Tahoma" w:hAnsi="Tahoma" w:cs="Tahoma"/>
        </w:rPr>
        <w:footnoteReference w:id="6"/>
      </w:r>
      <w:r w:rsidRPr="00E1306B">
        <w:rPr>
          <w:rFonts w:ascii="Tahoma" w:hAnsi="Tahoma" w:cs="Tahoma"/>
        </w:rPr>
        <w:t xml:space="preserve"> establecido en la Ley de Procedimiento Administrativo General, la misma que es inferior al m</w:t>
      </w:r>
      <w:r>
        <w:rPr>
          <w:rFonts w:ascii="Tahoma" w:hAnsi="Tahoma" w:cs="Tahoma"/>
        </w:rPr>
        <w:t>íni</w:t>
      </w:r>
      <w:r w:rsidRPr="00E1306B">
        <w:rPr>
          <w:rFonts w:ascii="Tahoma" w:hAnsi="Tahoma" w:cs="Tahoma"/>
        </w:rPr>
        <w:t>mo legal establecido en la normativa. Por tanto, este Tribunal considera que la sanción impuesta es la que corresponde ante la comisión de la infracción detalla</w:t>
      </w:r>
      <w:r>
        <w:rPr>
          <w:rFonts w:ascii="Tahoma" w:hAnsi="Tahoma" w:cs="Tahoma"/>
        </w:rPr>
        <w:t>da en los numerales precedentes.</w:t>
      </w:r>
      <w:r w:rsidRPr="00E1306B">
        <w:rPr>
          <w:rFonts w:ascii="Tahoma" w:hAnsi="Tahoma" w:cs="Tahoma"/>
        </w:rPr>
        <w:t xml:space="preserve"> </w:t>
      </w:r>
    </w:p>
    <w:p w:rsidR="008F015B" w:rsidRPr="00E1306B" w:rsidRDefault="008F015B" w:rsidP="008F015B">
      <w:pPr>
        <w:pStyle w:val="Textoindependiente"/>
        <w:rPr>
          <w:rFonts w:cs="Tahoma"/>
          <w:sz w:val="20"/>
          <w:lang w:val="es-ES"/>
        </w:rPr>
      </w:pPr>
    </w:p>
    <w:p w:rsidR="008F015B" w:rsidRPr="00D72BA4" w:rsidRDefault="008F015B" w:rsidP="008F015B">
      <w:pPr>
        <w:numPr>
          <w:ilvl w:val="0"/>
          <w:numId w:val="2"/>
        </w:numPr>
        <w:tabs>
          <w:tab w:val="left" w:pos="540"/>
        </w:tabs>
        <w:jc w:val="both"/>
        <w:rPr>
          <w:rFonts w:ascii="Tahoma" w:hAnsi="Tahoma" w:cs="Tahoma"/>
          <w:lang w:val="es-PE"/>
        </w:rPr>
      </w:pPr>
      <w:r w:rsidRPr="00D72BA4">
        <w:rPr>
          <w:rFonts w:ascii="Tahoma" w:hAnsi="Tahoma" w:cs="Tahoma"/>
          <w:lang w:val="es-PE"/>
        </w:rPr>
        <w:t xml:space="preserve">En consideración a los argumentos descritos, se ha acreditado que el recurso de reconsideración interpuesto por el Postor no ha presentado argumento u hechos que ameriten la variación de lo resuelto por parte de este Colegiado, por tanto debe ser declarado infundado, debiendo tenerse en cuenta que con la presente decisión se agota la vía administrativa, a fin que, de estimarlo conveniente a sus intereses, el Postor haga uso de los recursos que la ley prevé. </w:t>
      </w:r>
    </w:p>
    <w:p w:rsidR="008F015B" w:rsidRPr="008D008A" w:rsidRDefault="008F015B" w:rsidP="008F015B">
      <w:pPr>
        <w:jc w:val="both"/>
        <w:rPr>
          <w:rFonts w:ascii="Tahoma" w:hAnsi="Tahoma" w:cs="Tahoma"/>
          <w:b/>
          <w:shadow/>
        </w:rPr>
      </w:pPr>
    </w:p>
    <w:p w:rsidR="008F015B" w:rsidRPr="008D008A" w:rsidRDefault="008F015B" w:rsidP="008F015B">
      <w:pPr>
        <w:jc w:val="both"/>
        <w:rPr>
          <w:rFonts w:ascii="Tahoma" w:hAnsi="Tahoma" w:cs="Tahoma"/>
        </w:rPr>
      </w:pPr>
      <w:r w:rsidRPr="008D008A">
        <w:rPr>
          <w:rFonts w:ascii="Tahoma" w:hAnsi="Tahoma" w:cs="Tahoma"/>
        </w:rPr>
        <w:t xml:space="preserve">Por estos fundamentos, de conformidad con el informe de la Vocal Ponente doctora </w:t>
      </w:r>
      <w:proofErr w:type="spellStart"/>
      <w:r w:rsidRPr="008D008A">
        <w:rPr>
          <w:rFonts w:ascii="Tahoma" w:hAnsi="Tahoma" w:cs="Tahoma"/>
        </w:rPr>
        <w:t>Janette</w:t>
      </w:r>
      <w:proofErr w:type="spellEnd"/>
      <w:r w:rsidRPr="008D008A">
        <w:rPr>
          <w:rFonts w:ascii="Tahoma" w:hAnsi="Tahoma" w:cs="Tahoma"/>
        </w:rPr>
        <w:t xml:space="preserve"> </w:t>
      </w:r>
      <w:proofErr w:type="spellStart"/>
      <w:r w:rsidRPr="008D008A">
        <w:rPr>
          <w:rFonts w:ascii="Tahoma" w:hAnsi="Tahoma" w:cs="Tahoma"/>
        </w:rPr>
        <w:t>Elke</w:t>
      </w:r>
      <w:proofErr w:type="spellEnd"/>
      <w:r w:rsidRPr="008D008A">
        <w:rPr>
          <w:rFonts w:ascii="Tahoma" w:hAnsi="Tahoma" w:cs="Tahoma"/>
        </w:rPr>
        <w:t xml:space="preserve"> Ramírez </w:t>
      </w:r>
      <w:proofErr w:type="spellStart"/>
      <w:r w:rsidRPr="008D008A">
        <w:rPr>
          <w:rFonts w:ascii="Tahoma" w:hAnsi="Tahoma" w:cs="Tahoma"/>
        </w:rPr>
        <w:t>Maynetto</w:t>
      </w:r>
      <w:proofErr w:type="spellEnd"/>
      <w:r w:rsidRPr="008D008A">
        <w:rPr>
          <w:rFonts w:ascii="Tahoma" w:hAnsi="Tahoma" w:cs="Tahoma"/>
        </w:rPr>
        <w:t xml:space="preserve">, con la intervención de los doctores Juan Carlos Valdivia </w:t>
      </w:r>
      <w:proofErr w:type="spellStart"/>
      <w:r w:rsidRPr="008D008A">
        <w:rPr>
          <w:rFonts w:ascii="Tahoma" w:hAnsi="Tahoma" w:cs="Tahoma"/>
        </w:rPr>
        <w:t>Huaringa</w:t>
      </w:r>
      <w:proofErr w:type="spellEnd"/>
      <w:r w:rsidRPr="008D008A">
        <w:rPr>
          <w:rFonts w:ascii="Tahoma" w:hAnsi="Tahoma" w:cs="Tahoma"/>
        </w:rPr>
        <w:t xml:space="preserve"> y Carlos Vicente Navas Rondón, atendiendo a la </w:t>
      </w:r>
      <w:proofErr w:type="spellStart"/>
      <w:r w:rsidRPr="008D008A">
        <w:rPr>
          <w:rFonts w:ascii="Tahoma" w:hAnsi="Tahoma" w:cs="Tahoma"/>
        </w:rPr>
        <w:t>reconformación</w:t>
      </w:r>
      <w:proofErr w:type="spellEnd"/>
      <w:r w:rsidRPr="008D008A">
        <w:rPr>
          <w:rFonts w:ascii="Tahoma" w:hAnsi="Tahoma" w:cs="Tahoma"/>
        </w:rPr>
        <w:t xml:space="preserve"> de </w:t>
      </w:r>
      <w:smartTag w:uri="urn:schemas-microsoft-com:office:smarttags" w:element="PersonName">
        <w:smartTagPr>
          <w:attr w:name="ProductID" w:val="la Tercera Sala"/>
        </w:smartTagPr>
        <w:r w:rsidRPr="008D008A">
          <w:rPr>
            <w:rFonts w:ascii="Tahoma" w:hAnsi="Tahoma" w:cs="Tahoma"/>
          </w:rPr>
          <w:t>la Tercera Sala</w:t>
        </w:r>
      </w:smartTag>
      <w:r w:rsidRPr="008D008A">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8D008A">
          <w:rPr>
            <w:rFonts w:ascii="Tahoma" w:hAnsi="Tahoma" w:cs="Tahoma"/>
          </w:rPr>
          <w:t>la Resolución N.º</w:t>
        </w:r>
      </w:smartTag>
      <w:r w:rsidRPr="008D008A">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8D008A">
          <w:rPr>
            <w:rFonts w:ascii="Tahoma" w:hAnsi="Tahoma" w:cs="Tahoma"/>
          </w:rPr>
          <w:t>la Ley</w:t>
        </w:r>
      </w:smartTag>
      <w:r w:rsidRPr="008D008A">
        <w:rPr>
          <w:rFonts w:ascii="Tahoma" w:hAnsi="Tahoma" w:cs="Tahoma"/>
        </w:rPr>
        <w:t xml:space="preserve"> de Contrataciones y Adquisiciones del Estado, aprobado por Decreto Supremo N.º 083-2004-PCM, su Reglamento, aprobado por Dec</w:t>
      </w:r>
      <w:r>
        <w:rPr>
          <w:rFonts w:ascii="Tahoma" w:hAnsi="Tahoma" w:cs="Tahoma"/>
        </w:rPr>
        <w:t xml:space="preserve">reto Supremo N.º 084-2004-PCM, el Decreto Supremo N.º 013-2001-PCM, en aplicación del artículo 4 de la Ley 28267, </w:t>
      </w:r>
      <w:r w:rsidRPr="008D008A">
        <w:rPr>
          <w:rFonts w:ascii="Tahoma" w:hAnsi="Tahoma" w:cs="Tahoma"/>
        </w:rPr>
        <w:t>y los artículos 17 y 18 del Reglamento de Organización y Funciones del CONSUCODE, aprobado por Decreto Supremos N.º 054-2007-EF; analizados los antecedentes y luego de agotado el correspondiente debate, por unanimidad;</w:t>
      </w:r>
    </w:p>
    <w:p w:rsidR="008F015B" w:rsidRPr="008D008A" w:rsidRDefault="008F015B" w:rsidP="008F015B">
      <w:pPr>
        <w:tabs>
          <w:tab w:val="num" w:pos="360"/>
        </w:tabs>
        <w:ind w:left="-180" w:firstLine="180"/>
        <w:jc w:val="both"/>
        <w:rPr>
          <w:rFonts w:ascii="Tahoma" w:hAnsi="Tahoma" w:cs="Tahoma"/>
          <w:b/>
          <w:shadow/>
        </w:rPr>
      </w:pPr>
    </w:p>
    <w:p w:rsidR="008F015B" w:rsidRPr="008D008A" w:rsidRDefault="008F015B" w:rsidP="008F015B">
      <w:pPr>
        <w:tabs>
          <w:tab w:val="num" w:pos="360"/>
        </w:tabs>
        <w:ind w:left="-180" w:firstLine="180"/>
        <w:jc w:val="both"/>
        <w:rPr>
          <w:rFonts w:ascii="Tahoma" w:hAnsi="Tahoma" w:cs="Tahoma"/>
          <w:b/>
          <w:shadow/>
        </w:rPr>
      </w:pPr>
      <w:r w:rsidRPr="008D008A">
        <w:rPr>
          <w:rFonts w:ascii="Tahoma" w:hAnsi="Tahoma" w:cs="Tahoma"/>
          <w:b/>
          <w:shadow/>
        </w:rPr>
        <w:t>LA SALA RESUELVE:</w:t>
      </w:r>
    </w:p>
    <w:p w:rsidR="008F015B" w:rsidRPr="00D72BA4" w:rsidRDefault="008F015B" w:rsidP="008F015B">
      <w:pPr>
        <w:jc w:val="both"/>
        <w:rPr>
          <w:rFonts w:ascii="Tahoma" w:hAnsi="Tahoma" w:cs="Tahoma"/>
        </w:rPr>
      </w:pPr>
    </w:p>
    <w:p w:rsidR="008F015B" w:rsidRPr="00D72BA4" w:rsidRDefault="008F015B" w:rsidP="008F015B">
      <w:pPr>
        <w:numPr>
          <w:ilvl w:val="1"/>
          <w:numId w:val="3"/>
        </w:numPr>
        <w:tabs>
          <w:tab w:val="clear" w:pos="1440"/>
          <w:tab w:val="num" w:pos="540"/>
        </w:tabs>
        <w:ind w:left="540" w:hanging="540"/>
        <w:jc w:val="both"/>
        <w:rPr>
          <w:rFonts w:ascii="Tahoma" w:hAnsi="Tahoma" w:cs="Tahoma"/>
        </w:rPr>
      </w:pPr>
      <w:r w:rsidRPr="00D72BA4">
        <w:rPr>
          <w:rFonts w:ascii="Tahoma" w:hAnsi="Tahoma" w:cs="Tahoma"/>
        </w:rPr>
        <w:t xml:space="preserve">Declarar Infundado el recurso de reconsideración, presentado por la empresa </w:t>
      </w:r>
      <w:proofErr w:type="spellStart"/>
      <w:r w:rsidRPr="00E1306B">
        <w:rPr>
          <w:rFonts w:ascii="Tahoma" w:hAnsi="Tahoma" w:cs="Tahoma"/>
          <w:b/>
        </w:rPr>
        <w:t>Ernst</w:t>
      </w:r>
      <w:proofErr w:type="spellEnd"/>
      <w:r w:rsidRPr="00E1306B">
        <w:rPr>
          <w:rFonts w:ascii="Tahoma" w:hAnsi="Tahoma" w:cs="Tahoma"/>
          <w:b/>
        </w:rPr>
        <w:t xml:space="preserve"> &amp; Young S. Civil de R. L.</w:t>
      </w:r>
      <w:r w:rsidRPr="00D72BA4">
        <w:rPr>
          <w:rFonts w:ascii="Tahoma" w:hAnsi="Tahoma" w:cs="Tahoma"/>
        </w:rPr>
        <w:t>, por los fundamentos expuestos.</w:t>
      </w:r>
    </w:p>
    <w:p w:rsidR="008F015B" w:rsidRPr="00D72BA4" w:rsidRDefault="008F015B" w:rsidP="008F015B">
      <w:pPr>
        <w:jc w:val="both"/>
        <w:rPr>
          <w:rFonts w:ascii="Tahoma" w:hAnsi="Tahoma" w:cs="Tahoma"/>
        </w:rPr>
      </w:pPr>
    </w:p>
    <w:p w:rsidR="008F015B" w:rsidRPr="00D72BA4" w:rsidRDefault="008F015B" w:rsidP="008F015B">
      <w:pPr>
        <w:numPr>
          <w:ilvl w:val="1"/>
          <w:numId w:val="3"/>
        </w:numPr>
        <w:tabs>
          <w:tab w:val="clear" w:pos="1440"/>
          <w:tab w:val="num" w:pos="540"/>
        </w:tabs>
        <w:ind w:left="540" w:hanging="540"/>
        <w:jc w:val="both"/>
        <w:rPr>
          <w:rFonts w:ascii="Tahoma" w:hAnsi="Tahoma" w:cs="Tahoma"/>
        </w:rPr>
      </w:pPr>
      <w:r w:rsidRPr="00D72BA4">
        <w:rPr>
          <w:rFonts w:ascii="Tahoma" w:hAnsi="Tahoma" w:cs="Tahoma"/>
        </w:rPr>
        <w:t>Dar por agotada la vía administrativa.</w:t>
      </w:r>
    </w:p>
    <w:p w:rsidR="008F015B" w:rsidRPr="00B162F9" w:rsidRDefault="008F015B" w:rsidP="008F015B">
      <w:pPr>
        <w:pStyle w:val="Textoindependiente"/>
        <w:widowControl/>
        <w:suppressAutoHyphens w:val="0"/>
        <w:rPr>
          <w:rFonts w:cs="Tahoma"/>
          <w:sz w:val="20"/>
          <w:lang w:val="es-ES"/>
        </w:rPr>
      </w:pPr>
    </w:p>
    <w:p w:rsidR="008F015B" w:rsidRPr="008D008A" w:rsidRDefault="008F015B" w:rsidP="008F015B">
      <w:pPr>
        <w:pStyle w:val="BodyText2"/>
        <w:rPr>
          <w:rFonts w:cs="Tahoma"/>
          <w:sz w:val="20"/>
        </w:rPr>
      </w:pPr>
      <w:r w:rsidRPr="008D008A">
        <w:rPr>
          <w:rFonts w:cs="Tahoma"/>
          <w:sz w:val="20"/>
        </w:rPr>
        <w:t>Regístrese, comuníquese y publíquese.</w:t>
      </w:r>
    </w:p>
    <w:p w:rsidR="008F015B" w:rsidRPr="008D008A" w:rsidRDefault="008F015B" w:rsidP="008F015B">
      <w:pPr>
        <w:jc w:val="center"/>
        <w:rPr>
          <w:rFonts w:ascii="Tahoma" w:hAnsi="Tahoma" w:cs="Tahoma"/>
          <w:b/>
          <w:lang w:val="es-ES_tradnl"/>
        </w:rPr>
      </w:pPr>
    </w:p>
    <w:p w:rsidR="008F015B" w:rsidRPr="008D008A" w:rsidRDefault="008F015B" w:rsidP="008F015B">
      <w:pPr>
        <w:jc w:val="center"/>
        <w:rPr>
          <w:rFonts w:ascii="Tahoma" w:hAnsi="Tahoma" w:cs="Tahoma"/>
          <w:b/>
          <w:lang w:val="es-ES_tradnl"/>
        </w:rPr>
      </w:pPr>
    </w:p>
    <w:p w:rsidR="008F015B" w:rsidRDefault="008F015B" w:rsidP="008F015B">
      <w:pPr>
        <w:jc w:val="center"/>
        <w:rPr>
          <w:rFonts w:ascii="Tahoma" w:hAnsi="Tahoma" w:cs="Tahoma"/>
          <w:b/>
          <w:lang w:val="es-ES_tradnl"/>
        </w:rPr>
      </w:pPr>
    </w:p>
    <w:p w:rsidR="008F015B" w:rsidRPr="008D008A" w:rsidRDefault="008F015B" w:rsidP="008F015B">
      <w:pPr>
        <w:jc w:val="center"/>
        <w:rPr>
          <w:rFonts w:ascii="Tahoma" w:hAnsi="Tahoma" w:cs="Tahoma"/>
          <w:b/>
          <w:lang w:val="es-ES_tradnl"/>
        </w:rPr>
      </w:pPr>
    </w:p>
    <w:p w:rsidR="008F015B" w:rsidRPr="008D008A" w:rsidRDefault="008F015B" w:rsidP="008F015B">
      <w:pPr>
        <w:jc w:val="center"/>
        <w:rPr>
          <w:rFonts w:ascii="Tahoma" w:hAnsi="Tahoma" w:cs="Tahoma"/>
          <w:b/>
          <w:shadow/>
          <w:lang w:val="pt-BR"/>
        </w:rPr>
      </w:pPr>
      <w:r w:rsidRPr="008D008A">
        <w:rPr>
          <w:rFonts w:ascii="Tahoma" w:hAnsi="Tahoma" w:cs="Tahoma"/>
          <w:b/>
          <w:shadow/>
          <w:lang w:val="pt-BR"/>
        </w:rPr>
        <w:t>PRESIDENTE</w:t>
      </w:r>
    </w:p>
    <w:p w:rsidR="008F015B" w:rsidRPr="008D008A" w:rsidRDefault="008F015B" w:rsidP="008F015B">
      <w:pPr>
        <w:jc w:val="center"/>
        <w:rPr>
          <w:rFonts w:ascii="Tahoma" w:hAnsi="Tahoma" w:cs="Tahoma"/>
          <w:b/>
          <w:shadow/>
          <w:lang w:val="pt-BR"/>
        </w:rPr>
      </w:pPr>
    </w:p>
    <w:p w:rsidR="008F015B" w:rsidRPr="008D008A" w:rsidRDefault="008F015B" w:rsidP="008F015B">
      <w:pPr>
        <w:jc w:val="center"/>
        <w:rPr>
          <w:rFonts w:ascii="Tahoma" w:hAnsi="Tahoma" w:cs="Tahoma"/>
          <w:b/>
          <w:shadow/>
          <w:lang w:val="pt-BR"/>
        </w:rPr>
      </w:pPr>
    </w:p>
    <w:p w:rsidR="008F015B" w:rsidRPr="008D008A" w:rsidRDefault="008F015B" w:rsidP="008F015B">
      <w:pPr>
        <w:jc w:val="center"/>
        <w:rPr>
          <w:rFonts w:ascii="Tahoma" w:hAnsi="Tahoma" w:cs="Tahoma"/>
          <w:b/>
          <w:shadow/>
          <w:lang w:val="pt-BR"/>
        </w:rPr>
      </w:pPr>
    </w:p>
    <w:p w:rsidR="008F015B" w:rsidRPr="008D008A" w:rsidRDefault="008F015B" w:rsidP="008F015B">
      <w:pPr>
        <w:jc w:val="center"/>
        <w:rPr>
          <w:rFonts w:ascii="Tahoma" w:hAnsi="Tahoma" w:cs="Tahoma"/>
          <w:b/>
          <w:shadow/>
          <w:lang w:val="pt-BR"/>
        </w:rPr>
      </w:pPr>
    </w:p>
    <w:p w:rsidR="008F015B" w:rsidRPr="008D008A" w:rsidRDefault="008F015B" w:rsidP="008F015B">
      <w:pPr>
        <w:jc w:val="center"/>
        <w:rPr>
          <w:rFonts w:ascii="Tahoma" w:hAnsi="Tahoma" w:cs="Tahoma"/>
          <w:b/>
          <w:shadow/>
          <w:lang w:val="pt-BR"/>
        </w:rPr>
      </w:pPr>
    </w:p>
    <w:p w:rsidR="008F015B" w:rsidRPr="008D008A" w:rsidRDefault="008F015B" w:rsidP="008F015B">
      <w:pPr>
        <w:ind w:left="708"/>
        <w:jc w:val="both"/>
        <w:rPr>
          <w:rFonts w:ascii="Tahoma" w:hAnsi="Tahoma" w:cs="Tahoma"/>
          <w:b/>
          <w:shadow/>
          <w:lang w:val="pt-BR"/>
        </w:rPr>
      </w:pPr>
      <w:r w:rsidRPr="008D008A">
        <w:rPr>
          <w:rFonts w:ascii="Tahoma" w:hAnsi="Tahoma" w:cs="Tahoma"/>
          <w:b/>
          <w:shadow/>
          <w:lang w:val="pt-BR"/>
        </w:rPr>
        <w:t xml:space="preserve"> VOCAL           </w:t>
      </w:r>
      <w:r w:rsidRPr="008D008A">
        <w:rPr>
          <w:rFonts w:ascii="Tahoma" w:hAnsi="Tahoma" w:cs="Tahoma"/>
          <w:b/>
          <w:shadow/>
          <w:lang w:val="pt-BR"/>
        </w:rPr>
        <w:tab/>
      </w:r>
      <w:r w:rsidRPr="008D008A">
        <w:rPr>
          <w:rFonts w:ascii="Tahoma" w:hAnsi="Tahoma" w:cs="Tahoma"/>
          <w:b/>
          <w:shadow/>
          <w:lang w:val="pt-BR"/>
        </w:rPr>
        <w:tab/>
        <w:t xml:space="preserve">                                                                    VOCAL</w:t>
      </w:r>
    </w:p>
    <w:p w:rsidR="008F015B" w:rsidRDefault="008F015B" w:rsidP="008F015B">
      <w:pPr>
        <w:ind w:firstLine="708"/>
        <w:rPr>
          <w:rFonts w:ascii="Tahoma" w:hAnsi="Tahoma" w:cs="Tahoma"/>
          <w:b/>
          <w:shadow/>
          <w:lang w:val="pt-BR"/>
        </w:rPr>
      </w:pPr>
    </w:p>
    <w:p w:rsidR="008F015B" w:rsidRPr="008D008A" w:rsidRDefault="008F015B" w:rsidP="008F015B">
      <w:pPr>
        <w:ind w:firstLine="708"/>
        <w:rPr>
          <w:rFonts w:ascii="Tahoma" w:hAnsi="Tahoma" w:cs="Tahoma"/>
          <w:b/>
          <w:shadow/>
          <w:lang w:val="pt-BR"/>
        </w:rPr>
      </w:pPr>
    </w:p>
    <w:p w:rsidR="008F015B" w:rsidRPr="00D5441B" w:rsidRDefault="008F015B" w:rsidP="008F015B">
      <w:pPr>
        <w:jc w:val="both"/>
        <w:rPr>
          <w:rFonts w:ascii="Tahoma" w:hAnsi="Tahoma" w:cs="Tahoma"/>
          <w:sz w:val="18"/>
          <w:szCs w:val="18"/>
          <w:lang w:val="pt-BR"/>
        </w:rPr>
      </w:pPr>
      <w:proofErr w:type="gramStart"/>
      <w:r w:rsidRPr="00D5441B">
        <w:rPr>
          <w:rFonts w:ascii="Tahoma" w:hAnsi="Tahoma" w:cs="Tahoma"/>
          <w:sz w:val="18"/>
          <w:szCs w:val="18"/>
          <w:lang w:val="pt-BR"/>
        </w:rPr>
        <w:lastRenderedPageBreak/>
        <w:t>ss.</w:t>
      </w:r>
      <w:proofErr w:type="gramEnd"/>
    </w:p>
    <w:p w:rsidR="008F015B" w:rsidRPr="00D5441B" w:rsidRDefault="008F015B" w:rsidP="008F015B">
      <w:pPr>
        <w:pStyle w:val="BodyText2"/>
        <w:rPr>
          <w:rFonts w:cs="Tahoma"/>
          <w:sz w:val="18"/>
          <w:szCs w:val="18"/>
          <w:lang w:val="pt-BR"/>
        </w:rPr>
      </w:pPr>
      <w:proofErr w:type="spellStart"/>
      <w:r w:rsidRPr="00D5441B">
        <w:rPr>
          <w:rFonts w:cs="Tahoma"/>
          <w:sz w:val="18"/>
          <w:szCs w:val="18"/>
          <w:lang w:val="pt-BR"/>
        </w:rPr>
        <w:t>Valdivia</w:t>
      </w:r>
      <w:proofErr w:type="spellEnd"/>
      <w:r w:rsidRPr="00D5441B">
        <w:rPr>
          <w:rFonts w:cs="Tahoma"/>
          <w:sz w:val="18"/>
          <w:szCs w:val="18"/>
          <w:lang w:val="pt-BR"/>
        </w:rPr>
        <w:t xml:space="preserve"> </w:t>
      </w:r>
      <w:proofErr w:type="spellStart"/>
      <w:r w:rsidRPr="00D5441B">
        <w:rPr>
          <w:rFonts w:cs="Tahoma"/>
          <w:sz w:val="18"/>
          <w:szCs w:val="18"/>
          <w:lang w:val="pt-BR"/>
        </w:rPr>
        <w:t>Huaringa</w:t>
      </w:r>
      <w:proofErr w:type="spellEnd"/>
      <w:r w:rsidRPr="00D5441B">
        <w:rPr>
          <w:rFonts w:cs="Tahoma"/>
          <w:sz w:val="18"/>
          <w:szCs w:val="18"/>
          <w:lang w:val="pt-BR"/>
        </w:rPr>
        <w:t>.</w:t>
      </w:r>
    </w:p>
    <w:p w:rsidR="008F015B" w:rsidRPr="00D5441B" w:rsidRDefault="008F015B" w:rsidP="008F015B">
      <w:pPr>
        <w:pStyle w:val="BodyText2"/>
        <w:rPr>
          <w:rFonts w:cs="Tahoma"/>
          <w:sz w:val="18"/>
          <w:szCs w:val="18"/>
        </w:rPr>
      </w:pPr>
      <w:r w:rsidRPr="00D5441B">
        <w:rPr>
          <w:rFonts w:cs="Tahoma"/>
          <w:sz w:val="18"/>
          <w:szCs w:val="18"/>
        </w:rPr>
        <w:t xml:space="preserve">Ramírez </w:t>
      </w:r>
      <w:proofErr w:type="spellStart"/>
      <w:r w:rsidRPr="00D5441B">
        <w:rPr>
          <w:rFonts w:cs="Tahoma"/>
          <w:sz w:val="18"/>
          <w:szCs w:val="18"/>
        </w:rPr>
        <w:t>Maynetto</w:t>
      </w:r>
      <w:proofErr w:type="spellEnd"/>
      <w:r w:rsidRPr="00D5441B">
        <w:rPr>
          <w:rFonts w:cs="Tahoma"/>
          <w:sz w:val="18"/>
          <w:szCs w:val="18"/>
        </w:rPr>
        <w:t>.</w:t>
      </w:r>
    </w:p>
    <w:p w:rsidR="008F015B" w:rsidRPr="00D5441B" w:rsidRDefault="008F015B" w:rsidP="008F015B">
      <w:pPr>
        <w:pStyle w:val="BodyText2"/>
        <w:tabs>
          <w:tab w:val="left" w:pos="7740"/>
        </w:tabs>
        <w:rPr>
          <w:sz w:val="20"/>
        </w:rPr>
      </w:pPr>
      <w:r w:rsidRPr="00D5441B">
        <w:rPr>
          <w:sz w:val="20"/>
        </w:rPr>
        <w:t>Navas Rondón.</w:t>
      </w:r>
    </w:p>
    <w:p w:rsidR="00DD5730" w:rsidRDefault="0004361A"/>
    <w:sectPr w:rsidR="00DD5730" w:rsidSect="002F034D">
      <w:footerReference w:type="even" r:id="rId7"/>
      <w:footerReference w:type="default" r:id="rId8"/>
      <w:pgSz w:w="11907" w:h="16840" w:code="9"/>
      <w:pgMar w:top="3235" w:right="1107" w:bottom="125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15B" w:rsidRDefault="008F015B" w:rsidP="008F015B">
      <w:r>
        <w:separator/>
      </w:r>
    </w:p>
  </w:endnote>
  <w:endnote w:type="continuationSeparator" w:id="1">
    <w:p w:rsidR="008F015B" w:rsidRDefault="008F015B" w:rsidP="008F015B">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0E3" w:rsidRDefault="0004361A" w:rsidP="002F034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8430E3" w:rsidRDefault="0004361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0E3" w:rsidRPr="00864C03" w:rsidRDefault="0004361A">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8F015B">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8F015B">
      <w:rPr>
        <w:rStyle w:val="Nmerodepgina"/>
        <w:i/>
        <w:noProof/>
        <w:sz w:val="20"/>
      </w:rPr>
      <w:t>8</w:t>
    </w:r>
    <w:r w:rsidRPr="00864C03">
      <w:rPr>
        <w:rStyle w:val="Nmerodepgina"/>
        <w:i/>
        <w:sz w:val="20"/>
      </w:rPr>
      <w:fldChar w:fldCharType="end"/>
    </w:r>
  </w:p>
  <w:p w:rsidR="008430E3" w:rsidRDefault="0004361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15B" w:rsidRDefault="008F015B" w:rsidP="008F015B">
      <w:r>
        <w:separator/>
      </w:r>
    </w:p>
  </w:footnote>
  <w:footnote w:type="continuationSeparator" w:id="1">
    <w:p w:rsidR="008F015B" w:rsidRDefault="008F015B" w:rsidP="008F015B">
      <w:r>
        <w:continuationSeparator/>
      </w:r>
    </w:p>
  </w:footnote>
  <w:footnote w:id="2">
    <w:p w:rsidR="008F015B" w:rsidRPr="0098359B" w:rsidRDefault="008F015B" w:rsidP="008F015B">
      <w:pPr>
        <w:pStyle w:val="Textonotapie"/>
        <w:ind w:left="180" w:hanging="180"/>
        <w:jc w:val="both"/>
        <w:rPr>
          <w:rFonts w:ascii="Tahoma" w:hAnsi="Tahoma" w:cs="Tahoma"/>
          <w:sz w:val="16"/>
          <w:szCs w:val="16"/>
          <w:lang w:val="es-PE"/>
        </w:rPr>
      </w:pPr>
      <w:r w:rsidRPr="0098359B">
        <w:rPr>
          <w:rStyle w:val="Refdenotaalpie"/>
          <w:rFonts w:ascii="Tahoma" w:hAnsi="Tahoma" w:cs="Tahoma"/>
          <w:sz w:val="16"/>
          <w:szCs w:val="16"/>
        </w:rPr>
        <w:footnoteRef/>
      </w:r>
      <w:r w:rsidRPr="0098359B">
        <w:rPr>
          <w:rFonts w:ascii="Tahoma" w:hAnsi="Tahoma" w:cs="Tahoma"/>
          <w:b/>
          <w:sz w:val="16"/>
          <w:szCs w:val="16"/>
        </w:rPr>
        <w:t>“</w:t>
      </w:r>
      <w:r w:rsidRPr="0098359B">
        <w:rPr>
          <w:rFonts w:ascii="Tahoma" w:hAnsi="Tahoma" w:cs="Tahoma"/>
          <w:b/>
          <w:sz w:val="16"/>
          <w:szCs w:val="16"/>
          <w:lang w:val="es-PE"/>
        </w:rPr>
        <w:t>Artículo 306.- Recurso de Reconsideración.-</w:t>
      </w:r>
      <w:r w:rsidRPr="0098359B">
        <w:rPr>
          <w:rFonts w:ascii="Tahoma" w:hAnsi="Tahoma" w:cs="Tahoma"/>
          <w:sz w:val="16"/>
          <w:szCs w:val="16"/>
          <w:lang w:val="es-PE"/>
        </w:rPr>
        <w:t xml:space="preserve"> Contra lo resuelto por el Tribunal en un procedimiento sancionador podrá interponerse Recurso de Reconsideración dentro de los tres (3) días hábiles de notificada o publicada la respectiva resolución.</w:t>
      </w:r>
    </w:p>
    <w:p w:rsidR="008F015B" w:rsidRPr="0098359B" w:rsidRDefault="008F015B" w:rsidP="008F015B">
      <w:pPr>
        <w:pStyle w:val="Textonotapie"/>
        <w:ind w:left="180"/>
        <w:jc w:val="both"/>
        <w:rPr>
          <w:rFonts w:ascii="Tahoma" w:hAnsi="Tahoma" w:cs="Tahoma"/>
          <w:sz w:val="16"/>
          <w:szCs w:val="16"/>
        </w:rPr>
      </w:pPr>
      <w:r w:rsidRPr="0098359B">
        <w:rPr>
          <w:rFonts w:ascii="Tahoma" w:hAnsi="Tahoma" w:cs="Tahoma"/>
          <w:sz w:val="16"/>
          <w:szCs w:val="16"/>
          <w:lang w:val="es-PE"/>
        </w:rPr>
        <w:t>El tribunal resolverá dentro del plazo de quince (15) días hábiles; contra esta decisión procede la acción contencioso administrativa ante el Poder Judicial.”</w:t>
      </w:r>
    </w:p>
  </w:footnote>
  <w:footnote w:id="3">
    <w:p w:rsidR="008F015B" w:rsidRPr="009B4C4E" w:rsidRDefault="008F015B" w:rsidP="008F015B">
      <w:pPr>
        <w:pStyle w:val="Textonotapie"/>
        <w:rPr>
          <w:rFonts w:ascii="Tahoma" w:hAnsi="Tahoma" w:cs="Tahoma"/>
          <w:sz w:val="16"/>
          <w:szCs w:val="16"/>
        </w:rPr>
      </w:pPr>
      <w:r w:rsidRPr="009B4C4E">
        <w:rPr>
          <w:rStyle w:val="Refdenotaalpie"/>
          <w:rFonts w:ascii="Tahoma" w:hAnsi="Tahoma" w:cs="Tahoma"/>
          <w:sz w:val="16"/>
          <w:szCs w:val="16"/>
        </w:rPr>
        <w:footnoteRef/>
      </w:r>
      <w:r w:rsidRPr="009B4C4E">
        <w:rPr>
          <w:rFonts w:ascii="Tahoma" w:hAnsi="Tahoma" w:cs="Tahoma"/>
          <w:sz w:val="16"/>
          <w:szCs w:val="16"/>
        </w:rPr>
        <w:t xml:space="preserve"> Documento obrante  a fojas </w:t>
      </w:r>
      <w:r>
        <w:rPr>
          <w:rFonts w:ascii="Tahoma" w:hAnsi="Tahoma" w:cs="Tahoma"/>
          <w:sz w:val="16"/>
          <w:szCs w:val="16"/>
        </w:rPr>
        <w:t>621</w:t>
      </w:r>
      <w:r w:rsidRPr="009B4C4E">
        <w:rPr>
          <w:rFonts w:ascii="Tahoma" w:hAnsi="Tahoma" w:cs="Tahoma"/>
          <w:sz w:val="16"/>
          <w:szCs w:val="16"/>
        </w:rPr>
        <w:t xml:space="preserve"> del expediente administrativo.</w:t>
      </w:r>
    </w:p>
  </w:footnote>
  <w:footnote w:id="4">
    <w:p w:rsidR="008F015B" w:rsidRDefault="008F015B" w:rsidP="008F015B">
      <w:pPr>
        <w:pStyle w:val="Textonotapie"/>
        <w:rPr>
          <w:rFonts w:ascii="Tahoma" w:hAnsi="Tahoma" w:cs="Tahoma"/>
          <w:b/>
          <w:sz w:val="16"/>
          <w:szCs w:val="16"/>
        </w:rPr>
      </w:pPr>
      <w:r>
        <w:rPr>
          <w:rStyle w:val="Refdenotaalpie"/>
        </w:rPr>
        <w:footnoteRef/>
      </w:r>
      <w:r>
        <w:t xml:space="preserve"> </w:t>
      </w:r>
      <w:r w:rsidRPr="009E006B">
        <w:rPr>
          <w:rFonts w:ascii="Tahoma" w:hAnsi="Tahoma" w:cs="Tahoma"/>
          <w:b/>
          <w:sz w:val="16"/>
          <w:szCs w:val="16"/>
        </w:rPr>
        <w:t xml:space="preserve">Artículo 209.- </w:t>
      </w:r>
      <w:r>
        <w:rPr>
          <w:rFonts w:ascii="Tahoma" w:hAnsi="Tahoma" w:cs="Tahoma"/>
          <w:b/>
          <w:sz w:val="16"/>
          <w:szCs w:val="16"/>
        </w:rPr>
        <w:t>Determinación gradual de la sanción.-</w:t>
      </w:r>
    </w:p>
    <w:p w:rsidR="008F015B" w:rsidRPr="005454E0" w:rsidRDefault="008F015B" w:rsidP="008F015B">
      <w:pPr>
        <w:pStyle w:val="Textonotapie"/>
        <w:rPr>
          <w:rFonts w:ascii="Tahoma" w:hAnsi="Tahoma" w:cs="Tahoma"/>
          <w:sz w:val="16"/>
          <w:szCs w:val="16"/>
        </w:rPr>
      </w:pPr>
      <w:r w:rsidRPr="005454E0">
        <w:rPr>
          <w:rFonts w:ascii="Tahoma" w:hAnsi="Tahoma" w:cs="Tahoma"/>
          <w:sz w:val="16"/>
          <w:szCs w:val="16"/>
        </w:rPr>
        <w:t>Para graduar la sanción a imponerse se considerarán los siguientes criterios:</w:t>
      </w:r>
    </w:p>
    <w:p w:rsidR="008F015B" w:rsidRPr="005454E0" w:rsidRDefault="008F015B" w:rsidP="008F015B">
      <w:pPr>
        <w:pStyle w:val="Textonotapie"/>
        <w:rPr>
          <w:rFonts w:ascii="Tahoma" w:hAnsi="Tahoma" w:cs="Tahoma"/>
          <w:sz w:val="16"/>
          <w:szCs w:val="16"/>
        </w:rPr>
      </w:pPr>
      <w:r w:rsidRPr="005454E0">
        <w:rPr>
          <w:rFonts w:ascii="Tahoma" w:hAnsi="Tahoma" w:cs="Tahoma"/>
          <w:sz w:val="16"/>
          <w:szCs w:val="16"/>
        </w:rPr>
        <w:t>1.- Naturaleza de la infracción</w:t>
      </w:r>
    </w:p>
    <w:p w:rsidR="008F015B" w:rsidRPr="005454E0" w:rsidRDefault="008F015B" w:rsidP="008F015B">
      <w:pPr>
        <w:pStyle w:val="Textonotapie"/>
        <w:rPr>
          <w:rFonts w:ascii="Tahoma" w:hAnsi="Tahoma" w:cs="Tahoma"/>
          <w:sz w:val="16"/>
          <w:szCs w:val="16"/>
        </w:rPr>
      </w:pPr>
      <w:r w:rsidRPr="005454E0">
        <w:rPr>
          <w:rFonts w:ascii="Tahoma" w:hAnsi="Tahoma" w:cs="Tahoma"/>
          <w:sz w:val="16"/>
          <w:szCs w:val="16"/>
        </w:rPr>
        <w:t>2.-Intencionalidad del infractor</w:t>
      </w:r>
    </w:p>
    <w:p w:rsidR="008F015B" w:rsidRPr="005454E0" w:rsidRDefault="008F015B" w:rsidP="008F015B">
      <w:pPr>
        <w:pStyle w:val="Textonotapie"/>
        <w:rPr>
          <w:rFonts w:ascii="Tahoma" w:hAnsi="Tahoma" w:cs="Tahoma"/>
          <w:sz w:val="16"/>
          <w:szCs w:val="16"/>
        </w:rPr>
      </w:pPr>
      <w:r w:rsidRPr="005454E0">
        <w:rPr>
          <w:rFonts w:ascii="Tahoma" w:hAnsi="Tahoma" w:cs="Tahoma"/>
          <w:sz w:val="16"/>
          <w:szCs w:val="16"/>
        </w:rPr>
        <w:t>3.-Daño causado</w:t>
      </w:r>
    </w:p>
    <w:p w:rsidR="008F015B" w:rsidRPr="005454E0" w:rsidRDefault="008F015B" w:rsidP="008F015B">
      <w:pPr>
        <w:pStyle w:val="Textonotapie"/>
        <w:rPr>
          <w:rFonts w:ascii="Tahoma" w:hAnsi="Tahoma" w:cs="Tahoma"/>
          <w:sz w:val="16"/>
          <w:szCs w:val="16"/>
        </w:rPr>
      </w:pPr>
      <w:r w:rsidRPr="005454E0">
        <w:rPr>
          <w:rFonts w:ascii="Tahoma" w:hAnsi="Tahoma" w:cs="Tahoma"/>
          <w:sz w:val="16"/>
          <w:szCs w:val="16"/>
        </w:rPr>
        <w:t xml:space="preserve">4.- </w:t>
      </w:r>
      <w:proofErr w:type="spellStart"/>
      <w:r w:rsidRPr="005454E0">
        <w:rPr>
          <w:rFonts w:ascii="Tahoma" w:hAnsi="Tahoma" w:cs="Tahoma"/>
          <w:sz w:val="16"/>
          <w:szCs w:val="16"/>
        </w:rPr>
        <w:t>Reiterancia</w:t>
      </w:r>
      <w:proofErr w:type="spellEnd"/>
    </w:p>
    <w:p w:rsidR="008F015B" w:rsidRPr="005454E0" w:rsidRDefault="008F015B" w:rsidP="008F015B">
      <w:pPr>
        <w:pStyle w:val="Textonotapie"/>
        <w:rPr>
          <w:rFonts w:ascii="Tahoma" w:hAnsi="Tahoma" w:cs="Tahoma"/>
          <w:sz w:val="16"/>
          <w:szCs w:val="16"/>
        </w:rPr>
      </w:pPr>
      <w:r w:rsidRPr="005454E0">
        <w:rPr>
          <w:rFonts w:ascii="Tahoma" w:hAnsi="Tahoma" w:cs="Tahoma"/>
          <w:sz w:val="16"/>
          <w:szCs w:val="16"/>
        </w:rPr>
        <w:t>5.-El reconocimiento de la infracción cometida antes de que sea detectada</w:t>
      </w:r>
    </w:p>
    <w:p w:rsidR="008F015B" w:rsidRPr="005454E0" w:rsidRDefault="008F015B" w:rsidP="008F015B">
      <w:pPr>
        <w:pStyle w:val="Textonotapie"/>
        <w:rPr>
          <w:rFonts w:ascii="Tahoma" w:hAnsi="Tahoma" w:cs="Tahoma"/>
          <w:sz w:val="16"/>
          <w:szCs w:val="16"/>
        </w:rPr>
      </w:pPr>
      <w:r w:rsidRPr="005454E0">
        <w:rPr>
          <w:rFonts w:ascii="Tahoma" w:hAnsi="Tahoma" w:cs="Tahoma"/>
          <w:sz w:val="16"/>
          <w:szCs w:val="16"/>
        </w:rPr>
        <w:t>6.- Circunstancias de tiempo, lugar y modo.</w:t>
      </w:r>
    </w:p>
    <w:p w:rsidR="008F015B" w:rsidRPr="005454E0" w:rsidRDefault="008F015B" w:rsidP="008F015B">
      <w:pPr>
        <w:pStyle w:val="Textonotapie"/>
        <w:rPr>
          <w:rFonts w:ascii="Tahoma" w:hAnsi="Tahoma" w:cs="Tahoma"/>
          <w:sz w:val="16"/>
          <w:szCs w:val="16"/>
        </w:rPr>
      </w:pPr>
      <w:r w:rsidRPr="005454E0">
        <w:rPr>
          <w:rFonts w:ascii="Tahoma" w:hAnsi="Tahoma" w:cs="Tahoma"/>
          <w:sz w:val="16"/>
          <w:szCs w:val="16"/>
        </w:rPr>
        <w:t>7.- Condiciones del Infractor</w:t>
      </w:r>
    </w:p>
    <w:p w:rsidR="008F015B" w:rsidRDefault="008F015B" w:rsidP="008F015B">
      <w:pPr>
        <w:pStyle w:val="Textonotapie"/>
      </w:pPr>
      <w:r w:rsidRPr="005454E0">
        <w:rPr>
          <w:rFonts w:ascii="Tahoma" w:hAnsi="Tahoma" w:cs="Tahoma"/>
          <w:sz w:val="16"/>
          <w:szCs w:val="16"/>
        </w:rPr>
        <w:t>8.-Conducta procesal del infractor.</w:t>
      </w:r>
    </w:p>
  </w:footnote>
  <w:footnote w:id="5">
    <w:p w:rsidR="008F015B" w:rsidRDefault="008F015B" w:rsidP="008F015B">
      <w:pPr>
        <w:pStyle w:val="Textonotapie"/>
        <w:rPr>
          <w:b/>
        </w:rPr>
      </w:pPr>
      <w:r>
        <w:rPr>
          <w:rStyle w:val="Refdenotaalpie"/>
        </w:rPr>
        <w:footnoteRef/>
      </w:r>
      <w:r>
        <w:t xml:space="preserve"> </w:t>
      </w:r>
      <w:r w:rsidRPr="00C967F1">
        <w:rPr>
          <w:b/>
        </w:rPr>
        <w:t>Artículo 205.-</w:t>
      </w:r>
      <w:r>
        <w:rPr>
          <w:b/>
        </w:rPr>
        <w:t xml:space="preserve"> Causales de imposición de sanción a los proveedores, postores y contratistas.-</w:t>
      </w:r>
    </w:p>
    <w:p w:rsidR="008F015B" w:rsidRPr="00BB365C" w:rsidRDefault="008F015B" w:rsidP="008F015B">
      <w:pPr>
        <w:pStyle w:val="Textonotapie"/>
        <w:rPr>
          <w:rFonts w:ascii="Tahoma" w:hAnsi="Tahoma" w:cs="Tahoma"/>
          <w:sz w:val="16"/>
          <w:szCs w:val="16"/>
        </w:rPr>
      </w:pPr>
      <w:r w:rsidRPr="00BB365C">
        <w:rPr>
          <w:rFonts w:ascii="Tahoma" w:hAnsi="Tahoma" w:cs="Tahoma"/>
          <w:sz w:val="16"/>
          <w:szCs w:val="16"/>
        </w:rPr>
        <w:t>El Tribunal impondrá la sanción administrativa de suspensión o inhabilitación a los proveedores, postores y/o contratistas que:</w:t>
      </w:r>
    </w:p>
    <w:p w:rsidR="008F015B" w:rsidRPr="00BB365C" w:rsidRDefault="008F015B" w:rsidP="008F015B">
      <w:pPr>
        <w:pStyle w:val="Textonotapie"/>
        <w:rPr>
          <w:rFonts w:ascii="Tahoma" w:hAnsi="Tahoma" w:cs="Tahoma"/>
          <w:sz w:val="16"/>
          <w:szCs w:val="16"/>
        </w:rPr>
      </w:pPr>
      <w:r w:rsidRPr="00BB365C">
        <w:rPr>
          <w:rFonts w:ascii="Tahoma" w:hAnsi="Tahoma" w:cs="Tahoma"/>
          <w:sz w:val="16"/>
          <w:szCs w:val="16"/>
        </w:rPr>
        <w:t>(…) b) Incumplan injustificadamente con las obligaciones derivadas del contrato, dando lugar a que éste se les resuelva de conformidad con el artículo 143; (…)</w:t>
      </w:r>
    </w:p>
    <w:p w:rsidR="008F015B" w:rsidRPr="00BB365C" w:rsidRDefault="008F015B" w:rsidP="008F015B">
      <w:pPr>
        <w:pStyle w:val="Textonotapie"/>
        <w:rPr>
          <w:rFonts w:ascii="Tahoma" w:hAnsi="Tahoma" w:cs="Tahoma"/>
          <w:sz w:val="16"/>
          <w:szCs w:val="16"/>
        </w:rPr>
      </w:pPr>
      <w:r w:rsidRPr="00BB365C">
        <w:rPr>
          <w:rFonts w:ascii="Tahoma" w:hAnsi="Tahoma" w:cs="Tahoma"/>
          <w:sz w:val="16"/>
          <w:szCs w:val="16"/>
        </w:rPr>
        <w:t>(…)Los proveedores, postores o contratistas que incurran en las causales establecidas  en los incisos a), b) y g) precedentes serán sancionados con suspensión de contratar con el Estado por un periodo no menor a un (01) año ni mayor de dos (02) años.</w:t>
      </w:r>
    </w:p>
    <w:p w:rsidR="008F015B" w:rsidRPr="00BB365C" w:rsidRDefault="008F015B" w:rsidP="008F015B">
      <w:pPr>
        <w:pStyle w:val="Textonotapie"/>
        <w:rPr>
          <w:rFonts w:ascii="Tahoma" w:hAnsi="Tahoma" w:cs="Tahoma"/>
          <w:sz w:val="16"/>
          <w:szCs w:val="16"/>
        </w:rPr>
      </w:pPr>
      <w:r w:rsidRPr="00BB365C">
        <w:rPr>
          <w:rFonts w:ascii="Tahoma" w:hAnsi="Tahoma" w:cs="Tahoma"/>
          <w:sz w:val="16"/>
          <w:szCs w:val="16"/>
        </w:rPr>
        <w:t>La imposición de las sanciones es independiente de la responsabilidad civil o penal que pueda originarse de las infracciones cometidas.</w:t>
      </w:r>
    </w:p>
  </w:footnote>
  <w:footnote w:id="6">
    <w:p w:rsidR="008F015B" w:rsidRDefault="008F015B" w:rsidP="008F015B">
      <w:pPr>
        <w:pStyle w:val="Textonotapie"/>
        <w:jc w:val="both"/>
        <w:rPr>
          <w:rFonts w:ascii="Tahoma" w:hAnsi="Tahoma" w:cs="Tahoma"/>
          <w:b/>
          <w:sz w:val="16"/>
          <w:szCs w:val="16"/>
        </w:rPr>
      </w:pPr>
      <w:r>
        <w:rPr>
          <w:rStyle w:val="Refdenotaalpie"/>
        </w:rPr>
        <w:footnoteRef/>
      </w:r>
      <w:r>
        <w:t xml:space="preserve"> </w:t>
      </w:r>
      <w:r>
        <w:rPr>
          <w:rFonts w:ascii="Tahoma" w:hAnsi="Tahoma" w:cs="Tahoma"/>
          <w:b/>
          <w:sz w:val="16"/>
          <w:szCs w:val="16"/>
        </w:rPr>
        <w:t>Artículo 230.- Principios de la potestad sancionadora administrativa</w:t>
      </w:r>
    </w:p>
    <w:p w:rsidR="008F015B" w:rsidRDefault="008F015B" w:rsidP="008F015B">
      <w:pPr>
        <w:pStyle w:val="Textonotapie"/>
        <w:jc w:val="both"/>
        <w:rPr>
          <w:rFonts w:ascii="Tahoma" w:hAnsi="Tahoma" w:cs="Tahoma"/>
          <w:sz w:val="16"/>
          <w:szCs w:val="16"/>
        </w:rPr>
      </w:pPr>
      <w:r>
        <w:rPr>
          <w:rFonts w:ascii="Tahoma" w:hAnsi="Tahoma" w:cs="Tahoma"/>
          <w:sz w:val="16"/>
          <w:szCs w:val="16"/>
        </w:rPr>
        <w:t>La potestad sancionadora de todas las Entidades está regida adicionalmente por los siguientes principios especiales:</w:t>
      </w:r>
    </w:p>
    <w:p w:rsidR="008F015B" w:rsidRPr="00E04D26" w:rsidRDefault="008F015B" w:rsidP="008F015B">
      <w:pPr>
        <w:pStyle w:val="Textonotapie"/>
        <w:jc w:val="both"/>
        <w:rPr>
          <w:rFonts w:ascii="Tahoma" w:hAnsi="Tahoma" w:cs="Tahoma"/>
          <w:sz w:val="16"/>
          <w:szCs w:val="16"/>
        </w:rPr>
      </w:pPr>
      <w:r>
        <w:rPr>
          <w:rFonts w:ascii="Tahoma" w:hAnsi="Tahoma" w:cs="Tahoma"/>
          <w:sz w:val="16"/>
          <w:szCs w:val="16"/>
        </w:rPr>
        <w:t xml:space="preserve">(…) </w:t>
      </w:r>
      <w:r>
        <w:rPr>
          <w:rFonts w:ascii="Tahoma" w:hAnsi="Tahoma" w:cs="Tahoma"/>
          <w:b/>
          <w:sz w:val="16"/>
          <w:szCs w:val="16"/>
        </w:rPr>
        <w:t>3.- Razonabilidad</w:t>
      </w:r>
      <w:r>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27ACF"/>
    <w:multiLevelType w:val="hybridMultilevel"/>
    <w:tmpl w:val="AACAAA2E"/>
    <w:lvl w:ilvl="0" w:tplc="26A028C4">
      <w:start w:val="5"/>
      <w:numFmt w:val="decimal"/>
      <w:lvlText w:val="%1."/>
      <w:lvlJc w:val="left"/>
      <w:pPr>
        <w:tabs>
          <w:tab w:val="num" w:pos="454"/>
        </w:tabs>
        <w:ind w:left="454" w:hanging="454"/>
      </w:pPr>
      <w:rPr>
        <w:rFonts w:ascii="Tahoma" w:hAnsi="Tahoma" w:cs="Tahoma" w:hint="default"/>
        <w:b/>
        <w:i w:val="0"/>
        <w:shadow/>
        <w:sz w:val="20"/>
        <w:szCs w:val="20"/>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2D5557A8"/>
    <w:multiLevelType w:val="hybridMultilevel"/>
    <w:tmpl w:val="3A74C5B0"/>
    <w:lvl w:ilvl="0" w:tplc="6A4693D8">
      <w:start w:val="4"/>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
    <w:nsid w:val="523C18B4"/>
    <w:multiLevelType w:val="hybridMultilevel"/>
    <w:tmpl w:val="97145A16"/>
    <w:lvl w:ilvl="0" w:tplc="D6DC4EF0">
      <w:start w:val="1"/>
      <w:numFmt w:val="lowerRoman"/>
      <w:lvlText w:val="(%1)"/>
      <w:lvlJc w:val="left"/>
      <w:pPr>
        <w:tabs>
          <w:tab w:val="num" w:pos="1134"/>
        </w:tabs>
        <w:ind w:left="1134" w:hanging="680"/>
      </w:pPr>
      <w:rPr>
        <w:rFonts w:ascii="Bookman Old Style" w:hAnsi="Bookman Old Style" w:hint="default"/>
        <w:b/>
        <w:i w:val="0"/>
        <w:shadow/>
        <w:emboss w:val="0"/>
        <w:imprint w:val="0"/>
        <w:color w:val="auto"/>
        <w:sz w:val="20"/>
        <w:szCs w:val="20"/>
      </w:rPr>
    </w:lvl>
    <w:lvl w:ilvl="1" w:tplc="91586B28">
      <w:start w:val="1"/>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57046D87"/>
    <w:multiLevelType w:val="hybridMultilevel"/>
    <w:tmpl w:val="19B2382A"/>
    <w:lvl w:ilvl="0" w:tplc="07E2E712">
      <w:start w:val="1"/>
      <w:numFmt w:val="decimal"/>
      <w:lvlText w:val="%1."/>
      <w:lvlJc w:val="left"/>
      <w:pPr>
        <w:tabs>
          <w:tab w:val="num" w:pos="454"/>
        </w:tabs>
        <w:ind w:left="454" w:hanging="454"/>
      </w:pPr>
      <w:rPr>
        <w:rFonts w:ascii="Tahoma" w:hAnsi="Tahoma" w:cs="Tahoma" w:hint="default"/>
        <w:b w:val="0"/>
        <w:i w:val="0"/>
        <w:shadow/>
        <w:sz w:val="20"/>
        <w:szCs w:val="20"/>
        <w:u w:color="FFFFFF"/>
      </w:rPr>
    </w:lvl>
    <w:lvl w:ilvl="1" w:tplc="0C0A0019">
      <w:start w:val="1"/>
      <w:numFmt w:val="lowerLetter"/>
      <w:lvlText w:val="%2."/>
      <w:lvlJc w:val="left"/>
      <w:pPr>
        <w:tabs>
          <w:tab w:val="num" w:pos="1440"/>
        </w:tabs>
        <w:ind w:left="1440" w:hanging="360"/>
      </w:pPr>
    </w:lvl>
    <w:lvl w:ilvl="2" w:tplc="FEE8C6A8">
      <w:start w:val="1"/>
      <w:numFmt w:val="lowerRoman"/>
      <w:lvlText w:val="(%3)"/>
      <w:lvlJc w:val="left"/>
      <w:pPr>
        <w:tabs>
          <w:tab w:val="num" w:pos="2700"/>
        </w:tabs>
        <w:ind w:left="2700" w:hanging="72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757426DC"/>
    <w:multiLevelType w:val="hybridMultilevel"/>
    <w:tmpl w:val="36A85DE0"/>
    <w:lvl w:ilvl="0" w:tplc="CEF65FBE">
      <w:start w:val="1"/>
      <w:numFmt w:val="decimal"/>
      <w:lvlText w:val="%1."/>
      <w:lvlJc w:val="left"/>
      <w:pPr>
        <w:tabs>
          <w:tab w:val="num" w:pos="720"/>
        </w:tabs>
        <w:ind w:left="720" w:hanging="360"/>
      </w:pPr>
      <w:rPr>
        <w:rFonts w:hint="default"/>
        <w:b w:val="0"/>
        <w:i w:val="0"/>
        <w:sz w:val="20"/>
        <w:szCs w:val="20"/>
      </w:rPr>
    </w:lvl>
    <w:lvl w:ilvl="1" w:tplc="1A80FE48">
      <w:start w:val="2"/>
      <w:numFmt w:val="bullet"/>
      <w:lvlText w:val=""/>
      <w:lvlJc w:val="left"/>
      <w:pPr>
        <w:tabs>
          <w:tab w:val="num" w:pos="1440"/>
        </w:tabs>
        <w:ind w:left="1440" w:hanging="360"/>
      </w:pPr>
      <w:rPr>
        <w:rFonts w:ascii="Symbol" w:eastAsia="Times New Roman" w:hAnsi="Symbol" w:cs="Tahoma" w:hint="default"/>
      </w:rPr>
    </w:lvl>
    <w:lvl w:ilvl="2" w:tplc="AAB2FEC0">
      <w:start w:val="1"/>
      <w:numFmt w:val="lowerRoman"/>
      <w:lvlText w:val="%3)"/>
      <w:lvlJc w:val="left"/>
      <w:pPr>
        <w:tabs>
          <w:tab w:val="num" w:pos="2700"/>
        </w:tabs>
        <w:ind w:left="2700" w:hanging="720"/>
      </w:pPr>
      <w:rPr>
        <w:rFonts w:hint="default"/>
      </w:rPr>
    </w:lvl>
    <w:lvl w:ilvl="3" w:tplc="AA7E519A">
      <w:start w:val="1"/>
      <w:numFmt w:val="lowerLetter"/>
      <w:lvlText w:val="%4)"/>
      <w:lvlJc w:val="left"/>
      <w:pPr>
        <w:tabs>
          <w:tab w:val="num" w:pos="2880"/>
        </w:tabs>
        <w:ind w:left="2880" w:hanging="360"/>
      </w:pPr>
      <w:rPr>
        <w:rFonts w:hint="default"/>
        <w:b w:val="0"/>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8F015B"/>
    <w:rsid w:val="0004361A"/>
    <w:rsid w:val="005F15D1"/>
    <w:rsid w:val="007C6351"/>
    <w:rsid w:val="00896EE1"/>
    <w:rsid w:val="008F015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15B"/>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F015B"/>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8F015B"/>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8F015B"/>
  </w:style>
  <w:style w:type="paragraph" w:styleId="Textoindependiente">
    <w:name w:val="Body Text"/>
    <w:basedOn w:val="Normal"/>
    <w:link w:val="TextoindependienteCar"/>
    <w:rsid w:val="008F015B"/>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8F015B"/>
    <w:rPr>
      <w:rFonts w:ascii="Tahoma" w:eastAsia="Times New Roman" w:hAnsi="Tahoma" w:cs="Times New Roman"/>
      <w:szCs w:val="20"/>
      <w:lang w:val="es-ES_tradnl" w:eastAsia="es-ES"/>
    </w:rPr>
  </w:style>
  <w:style w:type="paragraph" w:customStyle="1" w:styleId="BodyText2">
    <w:name w:val="Body Text 2"/>
    <w:basedOn w:val="Normal"/>
    <w:rsid w:val="008F015B"/>
    <w:pPr>
      <w:jc w:val="both"/>
    </w:pPr>
    <w:rPr>
      <w:rFonts w:ascii="Tahoma" w:hAnsi="Tahoma"/>
      <w:sz w:val="22"/>
    </w:rPr>
  </w:style>
  <w:style w:type="paragraph" w:styleId="Textoindependiente3">
    <w:name w:val="Body Text 3"/>
    <w:basedOn w:val="Normal"/>
    <w:link w:val="Textoindependiente3Car"/>
    <w:rsid w:val="008F015B"/>
    <w:pPr>
      <w:spacing w:after="120"/>
    </w:pPr>
    <w:rPr>
      <w:sz w:val="16"/>
      <w:szCs w:val="16"/>
      <w:lang w:val="es-PE"/>
    </w:rPr>
  </w:style>
  <w:style w:type="character" w:customStyle="1" w:styleId="Textoindependiente3Car">
    <w:name w:val="Texto independiente 3 Car"/>
    <w:basedOn w:val="Fuentedeprrafopredeter"/>
    <w:link w:val="Textoindependiente3"/>
    <w:rsid w:val="008F015B"/>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8F015B"/>
  </w:style>
  <w:style w:type="character" w:customStyle="1" w:styleId="TextonotapieCar">
    <w:name w:val="Texto nota pie Car"/>
    <w:basedOn w:val="Fuentedeprrafopredeter"/>
    <w:link w:val="Textonotapie"/>
    <w:semiHidden/>
    <w:rsid w:val="008F015B"/>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8F015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3340</Words>
  <Characters>18370</Characters>
  <Application>Microsoft Office Word</Application>
  <DocSecurity>0</DocSecurity>
  <Lines>153</Lines>
  <Paragraphs>43</Paragraphs>
  <ScaleCrop>false</ScaleCrop>
  <Company/>
  <LinksUpToDate>false</LinksUpToDate>
  <CharactersWithSpaces>21667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2051-2007/TC-S3</dc:title>
  <dc:subject>APLICACIÓN DE SANCIÓN CONTRA LA EMPRESA ERNEST &amp; YOUNG</dc:subject>
  <dc:creator>TRIBUNAL</dc:creator>
  <cp:keywords>RESOLUCION CONTRACTUAL</cp:keywords>
  <dc:description/>
  <cp:lastModifiedBy>jcabrera</cp:lastModifiedBy>
  <cp:revision>2</cp:revision>
  <dcterms:created xsi:type="dcterms:W3CDTF">2007-12-13T22:50:00Z</dcterms:created>
  <dcterms:modified xsi:type="dcterms:W3CDTF">2007-12-13T22:52:00Z</dcterms:modified>
  <cp:category>RESOLUCION - TRIBUNAL</cp:category>
</cp:coreProperties>
</file>