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D0A" w:rsidRDefault="00556D0A" w:rsidP="00556D0A">
      <w:pPr>
        <w:tabs>
          <w:tab w:val="left" w:pos="2520"/>
        </w:tabs>
        <w:ind w:left="2520" w:right="765" w:hanging="1102"/>
        <w:jc w:val="center"/>
        <w:rPr>
          <w:rFonts w:ascii="Tahoma" w:hAnsi="Tahoma" w:cs="Tahoma"/>
          <w:b/>
          <w:sz w:val="24"/>
          <w:szCs w:val="24"/>
        </w:rPr>
      </w:pPr>
      <w:r>
        <w:rPr>
          <w:rFonts w:ascii="Tahoma" w:hAnsi="Tahoma" w:cs="Tahoma"/>
          <w:b/>
          <w:sz w:val="24"/>
          <w:szCs w:val="24"/>
        </w:rPr>
        <w:t>Resolución N</w:t>
      </w:r>
      <w:proofErr w:type="gramStart"/>
      <w:r>
        <w:rPr>
          <w:rFonts w:ascii="Tahoma" w:hAnsi="Tahoma" w:cs="Tahoma"/>
          <w:b/>
          <w:sz w:val="24"/>
          <w:szCs w:val="24"/>
        </w:rPr>
        <w:t>.º</w:t>
      </w:r>
      <w:proofErr w:type="gramEnd"/>
      <w:r>
        <w:rPr>
          <w:rFonts w:ascii="Tahoma" w:hAnsi="Tahoma" w:cs="Tahoma"/>
          <w:b/>
          <w:sz w:val="24"/>
          <w:szCs w:val="24"/>
        </w:rPr>
        <w:t xml:space="preserve"> </w:t>
      </w:r>
      <w:bookmarkStart w:id="0" w:name="OLE_LINK1"/>
      <w:bookmarkStart w:id="1" w:name="OLE_LINK2"/>
      <w:r>
        <w:rPr>
          <w:rFonts w:ascii="Tahoma" w:hAnsi="Tahoma" w:cs="Tahoma"/>
          <w:b/>
          <w:sz w:val="24"/>
          <w:szCs w:val="24"/>
        </w:rPr>
        <w:t>1414-2007/TC-S3</w:t>
      </w:r>
      <w:bookmarkEnd w:id="0"/>
      <w:bookmarkEnd w:id="1"/>
    </w:p>
    <w:p w:rsidR="00556D0A" w:rsidRDefault="00556D0A" w:rsidP="00A77E70">
      <w:pPr>
        <w:tabs>
          <w:tab w:val="left" w:pos="2520"/>
        </w:tabs>
        <w:ind w:left="2520" w:right="765" w:hanging="1102"/>
        <w:jc w:val="both"/>
        <w:rPr>
          <w:rFonts w:ascii="Tahoma" w:hAnsi="Tahoma" w:cs="Tahoma"/>
          <w:b/>
        </w:rPr>
      </w:pPr>
    </w:p>
    <w:p w:rsidR="00556D0A" w:rsidRDefault="00556D0A" w:rsidP="00A77E70">
      <w:pPr>
        <w:tabs>
          <w:tab w:val="left" w:pos="2520"/>
        </w:tabs>
        <w:ind w:left="2520" w:right="765" w:hanging="1102"/>
        <w:jc w:val="both"/>
        <w:rPr>
          <w:rFonts w:ascii="Tahoma" w:hAnsi="Tahoma" w:cs="Tahoma"/>
          <w:b/>
        </w:rPr>
      </w:pPr>
    </w:p>
    <w:p w:rsidR="00556D0A" w:rsidRDefault="00556D0A" w:rsidP="00A77E70">
      <w:pPr>
        <w:tabs>
          <w:tab w:val="left" w:pos="2520"/>
        </w:tabs>
        <w:ind w:left="2520" w:right="765" w:hanging="1102"/>
        <w:jc w:val="both"/>
        <w:rPr>
          <w:rFonts w:ascii="Tahoma" w:hAnsi="Tahoma" w:cs="Tahoma"/>
          <w:b/>
        </w:rPr>
      </w:pPr>
    </w:p>
    <w:p w:rsidR="00A77E70" w:rsidRPr="008A7489" w:rsidRDefault="00A77E70" w:rsidP="00A77E70">
      <w:pPr>
        <w:tabs>
          <w:tab w:val="left" w:pos="2520"/>
        </w:tabs>
        <w:ind w:left="2520" w:right="765" w:hanging="1102"/>
        <w:jc w:val="both"/>
        <w:rPr>
          <w:rFonts w:ascii="Tahoma" w:hAnsi="Tahoma" w:cs="Tahoma"/>
          <w:lang w:val="es-PE"/>
        </w:rPr>
      </w:pPr>
      <w:r w:rsidRPr="00F82EAA">
        <w:rPr>
          <w:rFonts w:ascii="Tahoma" w:hAnsi="Tahoma" w:cs="Tahoma"/>
          <w:b/>
        </w:rPr>
        <w:t>Sumilla</w:t>
      </w:r>
      <w:r w:rsidRPr="00F82EAA">
        <w:rPr>
          <w:rFonts w:ascii="Tahoma" w:hAnsi="Tahoma" w:cs="Tahoma"/>
        </w:rPr>
        <w:t xml:space="preserve">:  </w:t>
      </w:r>
      <w:r w:rsidRPr="00F82EAA">
        <w:rPr>
          <w:rFonts w:ascii="Tahoma" w:hAnsi="Tahoma" w:cs="Tahoma"/>
        </w:rPr>
        <w:tab/>
      </w:r>
      <w:r w:rsidR="008A7489">
        <w:rPr>
          <w:rFonts w:ascii="Tahoma" w:hAnsi="Tahoma" w:cs="Tahoma"/>
        </w:rPr>
        <w:t>E</w:t>
      </w:r>
      <w:r w:rsidR="008A7489" w:rsidRPr="008A7489">
        <w:rPr>
          <w:rFonts w:ascii="Tahoma" w:hAnsi="Tahoma" w:cs="Tahoma"/>
        </w:rPr>
        <w:t xml:space="preserve">l artículo 306 del </w:t>
      </w:r>
      <w:r w:rsidR="008A7489">
        <w:rPr>
          <w:rFonts w:ascii="Tahoma" w:hAnsi="Tahoma" w:cs="Tahoma"/>
        </w:rPr>
        <w:t xml:space="preserve">Reglamento </w:t>
      </w:r>
      <w:r w:rsidR="008A7489" w:rsidRPr="008A7489">
        <w:rPr>
          <w:rFonts w:ascii="Tahoma" w:hAnsi="Tahoma" w:cs="Tahoma"/>
        </w:rPr>
        <w:t>señala que contra lo resuelto por el Tribunal en un procedimiento sancionador podrá interponerse recurso de reconsideración dentro de los tres (3) días hábiles de notificada o publicada la respectiva resolución</w:t>
      </w:r>
      <w:r w:rsidR="008A7489">
        <w:rPr>
          <w:rFonts w:ascii="Tahoma" w:hAnsi="Tahoma" w:cs="Tahoma"/>
        </w:rPr>
        <w:t>.</w:t>
      </w:r>
    </w:p>
    <w:p w:rsidR="00A77E70" w:rsidRPr="008A7489" w:rsidRDefault="00A77E70" w:rsidP="00A77E70">
      <w:pPr>
        <w:ind w:left="3540" w:firstLine="708"/>
        <w:jc w:val="center"/>
        <w:rPr>
          <w:rFonts w:ascii="Tahoma" w:hAnsi="Tahoma" w:cs="Tahoma"/>
          <w:lang w:val="es-PE"/>
        </w:rPr>
      </w:pPr>
    </w:p>
    <w:p w:rsidR="00A77E70" w:rsidRPr="008A7489" w:rsidRDefault="00A77E70" w:rsidP="00A77E70">
      <w:pPr>
        <w:ind w:left="3540" w:firstLine="708"/>
        <w:jc w:val="center"/>
        <w:rPr>
          <w:rFonts w:ascii="Tahoma" w:hAnsi="Tahoma" w:cs="Tahoma"/>
          <w:lang w:val="es-PE"/>
        </w:rPr>
      </w:pPr>
      <w:r w:rsidRPr="008A7489">
        <w:rPr>
          <w:rFonts w:ascii="Tahoma" w:hAnsi="Tahoma" w:cs="Tahoma"/>
          <w:lang w:val="es-PE"/>
        </w:rPr>
        <w:t xml:space="preserve">Lima, </w:t>
      </w:r>
      <w:r w:rsidR="00556D0A">
        <w:rPr>
          <w:rFonts w:ascii="Tahoma" w:hAnsi="Tahoma" w:cs="Tahoma"/>
          <w:lang w:val="es-PE"/>
        </w:rPr>
        <w:t>22 de noviembre de 2007</w:t>
      </w:r>
    </w:p>
    <w:p w:rsidR="00A77E70" w:rsidRPr="008A7489" w:rsidRDefault="00A77E70" w:rsidP="00A77E70">
      <w:pPr>
        <w:pStyle w:val="Textoindependiente"/>
        <w:tabs>
          <w:tab w:val="left" w:pos="5400"/>
        </w:tabs>
        <w:rPr>
          <w:rFonts w:ascii="Tahoma" w:hAnsi="Tahoma" w:cs="Tahoma"/>
          <w:sz w:val="20"/>
        </w:rPr>
      </w:pPr>
    </w:p>
    <w:p w:rsidR="00A77E70" w:rsidRPr="008A7489" w:rsidRDefault="00A77E70" w:rsidP="00A77E70">
      <w:pPr>
        <w:pStyle w:val="Textoindependiente"/>
        <w:tabs>
          <w:tab w:val="left" w:pos="5400"/>
        </w:tabs>
        <w:rPr>
          <w:rFonts w:ascii="Tahoma" w:hAnsi="Tahoma" w:cs="Tahoma"/>
          <w:sz w:val="20"/>
        </w:rPr>
      </w:pPr>
      <w:r w:rsidRPr="008A7489">
        <w:rPr>
          <w:rFonts w:ascii="Tahoma" w:hAnsi="Tahoma" w:cs="Tahoma"/>
          <w:sz w:val="20"/>
        </w:rPr>
        <w:t xml:space="preserve">Visto, en sesión de fecha 10.12.2007 de la Tercera Sala del Tribunal de Contrataciones y Adquisiciones del Estado el Expediente N.º 1414/2006.TC sobre el Recurso de Reconsideración interpuesto por la empresa </w:t>
      </w:r>
      <w:proofErr w:type="spellStart"/>
      <w:r w:rsidR="00D822A9" w:rsidRPr="008A7489">
        <w:rPr>
          <w:rFonts w:ascii="Tahoma" w:hAnsi="Tahoma" w:cs="Tahoma"/>
          <w:sz w:val="20"/>
        </w:rPr>
        <w:t>Arquitek</w:t>
      </w:r>
      <w:proofErr w:type="spellEnd"/>
      <w:r w:rsidR="00D822A9" w:rsidRPr="008A7489">
        <w:rPr>
          <w:rFonts w:ascii="Tahoma" w:hAnsi="Tahoma" w:cs="Tahoma"/>
          <w:sz w:val="20"/>
        </w:rPr>
        <w:t xml:space="preserve"> Contratistas Generales S.R.L.</w:t>
      </w:r>
      <w:r w:rsidR="00D822A9">
        <w:rPr>
          <w:rFonts w:ascii="Tahoma" w:hAnsi="Tahoma" w:cs="Tahoma"/>
          <w:sz w:val="20"/>
        </w:rPr>
        <w:t xml:space="preserve"> </w:t>
      </w:r>
      <w:r w:rsidRPr="008A7489">
        <w:rPr>
          <w:rFonts w:ascii="Tahoma" w:hAnsi="Tahoma" w:cs="Tahoma"/>
          <w:sz w:val="20"/>
        </w:rPr>
        <w:t>contra la Resolución N.º 1999/2007-TC-S3 de fecha 22 de noviembre de 2007, que dispuso sancionarla</w:t>
      </w:r>
      <w:r w:rsidRPr="008A7489">
        <w:rPr>
          <w:rFonts w:ascii="Tahoma" w:hAnsi="Tahoma" w:cs="Tahoma"/>
          <w:b/>
          <w:sz w:val="20"/>
        </w:rPr>
        <w:t xml:space="preserve"> </w:t>
      </w:r>
      <w:r w:rsidRPr="008A7489">
        <w:rPr>
          <w:rFonts w:ascii="Tahoma" w:hAnsi="Tahoma" w:cs="Tahoma"/>
          <w:sz w:val="20"/>
        </w:rPr>
        <w:t xml:space="preserve">con diez (10) meses de inhabilitación temporal para participar en procesos de selección y contratar con el Estado, </w:t>
      </w:r>
      <w:r w:rsidRPr="008A7489">
        <w:rPr>
          <w:rFonts w:ascii="Tahoma" w:hAnsi="Tahoma" w:cs="Tahoma"/>
          <w:sz w:val="20"/>
          <w:lang w:val="es-ES_tradnl"/>
        </w:rPr>
        <w:t>por haber incurrido en la causal de infracción administrativa tipificada en el numeral 09) del artículo 294</w:t>
      </w:r>
      <w:r w:rsidR="00D822A9">
        <w:rPr>
          <w:rFonts w:ascii="Tahoma" w:hAnsi="Tahoma" w:cs="Tahoma"/>
          <w:sz w:val="20"/>
          <w:lang w:val="es-ES_tradnl"/>
        </w:rPr>
        <w:t>º</w:t>
      </w:r>
      <w:r w:rsidRPr="008A7489">
        <w:rPr>
          <w:rFonts w:ascii="Tahoma" w:hAnsi="Tahoma" w:cs="Tahoma"/>
          <w:sz w:val="20"/>
          <w:lang w:val="es-ES_tradnl"/>
        </w:rPr>
        <w:t xml:space="preserve"> del Reglamento de la Ley de Contrataciones y Adquisiciones del Estado, aprobado mediante Decreto Supremo N.º 084-2004-PCM</w:t>
      </w:r>
      <w:r w:rsidRPr="008A7489">
        <w:rPr>
          <w:rFonts w:ascii="Tahoma" w:hAnsi="Tahoma" w:cs="Tahoma"/>
          <w:sz w:val="20"/>
        </w:rPr>
        <w:t xml:space="preserve">; y atendiendo a los siguientes:   </w:t>
      </w:r>
      <w:r w:rsidRPr="008A7489">
        <w:rPr>
          <w:rFonts w:ascii="Tahoma" w:hAnsi="Tahoma" w:cs="Tahoma"/>
          <w:sz w:val="20"/>
        </w:rPr>
        <w:tab/>
      </w:r>
    </w:p>
    <w:p w:rsidR="00A77E70" w:rsidRPr="008A7489" w:rsidRDefault="00A77E70" w:rsidP="00A77E70">
      <w:pPr>
        <w:jc w:val="both"/>
        <w:rPr>
          <w:rFonts w:ascii="Tahoma" w:hAnsi="Tahoma" w:cs="Tahoma"/>
          <w:b/>
          <w:shadow/>
          <w:lang w:val="es-PE"/>
        </w:rPr>
      </w:pPr>
    </w:p>
    <w:p w:rsidR="00A77E70" w:rsidRPr="008A7489" w:rsidRDefault="00A77E70" w:rsidP="00A77E70">
      <w:pPr>
        <w:jc w:val="both"/>
        <w:rPr>
          <w:rFonts w:ascii="Tahoma" w:hAnsi="Tahoma" w:cs="Tahoma"/>
          <w:b/>
          <w:shadow/>
        </w:rPr>
      </w:pPr>
      <w:r w:rsidRPr="008A7489">
        <w:rPr>
          <w:rFonts w:ascii="Tahoma" w:hAnsi="Tahoma" w:cs="Tahoma"/>
          <w:b/>
          <w:shadow/>
        </w:rPr>
        <w:t>ANTECEDENTES</w:t>
      </w:r>
    </w:p>
    <w:p w:rsidR="00A77E70" w:rsidRPr="008A7489" w:rsidRDefault="00A77E70" w:rsidP="00A77E70">
      <w:pPr>
        <w:jc w:val="both"/>
        <w:rPr>
          <w:rFonts w:ascii="Tahoma" w:hAnsi="Tahoma" w:cs="Tahoma"/>
          <w:b/>
          <w:shadow/>
        </w:rPr>
      </w:pPr>
    </w:p>
    <w:p w:rsidR="00A77E70" w:rsidRPr="008A7489" w:rsidRDefault="00A77E70" w:rsidP="00A77E70">
      <w:pPr>
        <w:numPr>
          <w:ilvl w:val="0"/>
          <w:numId w:val="4"/>
        </w:numPr>
        <w:tabs>
          <w:tab w:val="clear" w:pos="720"/>
          <w:tab w:val="num" w:pos="360"/>
        </w:tabs>
        <w:ind w:left="360"/>
        <w:jc w:val="both"/>
        <w:rPr>
          <w:rFonts w:ascii="Tahoma" w:hAnsi="Tahoma" w:cs="Tahoma"/>
        </w:rPr>
      </w:pP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rPr>
            <w:t>La Municipalidad</w:t>
          </w:r>
        </w:smartTag>
        <w:r w:rsidRPr="008A7489">
          <w:rPr>
            <w:rFonts w:ascii="Tahoma" w:hAnsi="Tahoma" w:cs="Tahoma"/>
          </w:rPr>
          <w:t xml:space="preserve"> Distrital</w:t>
        </w:r>
      </w:smartTag>
      <w:r w:rsidRPr="008A7489">
        <w:rPr>
          <w:rFonts w:ascii="Tahoma" w:hAnsi="Tahoma" w:cs="Tahoma"/>
        </w:rPr>
        <w:t xml:space="preserve"> de Bellavista, en lo sucesivo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convocó al proceso de selección Adjudicación Directa Selectiva N</w:t>
      </w:r>
      <w:proofErr w:type="gramStart"/>
      <w:r w:rsidRPr="008A7489">
        <w:rPr>
          <w:rFonts w:ascii="Tahoma" w:hAnsi="Tahoma" w:cs="Tahoma"/>
        </w:rPr>
        <w:t>.º</w:t>
      </w:r>
      <w:proofErr w:type="gramEnd"/>
      <w:r w:rsidRPr="008A7489">
        <w:rPr>
          <w:rFonts w:ascii="Tahoma" w:hAnsi="Tahoma" w:cs="Tahoma"/>
        </w:rPr>
        <w:t xml:space="preserve"> 004-2006-OB-CE-MUDIBE/DDU, para la ejecución de la obra “Rehabilitación de pistas en el distrito de Bellavista”. El valor del proceso de selección era de S/.349 304,45 Nuevos soles, incluido impuestos.</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El 8 de agosto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y la empresa </w:t>
      </w:r>
      <w:proofErr w:type="spellStart"/>
      <w:r w:rsidRPr="008A7489">
        <w:rPr>
          <w:rFonts w:ascii="Tahoma" w:hAnsi="Tahoma" w:cs="Tahoma"/>
        </w:rPr>
        <w:t>Arquitek</w:t>
      </w:r>
      <w:proofErr w:type="spellEnd"/>
      <w:r w:rsidRPr="008A7489">
        <w:rPr>
          <w:rFonts w:ascii="Tahoma" w:hAnsi="Tahoma" w:cs="Tahoma"/>
        </w:rPr>
        <w:t xml:space="preserve"> Contratistas Generales S.R.L., en lo sucesivo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suscribieron el contrato correspondiente por el monto de S/.314 374,01 Nuevos soles.</w:t>
      </w:r>
    </w:p>
    <w:p w:rsidR="00A77E70" w:rsidRPr="008A7489" w:rsidRDefault="00A77E70" w:rsidP="00A77E70">
      <w:pPr>
        <w:jc w:val="both"/>
        <w:rPr>
          <w:rFonts w:ascii="Tahoma" w:hAnsi="Tahoma" w:cs="Tahoma"/>
        </w:rPr>
      </w:pPr>
    </w:p>
    <w:p w:rsidR="00A77E70" w:rsidRPr="008A7489" w:rsidRDefault="00A77E70" w:rsidP="00A77E70">
      <w:pPr>
        <w:ind w:left="360"/>
        <w:jc w:val="both"/>
        <w:rPr>
          <w:rFonts w:ascii="Tahoma" w:hAnsi="Tahoma" w:cs="Tahoma"/>
        </w:rPr>
      </w:pPr>
      <w:r w:rsidRPr="008A7489">
        <w:rPr>
          <w:rFonts w:ascii="Tahoma" w:hAnsi="Tahoma" w:cs="Tahoma"/>
        </w:rPr>
        <w:t xml:space="preserve">La Contratista presentó para la suscripción del contrato la </w:t>
      </w:r>
      <w:r w:rsidRPr="008A7489">
        <w:rPr>
          <w:rFonts w:ascii="Tahoma" w:hAnsi="Tahoma" w:cs="Tahoma"/>
          <w:b/>
        </w:rPr>
        <w:t>Carta Fianza N.° 2006/03939-00</w:t>
      </w:r>
      <w:r w:rsidRPr="008A7489">
        <w:rPr>
          <w:rFonts w:ascii="Tahoma" w:hAnsi="Tahoma" w:cs="Tahoma"/>
        </w:rPr>
        <w:t xml:space="preserve"> de fecha 3 de agosto de 2006, en respaldo de la garantía por el fiel cumplimiento del contrato, emitida por el Banco de Comercio por el monto de S/.31 437,40 Nuevos Soles, cuya vigencia regía a partir del 3 de agosto de 2006 y vencía indefectiblemente el 2 de octubre de 2006.</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Por Carta s/n de 11 de agosto de 2006,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remitió a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la </w:t>
      </w:r>
      <w:r w:rsidRPr="008A7489">
        <w:rPr>
          <w:rFonts w:ascii="Tahoma" w:hAnsi="Tahoma" w:cs="Tahoma"/>
          <w:b/>
        </w:rPr>
        <w:t>Carta Fianza N.° 2006/03941-00</w:t>
      </w:r>
      <w:r w:rsidRPr="008A7489">
        <w:rPr>
          <w:rFonts w:ascii="Tahoma" w:hAnsi="Tahoma" w:cs="Tahoma"/>
        </w:rPr>
        <w:t xml:space="preserve"> de fecha 7 de agosto de 2006, en garantía por el adelanto en efectivo por el 20% del contrato, emitida por el Banco de Comercio por el monto de S/.62 874.80 Nuevos Soles, cuya vigencia regía a partir del 7 de agosto de 2006 y vencía indefectiblemente el 4 de noviembre de 2006.</w:t>
      </w:r>
    </w:p>
    <w:p w:rsidR="00A77E70" w:rsidRPr="008A7489" w:rsidRDefault="00A77E70" w:rsidP="00A77E70">
      <w:pPr>
        <w:ind w:left="360"/>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Por Carta N.° 245-2006/MUDIBE/OAF, recibida el 22 de agosto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solicitó al Banco de </w:t>
      </w:r>
      <w:smartTag w:uri="urn:schemas-microsoft-com:office:smarttags" w:element="PersonName">
        <w:smartTagPr>
          <w:attr w:name="ProductID" w:val="la Naci￳n-Agencia Aeropuerto"/>
        </w:smartTagPr>
        <w:smartTag w:uri="urn:schemas-microsoft-com:office:smarttags" w:element="PersonName">
          <w:smartTagPr>
            <w:attr w:name="ProductID" w:val="la Naci￳n-Agencia"/>
          </w:smartTagPr>
          <w:r w:rsidRPr="008A7489">
            <w:rPr>
              <w:rFonts w:ascii="Tahoma" w:hAnsi="Tahoma" w:cs="Tahoma"/>
            </w:rPr>
            <w:t>la Nación-Agencia</w:t>
          </w:r>
        </w:smartTag>
        <w:r w:rsidRPr="008A7489">
          <w:rPr>
            <w:rFonts w:ascii="Tahoma" w:hAnsi="Tahoma" w:cs="Tahoma"/>
          </w:rPr>
          <w:t xml:space="preserve"> Aeropuerto</w:t>
        </w:r>
      </w:smartTag>
      <w:r w:rsidRPr="008A7489">
        <w:rPr>
          <w:rFonts w:ascii="Tahoma" w:hAnsi="Tahoma" w:cs="Tahoma"/>
        </w:rPr>
        <w:t xml:space="preserve"> la suspensión del cheque N.° 27010730 de  </w:t>
      </w:r>
      <w:smartTag w:uri="urn:schemas-microsoft-com:office:smarttags" w:element="PersonName">
        <w:smartTagPr>
          <w:attr w:name="ProductID" w:val="la Cuenta Corriente"/>
        </w:smartTagPr>
        <w:smartTag w:uri="urn:schemas-microsoft-com:office:smarttags" w:element="PersonName">
          <w:smartTagPr>
            <w:attr w:name="ProductID" w:val="la Cuenta"/>
          </w:smartTagPr>
          <w:r w:rsidRPr="008A7489">
            <w:rPr>
              <w:rFonts w:ascii="Tahoma" w:hAnsi="Tahoma" w:cs="Tahoma"/>
            </w:rPr>
            <w:t>la Cuenta</w:t>
          </w:r>
        </w:smartTag>
        <w:r w:rsidRPr="008A7489">
          <w:rPr>
            <w:rFonts w:ascii="Tahoma" w:hAnsi="Tahoma" w:cs="Tahoma"/>
          </w:rPr>
          <w:t xml:space="preserve"> Corriente</w:t>
        </w:r>
      </w:smartTag>
      <w:r w:rsidRPr="008A7489">
        <w:rPr>
          <w:rFonts w:ascii="Tahoma" w:hAnsi="Tahoma" w:cs="Tahoma"/>
        </w:rPr>
        <w:t xml:space="preserve"> N.° 0000-</w:t>
      </w:r>
      <w:smartTag w:uri="urn:schemas-microsoft-com:office:smarttags" w:element="metricconverter">
        <w:smartTagPr>
          <w:attr w:name="ProductID" w:val="072508 a"/>
        </w:smartTagPr>
        <w:r w:rsidRPr="008A7489">
          <w:rPr>
            <w:rFonts w:ascii="Tahoma" w:hAnsi="Tahoma" w:cs="Tahoma"/>
          </w:rPr>
          <w:t>072508 a</w:t>
        </w:r>
      </w:smartTag>
      <w:r w:rsidRPr="008A7489">
        <w:rPr>
          <w:rFonts w:ascii="Tahoma" w:hAnsi="Tahoma" w:cs="Tahoma"/>
        </w:rPr>
        <w:t xml:space="preserve"> favor de la empresa </w:t>
      </w:r>
      <w:proofErr w:type="spellStart"/>
      <w:r w:rsidRPr="008A7489">
        <w:rPr>
          <w:rFonts w:ascii="Tahoma" w:hAnsi="Tahoma" w:cs="Tahoma"/>
        </w:rPr>
        <w:t>Arquitek</w:t>
      </w:r>
      <w:proofErr w:type="spellEnd"/>
      <w:r w:rsidRPr="008A7489">
        <w:rPr>
          <w:rFonts w:ascii="Tahoma" w:hAnsi="Tahoma" w:cs="Tahoma"/>
        </w:rPr>
        <w:t xml:space="preserve"> Contratistas Generales S.R.L. por el importe de S/.62 874,80 Nuevos Soles.</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Por Oficio N.° 011-2006/MUDIBE/OAF/UT, recibido el 23 de agosto de 2006,  el Jefe de </w:t>
      </w:r>
      <w:smartTag w:uri="urn:schemas-microsoft-com:office:smarttags" w:element="PersonName">
        <w:smartTagPr>
          <w:attr w:name="ProductID" w:val="la Unidad"/>
        </w:smartTagPr>
        <w:r w:rsidRPr="008A7489">
          <w:rPr>
            <w:rFonts w:ascii="Tahoma" w:hAnsi="Tahoma" w:cs="Tahoma"/>
          </w:rPr>
          <w:t>la Unidad</w:t>
        </w:r>
      </w:smartTag>
      <w:r w:rsidRPr="008A7489">
        <w:rPr>
          <w:rFonts w:ascii="Tahoma" w:hAnsi="Tahoma" w:cs="Tahoma"/>
        </w:rPr>
        <w:t xml:space="preserve"> de Tesorería de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solicitó al Banco de Comercio se sirva confirmar la emisión de las Cartas Fianza N.° 2006/03941-00 y N.° 2006/03939-00, emitidas a favor de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el 7 de agosto de 2006 y 3 de agosto de 2006, respectivamente.</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Por Carta N.° CE-219-08-2006, recibida el 25 de agosto de 2006, el Subgerente del Banco de Comercio comunicó a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que las </w:t>
      </w:r>
      <w:r w:rsidRPr="008A7489">
        <w:rPr>
          <w:rFonts w:ascii="Tahoma" w:hAnsi="Tahoma" w:cs="Tahoma"/>
          <w:b/>
        </w:rPr>
        <w:t>Cartas Fianza N.° 2006/03941-00 y N.° 2006/03939-00</w:t>
      </w:r>
      <w:r w:rsidRPr="008A7489">
        <w:rPr>
          <w:rFonts w:ascii="Tahoma" w:hAnsi="Tahoma" w:cs="Tahoma"/>
        </w:rPr>
        <w:t xml:space="preserve"> no han sido emitidas por su representada, agregó que, </w:t>
      </w:r>
      <w:proofErr w:type="spellStart"/>
      <w:smartTag w:uri="urn:schemas-microsoft-com:office:smarttags" w:element="PersonName">
        <w:smartTagPr>
          <w:attr w:name="ProductID" w:val="la Contratista"/>
        </w:smartTagPr>
        <w:r w:rsidRPr="008A7489">
          <w:rPr>
            <w:rFonts w:ascii="Tahoma" w:hAnsi="Tahoma" w:cs="Tahoma"/>
          </w:rPr>
          <w:t>la</w:t>
        </w:r>
        <w:proofErr w:type="spellEnd"/>
        <w:r w:rsidRPr="008A7489">
          <w:rPr>
            <w:rFonts w:ascii="Tahoma" w:hAnsi="Tahoma" w:cs="Tahoma"/>
          </w:rPr>
          <w:t xml:space="preserve"> Contratista</w:t>
        </w:r>
      </w:smartTag>
      <w:r w:rsidRPr="008A7489">
        <w:rPr>
          <w:rFonts w:ascii="Tahoma" w:hAnsi="Tahoma" w:cs="Tahoma"/>
        </w:rPr>
        <w:t xml:space="preserve"> no es cliente del Banco y por ende, no mantienen relación comercial directa ni indirecta.</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El 4 de setiembre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expidió </w:t>
      </w:r>
      <w:smartTag w:uri="urn:schemas-microsoft-com:office:smarttags" w:element="PersonName">
        <w:smartTagPr>
          <w:attr w:name="ProductID" w:val="la Resoluci￳n"/>
        </w:smartTagPr>
        <w:r w:rsidRPr="008A7489">
          <w:rPr>
            <w:rFonts w:ascii="Tahoma" w:hAnsi="Tahoma" w:cs="Tahoma"/>
          </w:rPr>
          <w:t>la Resolución</w:t>
        </w:r>
      </w:smartTag>
      <w:r w:rsidRPr="008A7489">
        <w:rPr>
          <w:rFonts w:ascii="Tahoma" w:hAnsi="Tahoma" w:cs="Tahoma"/>
        </w:rPr>
        <w:t xml:space="preserve"> de Alcaldía N.° 096-2006-MDB-AL, cuyo artículo 1 de la parte resolutiva  dispuso declarar de oficio la nulidad del Contrato de Obra correspondiente a </w:t>
      </w:r>
      <w:smartTag w:uri="urn:schemas-microsoft-com:office:smarttags" w:element="PersonName">
        <w:smartTagPr>
          <w:attr w:name="ProductID" w:val="la Adjudicaci￳n Directa"/>
        </w:smartTagPr>
        <w:r w:rsidRPr="008A7489">
          <w:rPr>
            <w:rFonts w:ascii="Tahoma" w:hAnsi="Tahoma" w:cs="Tahoma"/>
          </w:rPr>
          <w:t>la Adjudicación Directa</w:t>
        </w:r>
      </w:smartTag>
      <w:r w:rsidRPr="008A7489">
        <w:rPr>
          <w:rFonts w:ascii="Tahoma" w:hAnsi="Tahoma" w:cs="Tahoma"/>
        </w:rPr>
        <w:t xml:space="preserve"> Selectiva N</w:t>
      </w:r>
      <w:proofErr w:type="gramStart"/>
      <w:r w:rsidRPr="008A7489">
        <w:rPr>
          <w:rFonts w:ascii="Tahoma" w:hAnsi="Tahoma" w:cs="Tahoma"/>
        </w:rPr>
        <w:t>.º</w:t>
      </w:r>
      <w:proofErr w:type="gramEnd"/>
      <w:r w:rsidRPr="008A7489">
        <w:rPr>
          <w:rFonts w:ascii="Tahoma" w:hAnsi="Tahoma" w:cs="Tahoma"/>
        </w:rPr>
        <w:t xml:space="preserve"> 004-2006-OB-CE-MUDIBE/DDU, celebrado el 8 de agosto de 2006.</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360"/>
        </w:tabs>
        <w:ind w:left="360"/>
        <w:jc w:val="both"/>
        <w:rPr>
          <w:rFonts w:ascii="Tahoma" w:hAnsi="Tahoma" w:cs="Tahoma"/>
        </w:rPr>
      </w:pPr>
      <w:r w:rsidRPr="008A7489">
        <w:rPr>
          <w:rFonts w:ascii="Tahoma" w:hAnsi="Tahoma" w:cs="Tahoma"/>
        </w:rPr>
        <w:t xml:space="preserve">El 15 de setiembre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y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suscriben el Acta de Conciliación N.° 219-06 en el Centro de Conciliación del Ilustre Colegio de Abogados del Callao, en los siguientes términos:</w:t>
      </w:r>
    </w:p>
    <w:p w:rsidR="00A77E70" w:rsidRPr="008A7489" w:rsidRDefault="00A77E70" w:rsidP="00A77E70">
      <w:pPr>
        <w:jc w:val="both"/>
        <w:rPr>
          <w:rFonts w:ascii="Tahoma" w:hAnsi="Tahoma" w:cs="Tahoma"/>
        </w:rPr>
      </w:pPr>
    </w:p>
    <w:p w:rsidR="00A77E70" w:rsidRPr="008A7489" w:rsidRDefault="00A77E70" w:rsidP="00A77E70">
      <w:pPr>
        <w:ind w:left="1068"/>
        <w:jc w:val="both"/>
        <w:rPr>
          <w:rFonts w:ascii="Tahoma" w:hAnsi="Tahoma" w:cs="Tahoma"/>
          <w:i/>
        </w:rPr>
      </w:pPr>
      <w:r w:rsidRPr="008A7489">
        <w:rPr>
          <w:rFonts w:ascii="Tahoma" w:hAnsi="Tahoma" w:cs="Tahoma"/>
        </w:rPr>
        <w:t>“</w:t>
      </w:r>
      <w:r w:rsidRPr="008A7489">
        <w:rPr>
          <w:rFonts w:ascii="Tahoma" w:hAnsi="Tahoma" w:cs="Tahoma"/>
          <w:i/>
        </w:rPr>
        <w:t xml:space="preserve">1. ARQUITEK CONTRATISTAS GENERALES S.R.L., debidamente representado por el señor SALOMÓN SEGUNDO TIRADO RIOS hace entrega en la fecha, es decir el día 15 de Setiembre de 2006, los siguientes originales de dos cartas Fianzas a favor de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previa verificación según detalle:</w:t>
      </w:r>
    </w:p>
    <w:p w:rsidR="00A77E70" w:rsidRPr="008A7489" w:rsidRDefault="00A77E70" w:rsidP="00A77E70">
      <w:pPr>
        <w:ind w:left="1068"/>
        <w:jc w:val="both"/>
        <w:rPr>
          <w:rFonts w:ascii="Tahoma" w:hAnsi="Tahoma" w:cs="Tahoma"/>
          <w:i/>
        </w:rPr>
      </w:pPr>
    </w:p>
    <w:p w:rsidR="00A77E70" w:rsidRPr="008A7489" w:rsidRDefault="00A77E70" w:rsidP="00A77E70">
      <w:pPr>
        <w:numPr>
          <w:ilvl w:val="0"/>
          <w:numId w:val="5"/>
        </w:numPr>
        <w:tabs>
          <w:tab w:val="clear" w:pos="1080"/>
          <w:tab w:val="num" w:pos="1788"/>
        </w:tabs>
        <w:ind w:left="1788"/>
        <w:jc w:val="both"/>
        <w:rPr>
          <w:rFonts w:ascii="Tahoma" w:hAnsi="Tahoma" w:cs="Tahoma"/>
          <w:i/>
        </w:rPr>
      </w:pPr>
      <w:r w:rsidRPr="008A7489">
        <w:rPr>
          <w:rFonts w:ascii="Tahoma" w:hAnsi="Tahoma" w:cs="Tahoma"/>
          <w:i/>
        </w:rPr>
        <w:t xml:space="preserve">Póliza de Seguro de Caución Nro. 6815247-00 y su Certificado de Caución Nro. 681534700, emitido por </w:t>
      </w:r>
      <w:smartTag w:uri="urn:schemas-microsoft-com:office:smarttags" w:element="PersonName">
        <w:smartTagPr>
          <w:attr w:name="ProductID" w:val="la Compa￱￭a"/>
        </w:smartTagPr>
        <w:r w:rsidRPr="008A7489">
          <w:rPr>
            <w:rFonts w:ascii="Tahoma" w:hAnsi="Tahoma" w:cs="Tahoma"/>
            <w:i/>
          </w:rPr>
          <w:t>la Compañía</w:t>
        </w:r>
      </w:smartTag>
      <w:r w:rsidRPr="008A7489">
        <w:rPr>
          <w:rFonts w:ascii="Tahoma" w:hAnsi="Tahoma" w:cs="Tahoma"/>
          <w:i/>
        </w:rPr>
        <w:t xml:space="preserve"> de Seguros Latina a favor de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 Callao.</w:t>
      </w:r>
    </w:p>
    <w:p w:rsidR="00A77E70" w:rsidRPr="008A7489" w:rsidRDefault="00A77E70" w:rsidP="00A77E70">
      <w:pPr>
        <w:numPr>
          <w:ilvl w:val="0"/>
          <w:numId w:val="5"/>
        </w:numPr>
        <w:tabs>
          <w:tab w:val="clear" w:pos="1080"/>
          <w:tab w:val="num" w:pos="1788"/>
        </w:tabs>
        <w:ind w:left="1788"/>
        <w:jc w:val="both"/>
        <w:rPr>
          <w:rFonts w:ascii="Tahoma" w:hAnsi="Tahoma" w:cs="Tahoma"/>
          <w:i/>
        </w:rPr>
      </w:pPr>
      <w:r w:rsidRPr="008A7489">
        <w:rPr>
          <w:rFonts w:ascii="Tahoma" w:hAnsi="Tahoma" w:cs="Tahoma"/>
          <w:i/>
        </w:rPr>
        <w:t xml:space="preserve">Póliza de Seguro de Caución Nro. 6815292-00 y su Certificado de Caución Nro. 6815292-00, emitido por </w:t>
      </w:r>
      <w:smartTag w:uri="urn:schemas-microsoft-com:office:smarttags" w:element="PersonName">
        <w:smartTagPr>
          <w:attr w:name="ProductID" w:val="la Compa￱￭a"/>
        </w:smartTagPr>
        <w:r w:rsidRPr="008A7489">
          <w:rPr>
            <w:rFonts w:ascii="Tahoma" w:hAnsi="Tahoma" w:cs="Tahoma"/>
            <w:i/>
          </w:rPr>
          <w:t>la Compañía</w:t>
        </w:r>
      </w:smartTag>
      <w:r w:rsidRPr="008A7489">
        <w:rPr>
          <w:rFonts w:ascii="Tahoma" w:hAnsi="Tahoma" w:cs="Tahoma"/>
          <w:i/>
        </w:rPr>
        <w:t xml:space="preserve"> de Seguros Latina a favor de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 Callao.</w:t>
      </w:r>
    </w:p>
    <w:p w:rsidR="00A77E70" w:rsidRPr="008A7489" w:rsidRDefault="00A77E70" w:rsidP="00A77E70">
      <w:pPr>
        <w:ind w:left="1428"/>
        <w:jc w:val="both"/>
        <w:rPr>
          <w:rFonts w:ascii="Tahoma" w:hAnsi="Tahoma" w:cs="Tahoma"/>
          <w:i/>
        </w:rPr>
      </w:pPr>
    </w:p>
    <w:p w:rsidR="00A77E70" w:rsidRPr="008A7489" w:rsidRDefault="00A77E70" w:rsidP="00A77E70">
      <w:pPr>
        <w:ind w:left="1068"/>
        <w:jc w:val="both"/>
        <w:rPr>
          <w:rFonts w:ascii="Tahoma" w:hAnsi="Tahoma" w:cs="Tahoma"/>
          <w:i/>
        </w:rPr>
      </w:pPr>
      <w:r w:rsidRPr="008A7489">
        <w:rPr>
          <w:rFonts w:ascii="Tahoma" w:hAnsi="Tahoma" w:cs="Tahoma"/>
          <w:i/>
        </w:rPr>
        <w:t xml:space="preserve"> 2 ARQUITEK CONTRATISTAS GENERALES S.R.L., debidamente representado por el señor SALOMÓN SEGUNDO TIRADO RIOS se compromete a devolver a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a </w:t>
      </w:r>
      <w:proofErr w:type="spellStart"/>
      <w:r w:rsidRPr="008A7489">
        <w:rPr>
          <w:rFonts w:ascii="Tahoma" w:hAnsi="Tahoma" w:cs="Tahoma"/>
          <w:i/>
        </w:rPr>
        <w:t>mas</w:t>
      </w:r>
      <w:proofErr w:type="spellEnd"/>
      <w:r w:rsidRPr="008A7489">
        <w:rPr>
          <w:rFonts w:ascii="Tahoma" w:hAnsi="Tahoma" w:cs="Tahoma"/>
          <w:i/>
        </w:rPr>
        <w:t xml:space="preserve"> tardar el día 20 de Setiembre del 2006, el original del cheque Nro. 27010730-3 por la suma de S/.62,874.80 Nuevos Soles, girado por el Banco de </w:t>
      </w:r>
      <w:smartTag w:uri="urn:schemas-microsoft-com:office:smarttags" w:element="PersonName">
        <w:smartTagPr>
          <w:attr w:name="ProductID" w:val="la Naci￳n."/>
        </w:smartTagPr>
        <w:r w:rsidRPr="008A7489">
          <w:rPr>
            <w:rFonts w:ascii="Tahoma" w:hAnsi="Tahoma" w:cs="Tahoma"/>
            <w:i/>
          </w:rPr>
          <w:t>la Nación.</w:t>
        </w:r>
      </w:smartTag>
    </w:p>
    <w:p w:rsidR="00A77E70" w:rsidRPr="008A7489" w:rsidRDefault="00A77E70" w:rsidP="00A77E70">
      <w:pPr>
        <w:ind w:left="1068"/>
        <w:jc w:val="both"/>
        <w:rPr>
          <w:rFonts w:ascii="Tahoma" w:hAnsi="Tahoma" w:cs="Tahoma"/>
          <w:i/>
        </w:rPr>
      </w:pPr>
    </w:p>
    <w:p w:rsidR="00A77E70" w:rsidRPr="008A7489" w:rsidRDefault="00A77E70" w:rsidP="00A77E70">
      <w:pPr>
        <w:ind w:left="1068"/>
        <w:jc w:val="both"/>
        <w:rPr>
          <w:rFonts w:ascii="Tahoma" w:hAnsi="Tahoma" w:cs="Tahoma"/>
          <w:i/>
        </w:rPr>
      </w:pPr>
      <w:r w:rsidRPr="008A7489">
        <w:rPr>
          <w:rFonts w:ascii="Tahoma" w:hAnsi="Tahoma" w:cs="Tahoma"/>
          <w:i/>
        </w:rPr>
        <w:t xml:space="preserve">3 ARQUITEK CONTRATISTAS GENERALES S.R.L., debidamente representado por el señor SALOMÓN SEGUNDO TIRADO RIOS, entregará el cheque Nro. 27010730-3 por la suma de S/.62,874.80 Nuevos Soles a don JULIO CORTEZ ROJAS Gerente General de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en las instalaciones de la referida Municipalidad en horario de oficina.</w:t>
      </w:r>
    </w:p>
    <w:p w:rsidR="00A77E70" w:rsidRPr="008A7489" w:rsidRDefault="00A77E70" w:rsidP="00A77E70">
      <w:pPr>
        <w:ind w:left="1068"/>
        <w:jc w:val="both"/>
        <w:rPr>
          <w:rFonts w:ascii="Tahoma" w:hAnsi="Tahoma" w:cs="Tahoma"/>
          <w:i/>
        </w:rPr>
      </w:pPr>
    </w:p>
    <w:p w:rsidR="00A77E70" w:rsidRPr="008A7489" w:rsidRDefault="00A77E70" w:rsidP="00A77E70">
      <w:pPr>
        <w:ind w:left="1068"/>
        <w:jc w:val="both"/>
        <w:rPr>
          <w:rFonts w:ascii="Tahoma" w:hAnsi="Tahoma" w:cs="Tahoma"/>
          <w:i/>
        </w:rPr>
      </w:pPr>
      <w:r w:rsidRPr="008A7489">
        <w:rPr>
          <w:rFonts w:ascii="Tahoma" w:hAnsi="Tahoma" w:cs="Tahoma"/>
          <w:i/>
        </w:rPr>
        <w:t xml:space="preserve">4.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representado por doña CELESTINA MAFALDA PADILLA BARBARAN viabilizará un trámite administrativo </w:t>
      </w:r>
      <w:r w:rsidRPr="008A7489">
        <w:rPr>
          <w:rFonts w:ascii="Tahoma" w:hAnsi="Tahoma" w:cs="Tahoma"/>
          <w:i/>
        </w:rPr>
        <w:lastRenderedPageBreak/>
        <w:t xml:space="preserve">interno con </w:t>
      </w:r>
      <w:smartTag w:uri="urn:schemas-microsoft-com:office:smarttags" w:element="PersonName">
        <w:smartTagPr>
          <w:attr w:name="ProductID" w:val="la Carta Fianza"/>
        </w:smartTagPr>
        <w:smartTag w:uri="urn:schemas-microsoft-com:office:smarttags" w:element="PersonName">
          <w:smartTagPr>
            <w:attr w:name="ProductID" w:val="la Carta"/>
          </w:smartTagPr>
          <w:r w:rsidRPr="008A7489">
            <w:rPr>
              <w:rFonts w:ascii="Tahoma" w:hAnsi="Tahoma" w:cs="Tahoma"/>
              <w:i/>
            </w:rPr>
            <w:t>la Carta</w:t>
          </w:r>
        </w:smartTag>
        <w:r w:rsidRPr="008A7489">
          <w:rPr>
            <w:rFonts w:ascii="Tahoma" w:hAnsi="Tahoma" w:cs="Tahoma"/>
            <w:i/>
          </w:rPr>
          <w:t xml:space="preserve"> Fianza</w:t>
        </w:r>
      </w:smartTag>
      <w:r w:rsidRPr="008A7489">
        <w:rPr>
          <w:rFonts w:ascii="Tahoma" w:hAnsi="Tahoma" w:cs="Tahoma"/>
          <w:i/>
        </w:rPr>
        <w:t xml:space="preserve"> y el original del Cheque la regularización de la autorización de obra correspondiente de acuerdo a Ley.</w:t>
      </w:r>
    </w:p>
    <w:p w:rsidR="00A77E70" w:rsidRPr="008A7489" w:rsidRDefault="00A77E70" w:rsidP="00A77E70">
      <w:pPr>
        <w:ind w:left="1068"/>
        <w:jc w:val="both"/>
        <w:rPr>
          <w:rFonts w:ascii="Tahoma" w:hAnsi="Tahoma" w:cs="Tahoma"/>
          <w:i/>
        </w:rPr>
      </w:pPr>
    </w:p>
    <w:p w:rsidR="00A77E70" w:rsidRPr="008A7489" w:rsidRDefault="00A77E70" w:rsidP="00A77E70">
      <w:pPr>
        <w:ind w:left="1068"/>
        <w:jc w:val="both"/>
        <w:rPr>
          <w:rFonts w:ascii="Tahoma" w:hAnsi="Tahoma" w:cs="Tahoma"/>
          <w:i/>
        </w:rPr>
      </w:pPr>
      <w:r w:rsidRPr="008A7489">
        <w:rPr>
          <w:rFonts w:ascii="Tahoma" w:hAnsi="Tahoma" w:cs="Tahoma"/>
          <w:i/>
        </w:rPr>
        <w:t xml:space="preserve">5. En caso que ARQUITEK CONTRATISTAS GENERALES S.R.L. debidamente representado por el señor SALOMÓN SEGUNDO TIRADO RIOS no cumpla con lo establecido en los puntos 1, 2 y 3 de la presente Acta, </w:t>
      </w:r>
      <w:smartTag w:uri="urn:schemas-microsoft-com:office:smarttags" w:element="PersonName">
        <w:smartTagPr>
          <w:attr w:name="ProductID" w:val="La Municipalidad Distrital"/>
        </w:smartTagPr>
        <w:r w:rsidRPr="008A7489">
          <w:rPr>
            <w:rFonts w:ascii="Tahoma" w:hAnsi="Tahoma" w:cs="Tahoma"/>
            <w:i/>
          </w:rPr>
          <w:t>la MUNICIPALIDAD DISTRITAL</w:t>
        </w:r>
      </w:smartTag>
      <w:r w:rsidRPr="008A7489">
        <w:rPr>
          <w:rFonts w:ascii="Tahoma" w:hAnsi="Tahoma" w:cs="Tahoma"/>
          <w:i/>
        </w:rPr>
        <w:t xml:space="preserve"> DE BELLAVISTA podrá ejecutar la presente acta en la vía correspondiente”.</w:t>
      </w:r>
    </w:p>
    <w:p w:rsidR="00A77E70" w:rsidRPr="008A7489" w:rsidRDefault="00A77E70" w:rsidP="00A77E70">
      <w:pPr>
        <w:ind w:left="720"/>
        <w:jc w:val="both"/>
        <w:rPr>
          <w:rFonts w:ascii="Tahoma" w:hAnsi="Tahoma" w:cs="Tahoma"/>
          <w:i/>
        </w:rPr>
      </w:pPr>
    </w:p>
    <w:p w:rsidR="00A77E70" w:rsidRPr="008A7489" w:rsidRDefault="00A77E70" w:rsidP="00A77E70">
      <w:pPr>
        <w:numPr>
          <w:ilvl w:val="0"/>
          <w:numId w:val="4"/>
        </w:numPr>
        <w:tabs>
          <w:tab w:val="clear" w:pos="720"/>
          <w:tab w:val="num" w:pos="148"/>
        </w:tabs>
        <w:ind w:left="360"/>
        <w:jc w:val="both"/>
        <w:rPr>
          <w:rFonts w:ascii="Tahoma" w:hAnsi="Tahoma" w:cs="Tahoma"/>
        </w:rPr>
      </w:pPr>
      <w:r w:rsidRPr="008A7489">
        <w:rPr>
          <w:rFonts w:ascii="Tahoma" w:hAnsi="Tahoma" w:cs="Tahoma"/>
        </w:rPr>
        <w:t xml:space="preserve">El 19 de setiembre de 2006,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presentó el escrito s/n, adjuntando el cheque girado a nuestra empresa del Banco de </w:t>
      </w:r>
      <w:smartTag w:uri="urn:schemas-microsoft-com:office:smarttags" w:element="PersonName">
        <w:smartTagPr>
          <w:attr w:name="ProductID" w:val="la Naci￳n N.ﾰ"/>
        </w:smartTagPr>
        <w:r w:rsidRPr="008A7489">
          <w:rPr>
            <w:rFonts w:ascii="Tahoma" w:hAnsi="Tahoma" w:cs="Tahoma"/>
          </w:rPr>
          <w:t>la Nación N.°</w:t>
        </w:r>
      </w:smartTag>
      <w:r w:rsidRPr="008A7489">
        <w:rPr>
          <w:rFonts w:ascii="Tahoma" w:hAnsi="Tahoma" w:cs="Tahoma"/>
        </w:rPr>
        <w:t xml:space="preserve"> 27010730 que no fue cobrado, señaló que dicha devolución se realiza de acuerdo a lo coordinado en el Acta de </w:t>
      </w:r>
      <w:proofErr w:type="spellStart"/>
      <w:r w:rsidRPr="008A7489">
        <w:rPr>
          <w:rFonts w:ascii="Tahoma" w:hAnsi="Tahoma" w:cs="Tahoma"/>
        </w:rPr>
        <w:t>Conciliacion</w:t>
      </w:r>
      <w:proofErr w:type="spellEnd"/>
      <w:r w:rsidRPr="008A7489">
        <w:rPr>
          <w:rFonts w:ascii="Tahoma" w:hAnsi="Tahoma" w:cs="Tahoma"/>
        </w:rPr>
        <w:t xml:space="preserve"> suscrita el día viernes 15 de setiembre de 2006. </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22 de setiembre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expidió </w:t>
      </w:r>
      <w:smartTag w:uri="urn:schemas-microsoft-com:office:smarttags" w:element="PersonName">
        <w:smartTagPr>
          <w:attr w:name="ProductID" w:val="la Resoluci￳n"/>
        </w:smartTagPr>
        <w:r w:rsidRPr="008A7489">
          <w:rPr>
            <w:rFonts w:ascii="Tahoma" w:hAnsi="Tahoma" w:cs="Tahoma"/>
          </w:rPr>
          <w:t>la Resolución</w:t>
        </w:r>
      </w:smartTag>
      <w:r w:rsidRPr="008A7489">
        <w:rPr>
          <w:rFonts w:ascii="Tahoma" w:hAnsi="Tahoma" w:cs="Tahoma"/>
        </w:rPr>
        <w:t xml:space="preserve"> de Alcaldía N.° 098-2006-MDB-AL, cuyo artículo 1 y 2 de la parte resolutiva dispuso lo siguiente:</w:t>
      </w:r>
    </w:p>
    <w:p w:rsidR="00A77E70" w:rsidRPr="008A7489" w:rsidRDefault="00A77E70" w:rsidP="00A77E70">
      <w:pPr>
        <w:ind w:left="708"/>
        <w:jc w:val="both"/>
        <w:rPr>
          <w:rFonts w:ascii="Tahoma" w:hAnsi="Tahoma" w:cs="Tahoma"/>
        </w:rPr>
      </w:pPr>
    </w:p>
    <w:p w:rsidR="00A77E70" w:rsidRPr="008A7489" w:rsidRDefault="00A77E70" w:rsidP="00A77E70">
      <w:pPr>
        <w:ind w:left="1080"/>
        <w:jc w:val="both"/>
        <w:rPr>
          <w:rFonts w:ascii="Tahoma" w:hAnsi="Tahoma" w:cs="Tahoma"/>
          <w:i/>
        </w:rPr>
      </w:pPr>
      <w:r w:rsidRPr="008A7489">
        <w:rPr>
          <w:rFonts w:ascii="Tahoma" w:hAnsi="Tahoma" w:cs="Tahoma"/>
        </w:rPr>
        <w:t>“</w:t>
      </w:r>
      <w:r w:rsidRPr="008A7489">
        <w:rPr>
          <w:rFonts w:ascii="Tahoma" w:hAnsi="Tahoma" w:cs="Tahoma"/>
          <w:i/>
        </w:rPr>
        <w:t xml:space="preserve">Artículo 1°.- Aprobar el Acta de Conciliación N.° 219-06, Acuerdo Total celebrado el 15 de setiembre de 2006 entre la empresa  ARQUITEK CONTRATISTAS GENERALES S.R.L y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8A7489">
            <w:rPr>
              <w:rFonts w:ascii="Tahoma" w:hAnsi="Tahoma" w:cs="Tahoma"/>
              <w:i/>
            </w:rPr>
            <w:t>la Municipalidad</w:t>
          </w:r>
        </w:smartTag>
        <w:r w:rsidRPr="008A7489">
          <w:rPr>
            <w:rFonts w:ascii="Tahoma" w:hAnsi="Tahoma" w:cs="Tahoma"/>
            <w:i/>
          </w:rPr>
          <w:t xml:space="preserve"> Distrital</w:t>
        </w:r>
      </w:smartTag>
      <w:r w:rsidRPr="008A7489">
        <w:rPr>
          <w:rFonts w:ascii="Tahoma" w:hAnsi="Tahoma" w:cs="Tahoma"/>
          <w:i/>
        </w:rPr>
        <w:t xml:space="preserve"> de Bellavista ante el Centro de Conciliación del Ilustre Colegio de Abogados del Callao; documento que forma parte integrante de la presente Resolución.</w:t>
      </w:r>
    </w:p>
    <w:p w:rsidR="00A77E70" w:rsidRPr="008A7489" w:rsidRDefault="00A77E70" w:rsidP="00A77E70">
      <w:pPr>
        <w:ind w:left="708"/>
        <w:jc w:val="both"/>
        <w:rPr>
          <w:rFonts w:ascii="Tahoma" w:hAnsi="Tahoma" w:cs="Tahoma"/>
          <w:i/>
        </w:rPr>
      </w:pPr>
    </w:p>
    <w:p w:rsidR="00A77E70" w:rsidRPr="008A7489" w:rsidRDefault="00A77E70" w:rsidP="00A77E70">
      <w:pPr>
        <w:ind w:left="1080"/>
        <w:jc w:val="both"/>
        <w:rPr>
          <w:rFonts w:ascii="Tahoma" w:hAnsi="Tahoma" w:cs="Tahoma"/>
        </w:rPr>
      </w:pPr>
      <w:r w:rsidRPr="008A7489">
        <w:rPr>
          <w:rFonts w:ascii="Tahoma" w:hAnsi="Tahoma" w:cs="Tahoma"/>
          <w:i/>
        </w:rPr>
        <w:t xml:space="preserve">Artículo 2°.- Dejar sin efecto </w:t>
      </w:r>
      <w:smartTag w:uri="urn:schemas-microsoft-com:office:smarttags" w:element="PersonName">
        <w:smartTagPr>
          <w:attr w:name="ProductID" w:val="la Resoluci￳n"/>
        </w:smartTagPr>
        <w:r w:rsidRPr="008A7489">
          <w:rPr>
            <w:rFonts w:ascii="Tahoma" w:hAnsi="Tahoma" w:cs="Tahoma"/>
            <w:i/>
          </w:rPr>
          <w:t>la Resolución</w:t>
        </w:r>
      </w:smartTag>
      <w:r w:rsidRPr="008A7489">
        <w:rPr>
          <w:rFonts w:ascii="Tahoma" w:hAnsi="Tahoma" w:cs="Tahoma"/>
          <w:i/>
        </w:rPr>
        <w:t xml:space="preserve"> de Alcaldía N° 096-2006-MDB-AL del 04 de setiembre de 2006 y autorizar la suscripción de las </w:t>
      </w:r>
      <w:proofErr w:type="spellStart"/>
      <w:r w:rsidRPr="008A7489">
        <w:rPr>
          <w:rFonts w:ascii="Tahoma" w:hAnsi="Tahoma" w:cs="Tahoma"/>
          <w:i/>
        </w:rPr>
        <w:t>addendas</w:t>
      </w:r>
      <w:proofErr w:type="spellEnd"/>
      <w:r w:rsidRPr="008A7489">
        <w:rPr>
          <w:rFonts w:ascii="Tahoma" w:hAnsi="Tahoma" w:cs="Tahoma"/>
          <w:i/>
        </w:rPr>
        <w:t xml:space="preserve"> al contrato de obra correspondiente a </w:t>
      </w:r>
      <w:smartTag w:uri="urn:schemas-microsoft-com:office:smarttags" w:element="PersonName">
        <w:smartTagPr>
          <w:attr w:name="ProductID" w:val="la  Adjudicaci￳n Directa"/>
        </w:smartTagPr>
        <w:r w:rsidRPr="008A7489">
          <w:rPr>
            <w:rFonts w:ascii="Tahoma" w:hAnsi="Tahoma" w:cs="Tahoma"/>
            <w:i/>
          </w:rPr>
          <w:t xml:space="preserve">la  </w:t>
        </w:r>
        <w:r w:rsidRPr="008A7489">
          <w:rPr>
            <w:rFonts w:ascii="Tahoma" w:hAnsi="Tahoma" w:cs="Tahoma"/>
          </w:rPr>
          <w:t>Adjudicación Directa</w:t>
        </w:r>
      </w:smartTag>
      <w:r w:rsidRPr="008A7489">
        <w:rPr>
          <w:rFonts w:ascii="Tahoma" w:hAnsi="Tahoma" w:cs="Tahoma"/>
        </w:rPr>
        <w:t xml:space="preserve"> Selectiva N</w:t>
      </w:r>
      <w:proofErr w:type="gramStart"/>
      <w:r w:rsidRPr="008A7489">
        <w:rPr>
          <w:rFonts w:ascii="Tahoma" w:hAnsi="Tahoma" w:cs="Tahoma"/>
        </w:rPr>
        <w:t>.º</w:t>
      </w:r>
      <w:proofErr w:type="gramEnd"/>
      <w:r w:rsidRPr="008A7489">
        <w:rPr>
          <w:rFonts w:ascii="Tahoma" w:hAnsi="Tahoma" w:cs="Tahoma"/>
        </w:rPr>
        <w:t xml:space="preserve"> 004-2006-OB-CE-MUDIBE/DDU, respecto a las cláusulas referidas a los plazos de ejecución y garantías del contrato.</w:t>
      </w:r>
    </w:p>
    <w:p w:rsidR="00A77E70" w:rsidRPr="008A7489" w:rsidRDefault="00A77E70" w:rsidP="00A77E70">
      <w:pPr>
        <w:ind w:left="708"/>
        <w:jc w:val="both"/>
        <w:rPr>
          <w:rFonts w:ascii="Tahoma" w:hAnsi="Tahoma" w:cs="Tahoma"/>
        </w:rPr>
      </w:pPr>
      <w:r w:rsidRPr="008A7489">
        <w:rPr>
          <w:rFonts w:ascii="Tahoma" w:hAnsi="Tahoma" w:cs="Tahoma"/>
        </w:rPr>
        <w:t xml:space="preserve">       (…)”</w:t>
      </w:r>
    </w:p>
    <w:p w:rsidR="00A77E70" w:rsidRPr="008A7489" w:rsidRDefault="00A77E70" w:rsidP="00A77E70">
      <w:pPr>
        <w:ind w:left="708"/>
        <w:jc w:val="both"/>
        <w:rPr>
          <w:rFonts w:ascii="Tahoma" w:hAnsi="Tahoma" w:cs="Tahoma"/>
          <w:i/>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3 de octubre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y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suscribieron el </w:t>
      </w:r>
      <w:proofErr w:type="spellStart"/>
      <w:r w:rsidRPr="008A7489">
        <w:rPr>
          <w:rFonts w:ascii="Tahoma" w:hAnsi="Tahoma" w:cs="Tahoma"/>
        </w:rPr>
        <w:t>Addendum</w:t>
      </w:r>
      <w:proofErr w:type="spellEnd"/>
      <w:r w:rsidRPr="008A7489">
        <w:rPr>
          <w:rFonts w:ascii="Tahoma" w:hAnsi="Tahoma" w:cs="Tahoma"/>
        </w:rPr>
        <w:t xml:space="preserve"> al Contrato de Obra Adjudicación Directa Selectiva N</w:t>
      </w:r>
      <w:proofErr w:type="gramStart"/>
      <w:r w:rsidRPr="008A7489">
        <w:rPr>
          <w:rFonts w:ascii="Tahoma" w:hAnsi="Tahoma" w:cs="Tahoma"/>
        </w:rPr>
        <w:t>.º</w:t>
      </w:r>
      <w:proofErr w:type="gramEnd"/>
      <w:r w:rsidRPr="008A7489">
        <w:rPr>
          <w:rFonts w:ascii="Tahoma" w:hAnsi="Tahoma" w:cs="Tahoma"/>
        </w:rPr>
        <w:t xml:space="preserve"> 004-2006-OB-CE-MUDIBE/DDU, relacionadas con el plazo de ejecución y de las garantías, de acuerdo a lo establecido en </w:t>
      </w:r>
      <w:smartTag w:uri="urn:schemas-microsoft-com:office:smarttags" w:element="PersonName">
        <w:smartTagPr>
          <w:attr w:name="ProductID" w:val="la Resoluci￳n"/>
        </w:smartTagPr>
        <w:r w:rsidRPr="008A7489">
          <w:rPr>
            <w:rFonts w:ascii="Tahoma" w:hAnsi="Tahoma" w:cs="Tahoma"/>
          </w:rPr>
          <w:t>la Resolución</w:t>
        </w:r>
      </w:smartTag>
      <w:r w:rsidRPr="008A7489">
        <w:rPr>
          <w:rFonts w:ascii="Tahoma" w:hAnsi="Tahoma" w:cs="Tahoma"/>
        </w:rPr>
        <w:t xml:space="preserve"> de Alcaldía N.° 098-2006-MDB-AL. En dicha oportunidad,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presentó como garantías lo siguiente: </w:t>
      </w:r>
    </w:p>
    <w:p w:rsidR="00A77E70" w:rsidRPr="008A7489" w:rsidRDefault="00A77E70" w:rsidP="00A77E70">
      <w:pPr>
        <w:ind w:left="360"/>
        <w:jc w:val="both"/>
        <w:rPr>
          <w:rFonts w:ascii="Tahoma" w:hAnsi="Tahoma" w:cs="Tahoma"/>
        </w:rPr>
      </w:pPr>
    </w:p>
    <w:p w:rsidR="00A77E70" w:rsidRPr="008A7489" w:rsidRDefault="00A77E70" w:rsidP="00A77E70">
      <w:pPr>
        <w:ind w:left="360"/>
        <w:jc w:val="both"/>
        <w:rPr>
          <w:rFonts w:ascii="Tahoma" w:hAnsi="Tahoma" w:cs="Tahoma"/>
        </w:rPr>
      </w:pPr>
      <w:r w:rsidRPr="008A7489">
        <w:rPr>
          <w:rFonts w:ascii="Tahoma" w:hAnsi="Tahoma" w:cs="Tahoma"/>
          <w:b/>
        </w:rPr>
        <w:t>Póliza de Seguro de Caución N.° 6815347 00</w:t>
      </w:r>
      <w:r w:rsidRPr="008A7489">
        <w:rPr>
          <w:rFonts w:ascii="Tahoma" w:hAnsi="Tahoma" w:cs="Tahoma"/>
        </w:rPr>
        <w:t xml:space="preserve"> emitida por Latina Seguros y Reaseguros S.A., por el monto de S/.62 874,80 Nuevos Soles, cuya vigencia era desde 16 de agosto de 2006 hasta el 13 de noviembre de 2006, por concepto de garantía de adelanto directo, y </w:t>
      </w:r>
      <w:smartTag w:uri="urn:schemas-microsoft-com:office:smarttags" w:element="PersonName">
        <w:smartTagPr>
          <w:attr w:name="ProductID" w:val="la P￳liza"/>
        </w:smartTagPr>
        <w:r w:rsidRPr="008A7489">
          <w:rPr>
            <w:rFonts w:ascii="Tahoma" w:hAnsi="Tahoma" w:cs="Tahoma"/>
          </w:rPr>
          <w:t xml:space="preserve">la </w:t>
        </w:r>
        <w:r w:rsidRPr="008A7489">
          <w:rPr>
            <w:rFonts w:ascii="Tahoma" w:hAnsi="Tahoma" w:cs="Tahoma"/>
            <w:b/>
          </w:rPr>
          <w:t>Póliza</w:t>
        </w:r>
      </w:smartTag>
      <w:r w:rsidRPr="008A7489">
        <w:rPr>
          <w:rFonts w:ascii="Tahoma" w:hAnsi="Tahoma" w:cs="Tahoma"/>
          <w:b/>
        </w:rPr>
        <w:t xml:space="preserve"> de Seguro de Caución N.° 6815292 00</w:t>
      </w:r>
      <w:r w:rsidRPr="008A7489">
        <w:rPr>
          <w:rFonts w:ascii="Tahoma" w:hAnsi="Tahoma" w:cs="Tahoma"/>
        </w:rPr>
        <w:t xml:space="preserve"> emitida por Latina Seguros y Reaseguros S.A., por el monto de S/.31 437,40 Nuevos Soles, cuya vigencia era desde 7 de agosto de 2006 hasta el 3 de enero de 2007, como garantía de fiel cumplimiento.</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Por Oficio N.° 193-2006-MUDIBE/SG y Oficio N.° 203-2006-MUDIBE/SG, recibidos por </w:t>
      </w:r>
      <w:smartTag w:uri="urn:schemas-microsoft-com:office:smarttags" w:element="PersonName">
        <w:smartTagPr>
          <w:attr w:name="ProductID" w:val="la Oficina"/>
        </w:smartTagPr>
        <w:r w:rsidRPr="008A7489">
          <w:rPr>
            <w:rFonts w:ascii="Tahoma" w:hAnsi="Tahoma" w:cs="Tahoma"/>
          </w:rPr>
          <w:t>la Oficina</w:t>
        </w:r>
      </w:smartTag>
      <w:r w:rsidRPr="008A7489">
        <w:rPr>
          <w:rFonts w:ascii="Tahoma" w:hAnsi="Tahoma" w:cs="Tahoma"/>
        </w:rPr>
        <w:t xml:space="preserve"> de Mesa de Partes del Tribunal el 29 de setiembre de 2006 y 06 de octubre de 2006, respectivamente, la Entidad puso en conocimiento del Tribunal de la expedición de </w:t>
      </w:r>
      <w:smartTag w:uri="urn:schemas-microsoft-com:office:smarttags" w:element="PersonName">
        <w:smartTagPr>
          <w:attr w:name="ProductID" w:val="la Resoluci￳n"/>
        </w:smartTagPr>
        <w:r w:rsidRPr="008A7489">
          <w:rPr>
            <w:rFonts w:ascii="Tahoma" w:hAnsi="Tahoma" w:cs="Tahoma"/>
          </w:rPr>
          <w:t>la Resolución</w:t>
        </w:r>
      </w:smartTag>
      <w:r w:rsidRPr="008A7489">
        <w:rPr>
          <w:rFonts w:ascii="Tahoma" w:hAnsi="Tahoma" w:cs="Tahoma"/>
        </w:rPr>
        <w:t xml:space="preserve"> de Alcaldía N.° 098-2006-MDB-AL, que aprobó el Acta de Conciliación N.° 219-</w:t>
      </w:r>
      <w:r w:rsidRPr="008A7489">
        <w:rPr>
          <w:rFonts w:ascii="Tahoma" w:hAnsi="Tahoma" w:cs="Tahoma"/>
        </w:rPr>
        <w:lastRenderedPageBreak/>
        <w:t xml:space="preserve">06 celebrada con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y dejó sin efecto </w:t>
      </w:r>
      <w:smartTag w:uri="urn:schemas-microsoft-com:office:smarttags" w:element="PersonName">
        <w:smartTagPr>
          <w:attr w:name="ProductID" w:val="la Resoluci￳n"/>
        </w:smartTagPr>
        <w:r w:rsidRPr="008A7489">
          <w:rPr>
            <w:rFonts w:ascii="Tahoma" w:hAnsi="Tahoma" w:cs="Tahoma"/>
          </w:rPr>
          <w:t>la Resolución</w:t>
        </w:r>
      </w:smartTag>
      <w:r w:rsidRPr="008A7489">
        <w:rPr>
          <w:rFonts w:ascii="Tahoma" w:hAnsi="Tahoma" w:cs="Tahoma"/>
        </w:rPr>
        <w:t xml:space="preserve"> de Alcaldía N.° 096-2006-MDB-AL de 4 de setiembre de 2006, cuyo artículo 1 de la parte resolutiva  dispuso declarar de oficio la nulidad del Contrato de Obra correspondiente a </w:t>
      </w:r>
      <w:smartTag w:uri="urn:schemas-microsoft-com:office:smarttags" w:element="PersonName">
        <w:smartTagPr>
          <w:attr w:name="ProductID" w:val="la Adjudicaci￳n Directa"/>
        </w:smartTagPr>
        <w:r w:rsidRPr="008A7489">
          <w:rPr>
            <w:rFonts w:ascii="Tahoma" w:hAnsi="Tahoma" w:cs="Tahoma"/>
          </w:rPr>
          <w:t>la Adjudicación Directa</w:t>
        </w:r>
      </w:smartTag>
      <w:r w:rsidRPr="008A7489">
        <w:rPr>
          <w:rFonts w:ascii="Tahoma" w:hAnsi="Tahoma" w:cs="Tahoma"/>
        </w:rPr>
        <w:t xml:space="preserve"> Selectiva N.º 004-2006-OB-CE-MUDIBE/DDU.</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12 de octubre de </w:t>
      </w:r>
      <w:smartTag w:uri="urn:schemas-microsoft-com:office:smarttags" w:element="metricconverter">
        <w:smartTagPr>
          <w:attr w:name="ProductID" w:val="2006, a"/>
        </w:smartTagPr>
        <w:r w:rsidRPr="008A7489">
          <w:rPr>
            <w:rFonts w:ascii="Tahoma" w:hAnsi="Tahoma" w:cs="Tahoma"/>
          </w:rPr>
          <w:t>2006, a</w:t>
        </w:r>
      </w:smartTag>
      <w:r w:rsidRPr="008A7489">
        <w:rPr>
          <w:rFonts w:ascii="Tahoma" w:hAnsi="Tahoma" w:cs="Tahoma"/>
        </w:rPr>
        <w:t xml:space="preserve"> fin de iniciar el procedimiento administrativo correspondiente, de ser el caso, se requirió a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para que remita, entre otros, el informe técnico o legal de su asesoría sobre la procedencia y responsabilidad de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copia de los documentos supuestamente falsos. </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Por Carta s/n de 19 de octubre de 2006, </w:t>
      </w:r>
      <w:smartTag w:uri="urn:schemas-microsoft-com:office:smarttags" w:element="PersonName">
        <w:smartTagPr>
          <w:attr w:name="ProductID" w:val="la Contratista"/>
        </w:smartTagPr>
        <w:r w:rsidRPr="008A7489">
          <w:rPr>
            <w:rFonts w:ascii="Tahoma" w:hAnsi="Tahoma" w:cs="Tahoma"/>
          </w:rPr>
          <w:t>la Contratista</w:t>
        </w:r>
      </w:smartTag>
      <w:r w:rsidRPr="008A7489">
        <w:rPr>
          <w:rFonts w:ascii="Tahoma" w:hAnsi="Tahoma" w:cs="Tahoma"/>
        </w:rPr>
        <w:t xml:space="preserve"> remitió a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la </w:t>
      </w:r>
      <w:r w:rsidRPr="008A7489">
        <w:rPr>
          <w:rFonts w:ascii="Tahoma" w:hAnsi="Tahoma" w:cs="Tahoma"/>
          <w:b/>
        </w:rPr>
        <w:t>Póliza de Seguro de Caución N.° 6815348 00</w:t>
      </w:r>
      <w:r w:rsidRPr="008A7489">
        <w:rPr>
          <w:rFonts w:ascii="Tahoma" w:hAnsi="Tahoma" w:cs="Tahoma"/>
        </w:rPr>
        <w:t xml:space="preserve"> emitida por Latina Seguros y Reaseguros S.A., por el monto de S/.96 512,83 Nuevos Soles, cuya vigencia era desde 16 de agosto de 2006 hasta el 13 de noviembre de 2006, en garantía por el adelanto de materiales de la obra, relacionado con el contrato derivado de </w:t>
      </w:r>
      <w:smartTag w:uri="urn:schemas-microsoft-com:office:smarttags" w:element="PersonName">
        <w:smartTagPr>
          <w:attr w:name="ProductID" w:val="la Adjudicaci￳n Directa"/>
        </w:smartTagPr>
        <w:r w:rsidRPr="008A7489">
          <w:rPr>
            <w:rFonts w:ascii="Tahoma" w:hAnsi="Tahoma" w:cs="Tahoma"/>
          </w:rPr>
          <w:t>la Adjudicación Directa</w:t>
        </w:r>
      </w:smartTag>
      <w:r w:rsidRPr="008A7489">
        <w:rPr>
          <w:rFonts w:ascii="Tahoma" w:hAnsi="Tahoma" w:cs="Tahoma"/>
        </w:rPr>
        <w:t xml:space="preserve"> Selectiva N</w:t>
      </w:r>
      <w:proofErr w:type="gramStart"/>
      <w:r w:rsidRPr="008A7489">
        <w:rPr>
          <w:rFonts w:ascii="Tahoma" w:hAnsi="Tahoma" w:cs="Tahoma"/>
        </w:rPr>
        <w:t>.º</w:t>
      </w:r>
      <w:proofErr w:type="gramEnd"/>
      <w:r w:rsidRPr="008A7489">
        <w:rPr>
          <w:rFonts w:ascii="Tahoma" w:hAnsi="Tahoma" w:cs="Tahoma"/>
        </w:rPr>
        <w:t xml:space="preserve"> 004-2006-OB-CE-MUDIBE/DDU.</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13 de noviembre de 2006, </w:t>
      </w:r>
      <w:smartTag w:uri="urn:schemas-microsoft-com:office:smarttags" w:element="PersonName">
        <w:smartTagPr>
          <w:attr w:name="ProductID" w:val="la Entidad"/>
        </w:smartTagPr>
        <w:r w:rsidRPr="008A7489">
          <w:rPr>
            <w:rFonts w:ascii="Tahoma" w:hAnsi="Tahoma" w:cs="Tahoma"/>
          </w:rPr>
          <w:t>la Entidad</w:t>
        </w:r>
      </w:smartTag>
      <w:r w:rsidRPr="008A7489">
        <w:rPr>
          <w:rFonts w:ascii="Tahoma" w:hAnsi="Tahoma" w:cs="Tahoma"/>
        </w:rPr>
        <w:t xml:space="preserve"> remitió la documentación solicitada, motivo por el cual se inició procedimiento administrativo sancionador contra la Contratista por supuesta responsabilidad en la presentación de documentos falsos o inexactos; infracción tipificada en el numeral 9) del artículo 294 del Reglamento de </w:t>
      </w:r>
      <w:smartTag w:uri="urn:schemas-microsoft-com:office:smarttags" w:element="PersonName">
        <w:smartTagPr>
          <w:attr w:name="ProductID" w:val="la Ley"/>
        </w:smartTagPr>
        <w:r w:rsidRPr="008A7489">
          <w:rPr>
            <w:rFonts w:ascii="Tahoma" w:hAnsi="Tahoma" w:cs="Tahoma"/>
          </w:rPr>
          <w:t>la Ley</w:t>
        </w:r>
      </w:smartTag>
      <w:r w:rsidRPr="008A7489">
        <w:rPr>
          <w:rFonts w:ascii="Tahoma" w:hAnsi="Tahoma" w:cs="Tahoma"/>
        </w:rPr>
        <w:t xml:space="preserve"> de Contrataciones y Adquisiciones del Estado, aprobado mediante Decreto Supremo N.º 084-2004-PCM, emplazándolo a fin que presente su escrito de descargos en un plazo de diez días.</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Por Cédula de Notificación N.º 22996/2006.TC, notificada el 4 de diciembre de 2006, se comunicó el inicio del procedimiento administrativo sancionador y se requirió a la empresa </w:t>
      </w:r>
      <w:proofErr w:type="spellStart"/>
      <w:r w:rsidRPr="008A7489">
        <w:rPr>
          <w:rFonts w:ascii="Tahoma" w:hAnsi="Tahoma" w:cs="Tahoma"/>
        </w:rPr>
        <w:t>Arquitek</w:t>
      </w:r>
      <w:proofErr w:type="spellEnd"/>
      <w:r w:rsidRPr="008A7489">
        <w:rPr>
          <w:rFonts w:ascii="Tahoma" w:hAnsi="Tahoma" w:cs="Tahoma"/>
        </w:rPr>
        <w:t xml:space="preserve"> Contratistas Generales S.R.L., cumpla con presentar su escrito de descargos.</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20 de diciembre de 2006, la empresa </w:t>
      </w:r>
      <w:proofErr w:type="spellStart"/>
      <w:r w:rsidRPr="008A7489">
        <w:rPr>
          <w:rFonts w:ascii="Tahoma" w:hAnsi="Tahoma" w:cs="Tahoma"/>
        </w:rPr>
        <w:t>Arquitek</w:t>
      </w:r>
      <w:proofErr w:type="spellEnd"/>
      <w:r w:rsidRPr="008A7489">
        <w:rPr>
          <w:rFonts w:ascii="Tahoma" w:hAnsi="Tahoma" w:cs="Tahoma"/>
        </w:rPr>
        <w:t xml:space="preserve"> Contratistas Generales S.R.L. presentó su escrito de descargos, manifestando lo siguiente: </w:t>
      </w:r>
    </w:p>
    <w:p w:rsidR="00A77E70" w:rsidRPr="008A7489" w:rsidRDefault="00A77E70" w:rsidP="00A77E70">
      <w:pPr>
        <w:jc w:val="both"/>
        <w:rPr>
          <w:rFonts w:ascii="Tahoma" w:hAnsi="Tahoma" w:cs="Tahoma"/>
        </w:rPr>
      </w:pPr>
    </w:p>
    <w:p w:rsidR="00A77E70" w:rsidRPr="008A7489" w:rsidRDefault="00A77E70" w:rsidP="00A77E70">
      <w:pPr>
        <w:numPr>
          <w:ilvl w:val="0"/>
          <w:numId w:val="6"/>
        </w:numPr>
        <w:tabs>
          <w:tab w:val="clear" w:pos="720"/>
        </w:tabs>
        <w:jc w:val="both"/>
        <w:rPr>
          <w:rFonts w:ascii="Tahoma" w:hAnsi="Tahoma" w:cs="Tahoma"/>
        </w:rPr>
      </w:pPr>
      <w:r w:rsidRPr="008A7489">
        <w:rPr>
          <w:rFonts w:ascii="Tahoma" w:hAnsi="Tahoma" w:cs="Tahoma"/>
        </w:rPr>
        <w:t xml:space="preserve">  Que para la obtención de las garantías se contactaron con el señor Roberto Darío Chumbe </w:t>
      </w:r>
      <w:proofErr w:type="spellStart"/>
      <w:r w:rsidRPr="008A7489">
        <w:rPr>
          <w:rFonts w:ascii="Tahoma" w:hAnsi="Tahoma" w:cs="Tahoma"/>
        </w:rPr>
        <w:t>Benitez</w:t>
      </w:r>
      <w:proofErr w:type="spellEnd"/>
      <w:r w:rsidRPr="008A7489">
        <w:rPr>
          <w:rFonts w:ascii="Tahoma" w:hAnsi="Tahoma" w:cs="Tahoma"/>
        </w:rPr>
        <w:t>, quien les entregó una tarjeta personal, indicando ser funcionario del Banco de Comercio. Refirió que dicho señor les entregó las Cartas Fianzas que posteriormente fueron presentadas ante la Entidad.</w:t>
      </w:r>
    </w:p>
    <w:p w:rsidR="00A77E70" w:rsidRPr="008A7489" w:rsidRDefault="00A77E70" w:rsidP="00A77E70">
      <w:pPr>
        <w:numPr>
          <w:ilvl w:val="0"/>
          <w:numId w:val="6"/>
        </w:numPr>
        <w:tabs>
          <w:tab w:val="clear" w:pos="720"/>
        </w:tabs>
        <w:jc w:val="both"/>
        <w:rPr>
          <w:rFonts w:ascii="Tahoma" w:hAnsi="Tahoma" w:cs="Tahoma"/>
        </w:rPr>
      </w:pPr>
      <w:r w:rsidRPr="008A7489">
        <w:rPr>
          <w:rFonts w:ascii="Tahoma" w:hAnsi="Tahoma" w:cs="Tahoma"/>
        </w:rPr>
        <w:t xml:space="preserve"> Su representada actuó dentro del principio de presunción de veracidad, pues contrataron una tercera persona, para la obtención de las pólizas que garantizaban el cumplimiento de la obra, y han sido sorprendidos, en consecuencia, su actuación ha sido de buena fe.</w:t>
      </w:r>
    </w:p>
    <w:p w:rsidR="00A77E70" w:rsidRPr="008A7489" w:rsidRDefault="00A77E70" w:rsidP="00A77E70">
      <w:pPr>
        <w:numPr>
          <w:ilvl w:val="0"/>
          <w:numId w:val="6"/>
        </w:numPr>
        <w:tabs>
          <w:tab w:val="clear" w:pos="720"/>
        </w:tabs>
        <w:jc w:val="both"/>
        <w:rPr>
          <w:rFonts w:ascii="Tahoma" w:hAnsi="Tahoma" w:cs="Tahoma"/>
        </w:rPr>
      </w:pPr>
      <w:r w:rsidRPr="008A7489">
        <w:rPr>
          <w:rFonts w:ascii="Tahoma" w:hAnsi="Tahoma" w:cs="Tahoma"/>
        </w:rPr>
        <w:t xml:space="preserve"> Que al haber tomado conocimiento de la falsedad de las cartas fianza procedieron a devolver el cheque girado por la Entidad, el mismo que no fue cobrado por su empresa, y que ratifica su actuación de buena fe.</w:t>
      </w:r>
    </w:p>
    <w:p w:rsidR="00A77E70" w:rsidRPr="008A7489" w:rsidRDefault="00A77E70" w:rsidP="00A77E70">
      <w:pPr>
        <w:numPr>
          <w:ilvl w:val="0"/>
          <w:numId w:val="6"/>
        </w:numPr>
        <w:tabs>
          <w:tab w:val="clear" w:pos="720"/>
        </w:tabs>
        <w:jc w:val="both"/>
        <w:rPr>
          <w:rFonts w:ascii="Tahoma" w:hAnsi="Tahoma" w:cs="Tahoma"/>
        </w:rPr>
      </w:pPr>
      <w:r w:rsidRPr="008A7489">
        <w:rPr>
          <w:rFonts w:ascii="Tahoma" w:hAnsi="Tahoma" w:cs="Tahoma"/>
        </w:rPr>
        <w:t xml:space="preserve"> Refiere que al amparo de lo establecido en el artículo 202 del Decreto Supremo N</w:t>
      </w:r>
      <w:proofErr w:type="gramStart"/>
      <w:r w:rsidRPr="008A7489">
        <w:rPr>
          <w:rFonts w:ascii="Tahoma" w:hAnsi="Tahoma" w:cs="Tahoma"/>
        </w:rPr>
        <w:t>.º</w:t>
      </w:r>
      <w:proofErr w:type="gramEnd"/>
      <w:r w:rsidRPr="008A7489">
        <w:rPr>
          <w:rFonts w:ascii="Tahoma" w:hAnsi="Tahoma" w:cs="Tahoma"/>
        </w:rPr>
        <w:t xml:space="preserve"> 084-2004-PCM, sometió la controversia a conciliación. Que con fecha posterior a la suscripción del Acta de Conciliación N</w:t>
      </w:r>
      <w:proofErr w:type="gramStart"/>
      <w:r w:rsidRPr="008A7489">
        <w:rPr>
          <w:rFonts w:ascii="Tahoma" w:hAnsi="Tahoma" w:cs="Tahoma"/>
        </w:rPr>
        <w:t>.º</w:t>
      </w:r>
      <w:proofErr w:type="gramEnd"/>
      <w:r w:rsidRPr="008A7489">
        <w:rPr>
          <w:rFonts w:ascii="Tahoma" w:hAnsi="Tahoma" w:cs="Tahoma"/>
        </w:rPr>
        <w:t xml:space="preserve"> 219-06 su representada ha cumplido con la culminación de la obra, e inclusive ha solicitado a la Entidad se les otorgue la conformidad de obra.</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lastRenderedPageBreak/>
        <w:t>El 26 de diciembre de 2006, se remitió el expediente a la entonces Sala Única del Tribunal para que resuelva.</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26 de abril de 2006, se remitió el expediente a </w:t>
      </w:r>
      <w:smartTag w:uri="urn:schemas-microsoft-com:office:smarttags" w:element="PersonName">
        <w:smartTagPr>
          <w:attr w:name="ProductID" w:val="la Tercera Sala"/>
        </w:smartTagPr>
        <w:smartTag w:uri="urn:schemas-microsoft-com:office:smarttags" w:element="PersonName">
          <w:smartTagPr>
            <w:attr w:name="ProductID" w:val="la Tercera"/>
          </w:smartTagPr>
          <w:r w:rsidRPr="008A7489">
            <w:rPr>
              <w:rFonts w:ascii="Tahoma" w:hAnsi="Tahoma" w:cs="Tahoma"/>
            </w:rPr>
            <w:t>la Tercera</w:t>
          </w:r>
        </w:smartTag>
        <w:r w:rsidRPr="008A7489">
          <w:rPr>
            <w:rFonts w:ascii="Tahoma" w:hAnsi="Tahoma" w:cs="Tahoma"/>
          </w:rPr>
          <w:t xml:space="preserve"> Sala</w:t>
        </w:r>
      </w:smartTag>
      <w:r w:rsidRPr="008A7489">
        <w:rPr>
          <w:rFonts w:ascii="Tahoma" w:hAnsi="Tahoma" w:cs="Tahoma"/>
        </w:rPr>
        <w:t xml:space="preserve"> del Tribunal en virtud a lo dispuesto en </w:t>
      </w:r>
      <w:smartTag w:uri="urn:schemas-microsoft-com:office:smarttags" w:element="PersonName">
        <w:smartTagPr>
          <w:attr w:name="ProductID" w:val="la Resoluci￳n N.ﾰ"/>
        </w:smartTagPr>
        <w:smartTag w:uri="urn:schemas-microsoft-com:office:smarttags" w:element="PersonName">
          <w:smartTagPr>
            <w:attr w:name="ProductID" w:val="la Resoluci￳n"/>
          </w:smartTagPr>
          <w:r w:rsidRPr="008A7489">
            <w:rPr>
              <w:rFonts w:ascii="Tahoma" w:hAnsi="Tahoma" w:cs="Tahoma"/>
            </w:rPr>
            <w:t>la Resolución</w:t>
          </w:r>
        </w:smartTag>
        <w:r w:rsidRPr="008A7489">
          <w:rPr>
            <w:rFonts w:ascii="Tahoma" w:hAnsi="Tahoma" w:cs="Tahoma"/>
          </w:rPr>
          <w:t xml:space="preserve"> N.°</w:t>
        </w:r>
      </w:smartTag>
      <w:r w:rsidRPr="008A7489">
        <w:rPr>
          <w:rFonts w:ascii="Tahoma" w:hAnsi="Tahoma" w:cs="Tahoma"/>
        </w:rPr>
        <w:t xml:space="preserve"> 177-2007-CONSUCODE/PRE de 4 de junio de 2007.</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El 21 de mayo de 2007, se expidió </w:t>
      </w:r>
      <w:smartTag w:uri="urn:schemas-microsoft-com:office:smarttags" w:element="PersonName">
        <w:smartTagPr>
          <w:attr w:name="ProductID" w:val="la Resoluci￳n N.ﾺ"/>
        </w:smartTagPr>
        <w:r w:rsidRPr="008A7489">
          <w:rPr>
            <w:rFonts w:ascii="Tahoma" w:hAnsi="Tahoma" w:cs="Tahoma"/>
          </w:rPr>
          <w:t>la Resolución N</w:t>
        </w:r>
        <w:proofErr w:type="gramStart"/>
        <w:r w:rsidRPr="008A7489">
          <w:rPr>
            <w:rFonts w:ascii="Tahoma" w:hAnsi="Tahoma" w:cs="Tahoma"/>
          </w:rPr>
          <w:t>.º</w:t>
        </w:r>
      </w:smartTag>
      <w:proofErr w:type="gramEnd"/>
      <w:r w:rsidRPr="008A7489">
        <w:rPr>
          <w:rFonts w:ascii="Tahoma" w:hAnsi="Tahoma" w:cs="Tahoma"/>
        </w:rPr>
        <w:t xml:space="preserve"> 279-2007-CONSUCODE/PRE, que </w:t>
      </w:r>
      <w:proofErr w:type="spellStart"/>
      <w:r w:rsidRPr="008A7489">
        <w:rPr>
          <w:rFonts w:ascii="Tahoma" w:hAnsi="Tahoma" w:cs="Tahoma"/>
        </w:rPr>
        <w:t>reconformó</w:t>
      </w:r>
      <w:proofErr w:type="spellEnd"/>
      <w:r w:rsidRPr="008A7489">
        <w:rPr>
          <w:rFonts w:ascii="Tahoma" w:hAnsi="Tahoma" w:cs="Tahoma"/>
        </w:rPr>
        <w:t xml:space="preserve"> </w:t>
      </w:r>
      <w:smartTag w:uri="urn:schemas-microsoft-com:office:smarttags" w:element="PersonName">
        <w:smartTagPr>
          <w:attr w:name="ProductID" w:val="la Tercera Sala"/>
        </w:smartTagPr>
        <w:r w:rsidRPr="008A7489">
          <w:rPr>
            <w:rFonts w:ascii="Tahoma" w:hAnsi="Tahoma" w:cs="Tahoma"/>
          </w:rPr>
          <w:t>la Tercera Sala</w:t>
        </w:r>
      </w:smartTag>
      <w:r w:rsidRPr="008A7489">
        <w:rPr>
          <w:rFonts w:ascii="Tahoma" w:hAnsi="Tahoma" w:cs="Tahoma"/>
        </w:rPr>
        <w:t xml:space="preserve"> del Tribunal.</w:t>
      </w:r>
    </w:p>
    <w:p w:rsidR="00A77E70" w:rsidRPr="008A7489" w:rsidRDefault="00A77E70" w:rsidP="00A77E70">
      <w:pPr>
        <w:jc w:val="both"/>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El 17 de julio de 2007, la Contratista solicitó el uso de la palabra.</w:t>
      </w:r>
    </w:p>
    <w:p w:rsidR="00A77E70" w:rsidRPr="008A7489" w:rsidRDefault="00A77E70" w:rsidP="00A77E70">
      <w:pPr>
        <w:pStyle w:val="Prrafodelista"/>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La Audiencia Pública programada para el día 05 de noviembre de 2007 no se llevó a cabo por inasistencia de las partes.</w:t>
      </w:r>
    </w:p>
    <w:p w:rsidR="00A77E70" w:rsidRPr="008A7489" w:rsidRDefault="00A77E70" w:rsidP="00A77E70">
      <w:pPr>
        <w:pStyle w:val="Prrafodelista"/>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 xml:space="preserve">Mediante Resolución Nº 1999-2007-TC-S3 expedida el 22 de noviembre de 2007, la Tercera Sala del Tribunal, resolvió sancionar a la empresa </w:t>
      </w:r>
      <w:proofErr w:type="spellStart"/>
      <w:r w:rsidRPr="008A7489">
        <w:rPr>
          <w:rFonts w:ascii="Tahoma" w:hAnsi="Tahoma" w:cs="Tahoma"/>
        </w:rPr>
        <w:t>Arquitek</w:t>
      </w:r>
      <w:proofErr w:type="spellEnd"/>
      <w:r w:rsidRPr="008A7489">
        <w:rPr>
          <w:rFonts w:ascii="Tahoma" w:hAnsi="Tahoma" w:cs="Tahoma"/>
        </w:rPr>
        <w:t xml:space="preserve"> Contratistas Generales S.R.L. con diez (10) meses de inhabilitación temporal para participar en procesos de selección y contratar con el Estado. Se precisa que dicha Resolución fue notificada el 23 de noviembre de 2007</w:t>
      </w:r>
      <w:r w:rsidRPr="008A7489">
        <w:rPr>
          <w:rStyle w:val="Refdenotaalpie"/>
          <w:rFonts w:ascii="Tahoma" w:hAnsi="Tahoma" w:cs="Tahoma"/>
        </w:rPr>
        <w:footnoteReference w:id="2"/>
      </w:r>
      <w:r w:rsidRPr="008A7489">
        <w:rPr>
          <w:rFonts w:ascii="Tahoma" w:hAnsi="Tahoma" w:cs="Tahoma"/>
        </w:rPr>
        <w:t>.</w:t>
      </w:r>
    </w:p>
    <w:p w:rsidR="00A77E70" w:rsidRPr="008A7489" w:rsidRDefault="00A77E70" w:rsidP="00A77E70">
      <w:pPr>
        <w:pStyle w:val="Prrafodelista"/>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El 29 de noviembre de 2007 la Contratista interpuso recurso de reconsideración contra la decisión del Tribunal descrita en el numeral anterior, solicitando se revoque lo dispuesto por la Resolución N</w:t>
      </w:r>
      <w:proofErr w:type="gramStart"/>
      <w:r w:rsidRPr="008A7489">
        <w:rPr>
          <w:rFonts w:ascii="Tahoma" w:hAnsi="Tahoma" w:cs="Tahoma"/>
        </w:rPr>
        <w:t>.º</w:t>
      </w:r>
      <w:proofErr w:type="gramEnd"/>
      <w:r w:rsidRPr="008A7489">
        <w:rPr>
          <w:rFonts w:ascii="Tahoma" w:hAnsi="Tahoma" w:cs="Tahoma"/>
        </w:rPr>
        <w:t xml:space="preserve"> 1999-2007-TC-S3, y en consecuencia se declare no ha lugar a la imposición de sanción.</w:t>
      </w:r>
    </w:p>
    <w:p w:rsidR="00A77E70" w:rsidRPr="008A7489" w:rsidRDefault="00A77E70" w:rsidP="00A77E70">
      <w:pPr>
        <w:pStyle w:val="Prrafodelista"/>
        <w:rPr>
          <w:rFonts w:ascii="Tahoma" w:hAnsi="Tahoma" w:cs="Tahoma"/>
        </w:rPr>
      </w:pPr>
    </w:p>
    <w:p w:rsidR="00A77E70" w:rsidRPr="008A7489" w:rsidRDefault="00A77E70" w:rsidP="00A77E70">
      <w:pPr>
        <w:ind w:left="360"/>
        <w:jc w:val="both"/>
        <w:rPr>
          <w:rFonts w:ascii="Tahoma" w:hAnsi="Tahoma" w:cs="Tahoma"/>
        </w:rPr>
      </w:pPr>
      <w:r w:rsidRPr="008A7489">
        <w:rPr>
          <w:rFonts w:ascii="Tahoma" w:hAnsi="Tahoma" w:cs="Tahoma"/>
        </w:rPr>
        <w:t>La Contratista fundamentó su recurso sobre la base de las siguientes consideraciones:</w:t>
      </w:r>
    </w:p>
    <w:p w:rsidR="00A77E70" w:rsidRPr="008A7489" w:rsidRDefault="00A77E70" w:rsidP="00A77E70">
      <w:pPr>
        <w:pStyle w:val="Prrafodelista"/>
        <w:rPr>
          <w:rFonts w:ascii="Tahoma" w:hAnsi="Tahoma" w:cs="Tahoma"/>
        </w:rPr>
      </w:pPr>
    </w:p>
    <w:p w:rsidR="00A77E70" w:rsidRPr="008A7489" w:rsidRDefault="00A77E70" w:rsidP="00A77E70">
      <w:pPr>
        <w:numPr>
          <w:ilvl w:val="0"/>
          <w:numId w:val="7"/>
        </w:numPr>
        <w:jc w:val="both"/>
        <w:rPr>
          <w:rFonts w:ascii="Tahoma" w:hAnsi="Tahoma" w:cs="Tahoma"/>
        </w:rPr>
      </w:pPr>
      <w:r w:rsidRPr="008A7489">
        <w:rPr>
          <w:rFonts w:ascii="Tahoma" w:hAnsi="Tahoma" w:cs="Tahoma"/>
        </w:rPr>
        <w:t xml:space="preserve">Que para la obtención de las garantías se contactaron con el señor Roberto Darío Chumbe </w:t>
      </w:r>
      <w:proofErr w:type="spellStart"/>
      <w:r w:rsidRPr="008A7489">
        <w:rPr>
          <w:rFonts w:ascii="Tahoma" w:hAnsi="Tahoma" w:cs="Tahoma"/>
        </w:rPr>
        <w:t>Benitez</w:t>
      </w:r>
      <w:proofErr w:type="spellEnd"/>
      <w:r w:rsidRPr="008A7489">
        <w:rPr>
          <w:rFonts w:ascii="Tahoma" w:hAnsi="Tahoma" w:cs="Tahoma"/>
        </w:rPr>
        <w:t>, quien les entregó una tarjeta personal, indicando ser funcionario del Banco de Comercio. Refirió que dicho señor les entregó las Cartas Fianzas que posteriormente fueron presentadas ante la Entidad.</w:t>
      </w:r>
    </w:p>
    <w:p w:rsidR="00A77E70" w:rsidRPr="008A7489" w:rsidRDefault="00A77E70" w:rsidP="00A77E70">
      <w:pPr>
        <w:numPr>
          <w:ilvl w:val="0"/>
          <w:numId w:val="7"/>
        </w:numPr>
        <w:tabs>
          <w:tab w:val="clear" w:pos="720"/>
        </w:tabs>
        <w:jc w:val="both"/>
        <w:rPr>
          <w:rFonts w:ascii="Tahoma" w:hAnsi="Tahoma" w:cs="Tahoma"/>
        </w:rPr>
      </w:pPr>
      <w:r w:rsidRPr="008A7489">
        <w:rPr>
          <w:rFonts w:ascii="Tahoma" w:hAnsi="Tahoma" w:cs="Tahoma"/>
        </w:rPr>
        <w:t xml:space="preserve"> Su representada actuó dentro del principio de presunción de veracidad, pues contrataron una tercera persona, para la obtención de las pólizas que garantizaban el cumplimiento de la obra, y han sido sorprendidos, en consecuencia, su actuación ha sido de buena fe.</w:t>
      </w:r>
    </w:p>
    <w:p w:rsidR="00A77E70" w:rsidRPr="008A7489" w:rsidRDefault="00A77E70" w:rsidP="00A77E70">
      <w:pPr>
        <w:numPr>
          <w:ilvl w:val="0"/>
          <w:numId w:val="7"/>
        </w:numPr>
        <w:tabs>
          <w:tab w:val="clear" w:pos="720"/>
        </w:tabs>
        <w:jc w:val="both"/>
        <w:rPr>
          <w:rFonts w:ascii="Tahoma" w:hAnsi="Tahoma" w:cs="Tahoma"/>
        </w:rPr>
      </w:pPr>
      <w:r w:rsidRPr="008A7489">
        <w:rPr>
          <w:rFonts w:ascii="Tahoma" w:hAnsi="Tahoma" w:cs="Tahoma"/>
        </w:rPr>
        <w:t xml:space="preserve"> Que al haber tomado conocimiento de la falsedad de las cartas fianza procedieron a devolver el cheque girado por la Entidad, el mismo que no fue cobrado por su empresa, y que ratifica su actuación de buena fe.</w:t>
      </w:r>
    </w:p>
    <w:p w:rsidR="00A77E70" w:rsidRPr="008A7489" w:rsidRDefault="00A77E70" w:rsidP="00A77E70">
      <w:pPr>
        <w:numPr>
          <w:ilvl w:val="0"/>
          <w:numId w:val="7"/>
        </w:numPr>
        <w:tabs>
          <w:tab w:val="clear" w:pos="720"/>
        </w:tabs>
        <w:jc w:val="both"/>
        <w:rPr>
          <w:rFonts w:ascii="Tahoma" w:hAnsi="Tahoma" w:cs="Tahoma"/>
        </w:rPr>
      </w:pPr>
      <w:r w:rsidRPr="008A7489">
        <w:rPr>
          <w:rFonts w:ascii="Tahoma" w:hAnsi="Tahoma" w:cs="Tahoma"/>
        </w:rPr>
        <w:t xml:space="preserve">Las dos cartas </w:t>
      </w:r>
      <w:proofErr w:type="gramStart"/>
      <w:r w:rsidRPr="008A7489">
        <w:rPr>
          <w:rFonts w:ascii="Tahoma" w:hAnsi="Tahoma" w:cs="Tahoma"/>
        </w:rPr>
        <w:t>fianza</w:t>
      </w:r>
      <w:proofErr w:type="gramEnd"/>
      <w:r w:rsidRPr="008A7489">
        <w:rPr>
          <w:rFonts w:ascii="Tahoma" w:hAnsi="Tahoma" w:cs="Tahoma"/>
        </w:rPr>
        <w:t xml:space="preserve"> falsificadas se encuentran en poder del Concejo Distrital de Bellavista, a quien se deberá oficiar para su remisión y puedan ser materia de la pericia respectiva.</w:t>
      </w:r>
    </w:p>
    <w:p w:rsidR="00A77E70" w:rsidRPr="008A7489" w:rsidRDefault="00A77E70" w:rsidP="00A77E70">
      <w:pPr>
        <w:numPr>
          <w:ilvl w:val="0"/>
          <w:numId w:val="7"/>
        </w:numPr>
        <w:tabs>
          <w:tab w:val="clear" w:pos="720"/>
        </w:tabs>
        <w:jc w:val="both"/>
        <w:rPr>
          <w:rFonts w:ascii="Tahoma" w:hAnsi="Tahoma" w:cs="Tahoma"/>
        </w:rPr>
      </w:pPr>
      <w:r w:rsidRPr="008A7489">
        <w:rPr>
          <w:rFonts w:ascii="Tahoma" w:hAnsi="Tahoma" w:cs="Tahoma"/>
        </w:rPr>
        <w:t xml:space="preserve"> Refiere que al amparo de lo establecido en el artículo 202º del Decreto Supremo N</w:t>
      </w:r>
      <w:proofErr w:type="gramStart"/>
      <w:r w:rsidRPr="008A7489">
        <w:rPr>
          <w:rFonts w:ascii="Tahoma" w:hAnsi="Tahoma" w:cs="Tahoma"/>
        </w:rPr>
        <w:t>.º</w:t>
      </w:r>
      <w:proofErr w:type="gramEnd"/>
      <w:r w:rsidRPr="008A7489">
        <w:rPr>
          <w:rFonts w:ascii="Tahoma" w:hAnsi="Tahoma" w:cs="Tahoma"/>
        </w:rPr>
        <w:t xml:space="preserve"> 084-2004-PCM, sometió la controversia a conciliación. Que con fecha posterior a la suscripción del Acta de Conciliación N</w:t>
      </w:r>
      <w:proofErr w:type="gramStart"/>
      <w:r w:rsidRPr="008A7489">
        <w:rPr>
          <w:rFonts w:ascii="Tahoma" w:hAnsi="Tahoma" w:cs="Tahoma"/>
        </w:rPr>
        <w:t>.º</w:t>
      </w:r>
      <w:proofErr w:type="gramEnd"/>
      <w:r w:rsidRPr="008A7489">
        <w:rPr>
          <w:rFonts w:ascii="Tahoma" w:hAnsi="Tahoma" w:cs="Tahoma"/>
        </w:rPr>
        <w:t xml:space="preserve"> 219-06 su representada ha cumplido con la </w:t>
      </w:r>
      <w:r w:rsidRPr="008A7489">
        <w:rPr>
          <w:rFonts w:ascii="Tahoma" w:hAnsi="Tahoma" w:cs="Tahoma"/>
        </w:rPr>
        <w:lastRenderedPageBreak/>
        <w:t>culminación de la obra, e inclusive ha solicitado a la Entidad se les otorgue la conformidad de obra.</w:t>
      </w:r>
    </w:p>
    <w:p w:rsidR="00A77E70" w:rsidRPr="008A7489" w:rsidRDefault="00A77E70" w:rsidP="00A77E70">
      <w:pPr>
        <w:pStyle w:val="Prrafodelista"/>
        <w:rPr>
          <w:rFonts w:ascii="Tahoma" w:hAnsi="Tahoma" w:cs="Tahoma"/>
        </w:rPr>
      </w:pPr>
    </w:p>
    <w:p w:rsidR="00A77E70" w:rsidRPr="008A7489" w:rsidRDefault="00A77E70" w:rsidP="00A77E70">
      <w:pPr>
        <w:numPr>
          <w:ilvl w:val="0"/>
          <w:numId w:val="4"/>
        </w:numPr>
        <w:tabs>
          <w:tab w:val="clear" w:pos="720"/>
          <w:tab w:val="num" w:pos="254"/>
        </w:tabs>
        <w:ind w:left="360"/>
        <w:jc w:val="both"/>
        <w:rPr>
          <w:rFonts w:ascii="Tahoma" w:hAnsi="Tahoma" w:cs="Tahoma"/>
        </w:rPr>
      </w:pPr>
      <w:r w:rsidRPr="008A7489">
        <w:rPr>
          <w:rFonts w:ascii="Tahoma" w:hAnsi="Tahoma" w:cs="Tahoma"/>
        </w:rPr>
        <w:t>Mediante decreto de fecha 03 de diciembre de 2007 se remitió el expediente a la Tercera Sala del Tribunal para el pronunciamiento correspondiente.</w:t>
      </w:r>
    </w:p>
    <w:p w:rsidR="00A77E70" w:rsidRPr="008A7489" w:rsidRDefault="00A77E70" w:rsidP="00A77E70">
      <w:pPr>
        <w:jc w:val="both"/>
        <w:rPr>
          <w:rFonts w:ascii="Tahoma" w:hAnsi="Tahoma" w:cs="Tahoma"/>
        </w:rPr>
      </w:pPr>
    </w:p>
    <w:p w:rsidR="00A77E70" w:rsidRPr="008A7489" w:rsidRDefault="00A77E70" w:rsidP="00A77E70">
      <w:pPr>
        <w:rPr>
          <w:rFonts w:ascii="Tahoma" w:hAnsi="Tahoma" w:cs="Tahoma"/>
          <w:b/>
          <w:shadow/>
        </w:rPr>
      </w:pPr>
    </w:p>
    <w:p w:rsidR="00A77E70" w:rsidRPr="008A7489" w:rsidRDefault="00A77E70" w:rsidP="00A77E70">
      <w:pPr>
        <w:rPr>
          <w:rFonts w:ascii="Tahoma" w:hAnsi="Tahoma" w:cs="Tahoma"/>
          <w:b/>
          <w:shadow/>
        </w:rPr>
      </w:pPr>
      <w:r w:rsidRPr="008A7489">
        <w:rPr>
          <w:rFonts w:ascii="Tahoma" w:hAnsi="Tahoma" w:cs="Tahoma"/>
          <w:b/>
          <w:shadow/>
        </w:rPr>
        <w:t>FUNDAMENTOS</w:t>
      </w:r>
    </w:p>
    <w:p w:rsidR="00A77E70" w:rsidRPr="008A7489" w:rsidRDefault="00A77E70" w:rsidP="00A77E70">
      <w:pPr>
        <w:tabs>
          <w:tab w:val="left" w:pos="540"/>
        </w:tabs>
        <w:ind w:left="360"/>
        <w:jc w:val="both"/>
        <w:rPr>
          <w:rFonts w:ascii="Tahoma" w:hAnsi="Tahoma" w:cs="Tahoma"/>
        </w:rPr>
      </w:pPr>
    </w:p>
    <w:p w:rsidR="00A77E70" w:rsidRPr="008A7489" w:rsidRDefault="00A77E70" w:rsidP="00A77E70">
      <w:pPr>
        <w:widowControl w:val="0"/>
        <w:numPr>
          <w:ilvl w:val="0"/>
          <w:numId w:val="9"/>
        </w:numPr>
        <w:tabs>
          <w:tab w:val="clear" w:pos="720"/>
        </w:tabs>
        <w:suppressAutoHyphens/>
        <w:ind w:left="426"/>
        <w:jc w:val="both"/>
        <w:rPr>
          <w:rFonts w:ascii="Tahoma" w:hAnsi="Tahoma" w:cs="Tahoma"/>
        </w:rPr>
      </w:pPr>
      <w:r w:rsidRPr="008A7489">
        <w:rPr>
          <w:rFonts w:ascii="Tahoma" w:hAnsi="Tahoma" w:cs="Tahoma"/>
        </w:rPr>
        <w:t xml:space="preserve">En el caso materia de análisis la empresa </w:t>
      </w:r>
      <w:proofErr w:type="spellStart"/>
      <w:r w:rsidRPr="008A7489">
        <w:rPr>
          <w:rFonts w:ascii="Tahoma" w:hAnsi="Tahoma" w:cs="Tahoma"/>
        </w:rPr>
        <w:t>Arquitek</w:t>
      </w:r>
      <w:proofErr w:type="spellEnd"/>
      <w:r w:rsidRPr="008A7489">
        <w:rPr>
          <w:rFonts w:ascii="Tahoma" w:hAnsi="Tahoma" w:cs="Tahoma"/>
        </w:rPr>
        <w:t xml:space="preserve"> Contratistas Generales S.R.L. ha interpuesto recurso de reconsideración contra lo resuelto en la Resolución N.° 1999-2007/TC-S3 de fecha 22 de noviembre de 2007, mediante la cual la Tercera Sala del Tribunal de Contrataciones y Adquisiciones del Estado la sancionó con diez (10) meses de inhabilitación temporal en su derecho de participar en procesos de selección y contratar con el Estado por la comisión de la infracción tipificada en el numeral 9) del artículo 294º del Reglamento. </w:t>
      </w:r>
    </w:p>
    <w:p w:rsidR="00A77E70" w:rsidRPr="008A7489" w:rsidRDefault="00A77E70" w:rsidP="00A77E70">
      <w:pPr>
        <w:tabs>
          <w:tab w:val="num" w:pos="426"/>
        </w:tabs>
        <w:ind w:left="426"/>
        <w:jc w:val="both"/>
        <w:rPr>
          <w:rFonts w:ascii="Tahoma" w:hAnsi="Tahoma" w:cs="Tahoma"/>
        </w:rPr>
      </w:pPr>
    </w:p>
    <w:p w:rsidR="00A77E70" w:rsidRPr="008A7489" w:rsidRDefault="00A77E70" w:rsidP="00A77E70">
      <w:pPr>
        <w:widowControl w:val="0"/>
        <w:numPr>
          <w:ilvl w:val="0"/>
          <w:numId w:val="9"/>
        </w:numPr>
        <w:tabs>
          <w:tab w:val="clear" w:pos="720"/>
          <w:tab w:val="num" w:pos="360"/>
          <w:tab w:val="num" w:pos="1134"/>
        </w:tabs>
        <w:suppressAutoHyphens/>
        <w:ind w:left="426"/>
        <w:jc w:val="both"/>
        <w:rPr>
          <w:rFonts w:ascii="Tahoma" w:hAnsi="Tahoma" w:cs="Tahoma"/>
        </w:rPr>
      </w:pPr>
      <w:r w:rsidRPr="008A7489">
        <w:rPr>
          <w:rFonts w:ascii="Tahoma" w:hAnsi="Tahoma" w:cs="Tahoma"/>
        </w:rPr>
        <w:t>Sobre el particular, cabe señalar que el recurso de reconsideración en los procedimientos administrativos sancionadores a cargo de este Tribunal ha sido regulado en el artículo 306</w:t>
      </w:r>
      <w:r w:rsidRPr="008A7489">
        <w:rPr>
          <w:rStyle w:val="Refdenotaalpie"/>
          <w:rFonts w:ascii="Tahoma" w:hAnsi="Tahoma" w:cs="Tahoma"/>
        </w:rPr>
        <w:footnoteReference w:id="3"/>
      </w:r>
      <w:r w:rsidRPr="008A7489">
        <w:rPr>
          <w:rFonts w:ascii="Tahoma" w:hAnsi="Tahoma" w:cs="Tahoma"/>
        </w:rPr>
        <w:t xml:space="preserve"> del citado Reglamento, el cual debe ser resuelto en el término de quince (15) días hábiles desde su interposición.</w:t>
      </w:r>
    </w:p>
    <w:p w:rsidR="00A77E70" w:rsidRPr="008A7489" w:rsidRDefault="00A77E70" w:rsidP="00A77E70">
      <w:pPr>
        <w:pStyle w:val="Prrafodelista"/>
        <w:rPr>
          <w:rFonts w:ascii="Tahoma" w:hAnsi="Tahoma" w:cs="Tahoma"/>
        </w:rPr>
      </w:pPr>
    </w:p>
    <w:p w:rsidR="00A77E70" w:rsidRPr="008A7489" w:rsidRDefault="00A77E70" w:rsidP="00A77E70">
      <w:pPr>
        <w:widowControl w:val="0"/>
        <w:numPr>
          <w:ilvl w:val="0"/>
          <w:numId w:val="9"/>
        </w:numPr>
        <w:tabs>
          <w:tab w:val="clear" w:pos="720"/>
        </w:tabs>
        <w:suppressAutoHyphens/>
        <w:ind w:left="426"/>
        <w:jc w:val="both"/>
        <w:rPr>
          <w:rFonts w:ascii="Tahoma" w:hAnsi="Tahoma" w:cs="Tahoma"/>
        </w:rPr>
      </w:pPr>
      <w:r w:rsidRPr="008A7489">
        <w:rPr>
          <w:rFonts w:ascii="Tahoma" w:hAnsi="Tahoma" w:cs="Tahoma"/>
        </w:rPr>
        <w:t>En relación a lo expuesto, una cuestión previa que debe analizar esta Sala es determinar si el recurso materia de análisis fue interpuesto oportunamente, es decir, dentro del plazo otorgado expresamente por la normativa para dicho fin.</w:t>
      </w:r>
    </w:p>
    <w:p w:rsidR="00A77E70" w:rsidRPr="008A7489" w:rsidRDefault="00A77E70" w:rsidP="00A77E70">
      <w:pPr>
        <w:pStyle w:val="Textoindependiente"/>
        <w:tabs>
          <w:tab w:val="num" w:pos="426"/>
        </w:tabs>
        <w:ind w:left="426"/>
        <w:rPr>
          <w:rFonts w:ascii="Tahoma" w:hAnsi="Tahoma" w:cs="Tahoma"/>
          <w:sz w:val="20"/>
        </w:rPr>
      </w:pPr>
    </w:p>
    <w:p w:rsidR="00A77E70" w:rsidRPr="008A7489" w:rsidRDefault="00A77E70" w:rsidP="00A77E70">
      <w:pPr>
        <w:pStyle w:val="Textoindependiente"/>
        <w:tabs>
          <w:tab w:val="num" w:pos="426"/>
        </w:tabs>
        <w:ind w:left="426"/>
        <w:rPr>
          <w:rFonts w:ascii="Tahoma" w:hAnsi="Tahoma" w:cs="Tahoma"/>
          <w:sz w:val="20"/>
        </w:rPr>
      </w:pPr>
      <w:r w:rsidRPr="008A7489">
        <w:rPr>
          <w:rFonts w:ascii="Tahoma" w:hAnsi="Tahoma" w:cs="Tahoma"/>
          <w:sz w:val="20"/>
        </w:rPr>
        <w:t xml:space="preserve">Al respecto, el artículo 306 del indicado cuerpo reglamentario señala que contra lo resuelto por el Tribunal en un procedimiento sancionador </w:t>
      </w:r>
      <w:r w:rsidRPr="008A7489">
        <w:rPr>
          <w:rFonts w:ascii="Tahoma" w:hAnsi="Tahoma" w:cs="Tahoma"/>
          <w:b/>
          <w:sz w:val="20"/>
        </w:rPr>
        <w:t>podrá interponerse recurso de reconsideración dentro de los tres (3) días hábiles de notificada o publicada la respectiva resolución</w:t>
      </w:r>
      <w:r w:rsidRPr="008A7489">
        <w:rPr>
          <w:rFonts w:ascii="Tahoma" w:hAnsi="Tahoma" w:cs="Tahoma"/>
          <w:sz w:val="20"/>
        </w:rPr>
        <w:t xml:space="preserve">; debiendo tenerse en cuenta que </w:t>
      </w:r>
      <w:r w:rsidRPr="008A7489">
        <w:rPr>
          <w:rFonts w:ascii="Tahoma" w:hAnsi="Tahoma" w:cs="Tahoma"/>
          <w:b/>
          <w:sz w:val="20"/>
        </w:rPr>
        <w:t>los plazos fijados por norma expresa son improrrogables</w:t>
      </w:r>
      <w:r w:rsidRPr="008A7489">
        <w:rPr>
          <w:rFonts w:ascii="Tahoma" w:hAnsi="Tahoma" w:cs="Tahoma"/>
          <w:sz w:val="20"/>
        </w:rPr>
        <w:t>, salvo disposición habilitante en contrario, conforme lo dispuesto en el numeral 136.1 del artículo 136 de la Ley del Procedimiento Administrativo General - Ley N.° 27444.</w:t>
      </w:r>
    </w:p>
    <w:p w:rsidR="00A77E70" w:rsidRPr="008A7489" w:rsidRDefault="00A77E70" w:rsidP="00A77E70">
      <w:pPr>
        <w:pStyle w:val="Textoindependiente"/>
        <w:tabs>
          <w:tab w:val="num" w:pos="426"/>
        </w:tabs>
        <w:ind w:left="426"/>
        <w:rPr>
          <w:rFonts w:ascii="Tahoma" w:hAnsi="Tahoma" w:cs="Tahoma"/>
          <w:sz w:val="20"/>
        </w:rPr>
      </w:pPr>
    </w:p>
    <w:p w:rsidR="00A77E70" w:rsidRPr="008A7489" w:rsidRDefault="00A77E70" w:rsidP="00A77E70">
      <w:pPr>
        <w:pStyle w:val="Textoindependiente"/>
        <w:tabs>
          <w:tab w:val="num" w:pos="426"/>
        </w:tabs>
        <w:ind w:left="426" w:hanging="435"/>
        <w:rPr>
          <w:rFonts w:ascii="Tahoma" w:hAnsi="Tahoma" w:cs="Tahoma"/>
          <w:sz w:val="20"/>
        </w:rPr>
      </w:pPr>
      <w:r w:rsidRPr="008A7489">
        <w:rPr>
          <w:rFonts w:ascii="Tahoma" w:hAnsi="Tahoma" w:cs="Tahoma"/>
          <w:b/>
          <w:sz w:val="20"/>
        </w:rPr>
        <w:t>4.</w:t>
      </w:r>
      <w:r w:rsidRPr="008A7489">
        <w:rPr>
          <w:rFonts w:ascii="Tahoma" w:hAnsi="Tahoma" w:cs="Tahoma"/>
          <w:b/>
          <w:sz w:val="20"/>
        </w:rPr>
        <w:tab/>
      </w:r>
      <w:r w:rsidRPr="008A7489">
        <w:rPr>
          <w:rFonts w:ascii="Tahoma" w:hAnsi="Tahoma" w:cs="Tahoma"/>
          <w:sz w:val="20"/>
        </w:rPr>
        <w:t>Atendiendo a las normas antes glosadas, así como a la revisión de la documentación obrante en autos, esta Sala advierte que la Resolución N.° 1999-2007/TC-S3 fue notificada a la empresa Contratista el 23 de noviembre de 2007, por lo que se podía interponer válidamente el recurso impugnativo correspondiente dentro de los tres (03) días hábiles siguientes, en virtud a lo establecido en el artículo 306 del citado Reglamento; es decir, hasta el 28 de noviembre de 2007.</w:t>
      </w:r>
    </w:p>
    <w:p w:rsidR="00A77E70" w:rsidRPr="008A7489" w:rsidRDefault="00A77E70" w:rsidP="00A77E70">
      <w:pPr>
        <w:pStyle w:val="Textoindependiente"/>
        <w:tabs>
          <w:tab w:val="num" w:pos="426"/>
        </w:tabs>
        <w:ind w:left="426"/>
        <w:rPr>
          <w:rFonts w:ascii="Tahoma" w:hAnsi="Tahoma" w:cs="Tahoma"/>
          <w:sz w:val="20"/>
        </w:rPr>
      </w:pPr>
    </w:p>
    <w:p w:rsidR="00A77E70" w:rsidRPr="008A7489" w:rsidRDefault="00A77E70" w:rsidP="00A77E70">
      <w:pPr>
        <w:pStyle w:val="Textoindependiente"/>
        <w:widowControl w:val="0"/>
        <w:numPr>
          <w:ilvl w:val="0"/>
          <w:numId w:val="8"/>
        </w:numPr>
        <w:tabs>
          <w:tab w:val="clear" w:pos="454"/>
          <w:tab w:val="num" w:pos="426"/>
        </w:tabs>
        <w:suppressAutoHyphens/>
        <w:ind w:left="426"/>
        <w:rPr>
          <w:rFonts w:ascii="Tahoma" w:hAnsi="Tahoma" w:cs="Tahoma"/>
          <w:sz w:val="20"/>
        </w:rPr>
      </w:pPr>
      <w:r w:rsidRPr="008A7489">
        <w:rPr>
          <w:rFonts w:ascii="Tahoma" w:hAnsi="Tahoma" w:cs="Tahoma"/>
          <w:sz w:val="20"/>
        </w:rPr>
        <w:lastRenderedPageBreak/>
        <w:t>En consecuencia, al haber presentado la Contratista su recurso de reconsideración el día 29 de noviembre del presente año, este Colegiado debe calificar el mismo como extemporáneo, quedando firme lo resuelto mediante la resolución materia de impugnación, según lo establecido en el artículo 212</w:t>
      </w:r>
      <w:r w:rsidRPr="008A7489">
        <w:rPr>
          <w:rStyle w:val="Refdenotaalpie"/>
          <w:rFonts w:ascii="Tahoma" w:hAnsi="Tahoma" w:cs="Tahoma"/>
          <w:sz w:val="20"/>
        </w:rPr>
        <w:footnoteReference w:id="4"/>
      </w:r>
      <w:r w:rsidRPr="008A7489">
        <w:rPr>
          <w:rFonts w:ascii="Tahoma" w:hAnsi="Tahoma" w:cs="Tahoma"/>
          <w:sz w:val="20"/>
        </w:rPr>
        <w:t xml:space="preserve"> de la Ley N.° 27444. Cabe señalar que con la presente decisión se agota la vía administrativa, situación que deberá considerar la Contratista a efectos que, de estimarlo pertinente, haga uso de los recursos que la ley prevé. </w:t>
      </w:r>
    </w:p>
    <w:p w:rsidR="00A77E70" w:rsidRPr="008A7489" w:rsidRDefault="00A77E70" w:rsidP="00A77E70">
      <w:pPr>
        <w:pStyle w:val="Textoindependiente"/>
        <w:widowControl w:val="0"/>
        <w:suppressAutoHyphens/>
        <w:ind w:left="454"/>
        <w:rPr>
          <w:rFonts w:ascii="Tahoma" w:hAnsi="Tahoma" w:cs="Tahoma"/>
          <w:sz w:val="20"/>
        </w:rPr>
      </w:pPr>
      <w:r w:rsidRPr="008A7489">
        <w:rPr>
          <w:rFonts w:ascii="Tahoma" w:hAnsi="Tahoma" w:cs="Tahoma"/>
          <w:sz w:val="20"/>
        </w:rPr>
        <w:t xml:space="preserve"> </w:t>
      </w:r>
    </w:p>
    <w:p w:rsidR="00A77E70" w:rsidRPr="008A7489" w:rsidRDefault="00A77E70" w:rsidP="00A77E70">
      <w:pPr>
        <w:tabs>
          <w:tab w:val="left" w:pos="2520"/>
        </w:tabs>
        <w:ind w:hanging="360"/>
        <w:jc w:val="both"/>
        <w:rPr>
          <w:rFonts w:ascii="Tahoma" w:hAnsi="Tahoma" w:cs="Tahoma"/>
        </w:rPr>
      </w:pPr>
      <w:r w:rsidRPr="008A7489">
        <w:rPr>
          <w:rFonts w:ascii="Tahoma" w:hAnsi="Tahoma" w:cs="Tahoma"/>
        </w:rPr>
        <w:tab/>
        <w:t xml:space="preserve">Por estos fundamentos, de conformidad con el informe del vocal ponente Dr. Juan Carlos Valdivia </w:t>
      </w:r>
      <w:proofErr w:type="spellStart"/>
      <w:r w:rsidRPr="008A7489">
        <w:rPr>
          <w:rFonts w:ascii="Tahoma" w:hAnsi="Tahoma" w:cs="Tahoma"/>
        </w:rPr>
        <w:t>Huaringa</w:t>
      </w:r>
      <w:proofErr w:type="spellEnd"/>
      <w:r w:rsidRPr="008A7489">
        <w:rPr>
          <w:rFonts w:ascii="Tahoma" w:hAnsi="Tahoma" w:cs="Tahoma"/>
        </w:rPr>
        <w:t xml:space="preserve"> y la intervención de los vocales Dra. </w:t>
      </w:r>
      <w:proofErr w:type="spellStart"/>
      <w:r w:rsidRPr="008A7489">
        <w:rPr>
          <w:rFonts w:ascii="Tahoma" w:hAnsi="Tahoma" w:cs="Tahoma"/>
        </w:rPr>
        <w:t>Janette</w:t>
      </w:r>
      <w:proofErr w:type="spellEnd"/>
      <w:r w:rsidRPr="008A7489">
        <w:rPr>
          <w:rFonts w:ascii="Tahoma" w:hAnsi="Tahoma" w:cs="Tahoma"/>
        </w:rPr>
        <w:t xml:space="preserve"> </w:t>
      </w:r>
      <w:proofErr w:type="spellStart"/>
      <w:r w:rsidRPr="008A7489">
        <w:rPr>
          <w:rFonts w:ascii="Tahoma" w:hAnsi="Tahoma" w:cs="Tahoma"/>
        </w:rPr>
        <w:t>Elke</w:t>
      </w:r>
      <w:proofErr w:type="spellEnd"/>
      <w:r w:rsidRPr="008A7489">
        <w:rPr>
          <w:rFonts w:ascii="Tahoma" w:hAnsi="Tahoma" w:cs="Tahoma"/>
        </w:rPr>
        <w:t xml:space="preserve"> Ramírez </w:t>
      </w:r>
      <w:proofErr w:type="spellStart"/>
      <w:r w:rsidRPr="008A7489">
        <w:rPr>
          <w:rFonts w:ascii="Tahoma" w:hAnsi="Tahoma" w:cs="Tahoma"/>
        </w:rPr>
        <w:t>Maynetto</w:t>
      </w:r>
      <w:proofErr w:type="spellEnd"/>
      <w:r w:rsidRPr="008A7489">
        <w:rPr>
          <w:rFonts w:ascii="Tahoma" w:hAnsi="Tahoma" w:cs="Tahoma"/>
        </w:rPr>
        <w:t xml:space="preserve"> y Dr. Carlos Navas Rondón, atendiendo a la </w:t>
      </w:r>
      <w:proofErr w:type="spellStart"/>
      <w:r w:rsidRPr="008A7489">
        <w:rPr>
          <w:rFonts w:ascii="Tahoma" w:hAnsi="Tahoma" w:cs="Tahoma"/>
        </w:rPr>
        <w:t>reconformación</w:t>
      </w:r>
      <w:proofErr w:type="spellEnd"/>
      <w:r w:rsidRPr="008A7489">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A77E70" w:rsidRPr="008A7489" w:rsidRDefault="00A77E70" w:rsidP="00A77E70">
      <w:pPr>
        <w:jc w:val="both"/>
        <w:rPr>
          <w:rFonts w:ascii="Tahoma" w:hAnsi="Tahoma" w:cs="Tahoma"/>
          <w:b/>
          <w:shadow/>
        </w:rPr>
      </w:pPr>
    </w:p>
    <w:p w:rsidR="00A77E70" w:rsidRPr="008A7489" w:rsidRDefault="00A77E70" w:rsidP="00A77E70">
      <w:pPr>
        <w:jc w:val="both"/>
        <w:rPr>
          <w:rFonts w:ascii="Tahoma" w:hAnsi="Tahoma" w:cs="Tahoma"/>
          <w:b/>
          <w:shadow/>
        </w:rPr>
      </w:pPr>
      <w:r w:rsidRPr="008A7489">
        <w:rPr>
          <w:rFonts w:ascii="Tahoma" w:hAnsi="Tahoma" w:cs="Tahoma"/>
          <w:b/>
          <w:shadow/>
        </w:rPr>
        <w:t xml:space="preserve">LA SALA RESUELVE: </w:t>
      </w:r>
    </w:p>
    <w:p w:rsidR="00A77E70" w:rsidRPr="008A7489" w:rsidRDefault="00A77E70" w:rsidP="00A77E70">
      <w:pPr>
        <w:jc w:val="both"/>
        <w:rPr>
          <w:rFonts w:ascii="Tahoma" w:hAnsi="Tahoma" w:cs="Tahoma"/>
        </w:rPr>
      </w:pPr>
    </w:p>
    <w:p w:rsidR="00A77E70" w:rsidRPr="008A7489" w:rsidRDefault="00A77E70" w:rsidP="00A77E70">
      <w:pPr>
        <w:numPr>
          <w:ilvl w:val="1"/>
          <w:numId w:val="10"/>
        </w:numPr>
        <w:tabs>
          <w:tab w:val="clear" w:pos="1440"/>
          <w:tab w:val="num" w:pos="426"/>
        </w:tabs>
        <w:ind w:left="426" w:hanging="426"/>
        <w:jc w:val="both"/>
        <w:rPr>
          <w:rFonts w:ascii="Tahoma" w:hAnsi="Tahoma" w:cs="Tahoma"/>
        </w:rPr>
      </w:pPr>
      <w:r w:rsidRPr="008A7489">
        <w:rPr>
          <w:rFonts w:ascii="Tahoma" w:hAnsi="Tahoma" w:cs="Tahoma"/>
        </w:rPr>
        <w:t xml:space="preserve">Declarar </w:t>
      </w:r>
      <w:r w:rsidRPr="008A7489">
        <w:rPr>
          <w:rFonts w:ascii="Tahoma" w:hAnsi="Tahoma" w:cs="Tahoma"/>
          <w:b/>
        </w:rPr>
        <w:t>IMPROCEDENTE</w:t>
      </w:r>
      <w:r w:rsidRPr="008A7489">
        <w:rPr>
          <w:rFonts w:ascii="Tahoma" w:hAnsi="Tahoma" w:cs="Tahoma"/>
        </w:rPr>
        <w:t xml:space="preserve"> por extemporáneo el recurso de reconsideración interpuesto por la empresa </w:t>
      </w:r>
      <w:proofErr w:type="spellStart"/>
      <w:r w:rsidRPr="008A7489">
        <w:rPr>
          <w:rFonts w:ascii="Tahoma" w:hAnsi="Tahoma" w:cs="Tahoma"/>
        </w:rPr>
        <w:t>Arquitek</w:t>
      </w:r>
      <w:proofErr w:type="spellEnd"/>
      <w:r w:rsidRPr="008A7489">
        <w:rPr>
          <w:rFonts w:ascii="Tahoma" w:hAnsi="Tahoma" w:cs="Tahoma"/>
        </w:rPr>
        <w:t xml:space="preserve"> Contratistas Generales S.R.L., por los fundamentos expuestos.</w:t>
      </w:r>
    </w:p>
    <w:p w:rsidR="00A77E70" w:rsidRPr="008A7489" w:rsidRDefault="00A77E70" w:rsidP="00A77E70">
      <w:pPr>
        <w:tabs>
          <w:tab w:val="num" w:pos="426"/>
        </w:tabs>
        <w:ind w:left="426" w:hanging="426"/>
        <w:jc w:val="both"/>
        <w:rPr>
          <w:rFonts w:ascii="Tahoma" w:hAnsi="Tahoma" w:cs="Tahoma"/>
        </w:rPr>
      </w:pPr>
    </w:p>
    <w:p w:rsidR="00A77E70" w:rsidRPr="008A7489" w:rsidRDefault="00A77E70" w:rsidP="00A77E70">
      <w:pPr>
        <w:numPr>
          <w:ilvl w:val="1"/>
          <w:numId w:val="10"/>
        </w:numPr>
        <w:tabs>
          <w:tab w:val="clear" w:pos="1440"/>
          <w:tab w:val="num" w:pos="426"/>
        </w:tabs>
        <w:ind w:left="426" w:hanging="426"/>
        <w:jc w:val="both"/>
        <w:rPr>
          <w:rFonts w:ascii="Tahoma" w:hAnsi="Tahoma" w:cs="Tahoma"/>
        </w:rPr>
      </w:pPr>
      <w:r w:rsidRPr="008A7489">
        <w:rPr>
          <w:rFonts w:ascii="Tahoma" w:hAnsi="Tahoma" w:cs="Tahoma"/>
        </w:rPr>
        <w:t xml:space="preserve">Dar por agotada la vía administrativa. </w:t>
      </w:r>
    </w:p>
    <w:p w:rsidR="00A77E70" w:rsidRPr="008A7489" w:rsidRDefault="00A77E70" w:rsidP="00A77E70">
      <w:pPr>
        <w:jc w:val="both"/>
        <w:rPr>
          <w:rFonts w:ascii="Tahoma" w:hAnsi="Tahoma" w:cs="Tahoma"/>
        </w:rPr>
      </w:pPr>
    </w:p>
    <w:p w:rsidR="00A77E70" w:rsidRPr="008A7489" w:rsidRDefault="00A77E70" w:rsidP="00A77E70">
      <w:pPr>
        <w:jc w:val="both"/>
        <w:rPr>
          <w:rFonts w:ascii="Tahoma" w:hAnsi="Tahoma" w:cs="Tahoma"/>
        </w:rPr>
      </w:pPr>
      <w:r w:rsidRPr="008A7489">
        <w:rPr>
          <w:rFonts w:ascii="Tahoma" w:hAnsi="Tahoma" w:cs="Tahoma"/>
        </w:rPr>
        <w:t>Regístrese, Comuníquese y Publíquese.</w:t>
      </w:r>
    </w:p>
    <w:p w:rsidR="00A77E70" w:rsidRPr="008A7489" w:rsidRDefault="00A77E70" w:rsidP="00A77E70">
      <w:pPr>
        <w:jc w:val="both"/>
        <w:rPr>
          <w:rFonts w:ascii="Tahoma" w:hAnsi="Tahoma" w:cs="Tahoma"/>
        </w:rPr>
      </w:pPr>
    </w:p>
    <w:p w:rsidR="00A77E70" w:rsidRPr="008A7489" w:rsidRDefault="00A77E70" w:rsidP="00A77E70">
      <w:pPr>
        <w:jc w:val="both"/>
        <w:rPr>
          <w:rFonts w:ascii="Tahoma" w:hAnsi="Tahoma" w:cs="Tahoma"/>
        </w:rPr>
      </w:pPr>
    </w:p>
    <w:p w:rsidR="00A77E70" w:rsidRPr="008A7489" w:rsidRDefault="00A77E70" w:rsidP="00A77E70">
      <w:pPr>
        <w:jc w:val="both"/>
        <w:rPr>
          <w:rFonts w:ascii="Tahoma" w:hAnsi="Tahoma" w:cs="Tahoma"/>
        </w:rPr>
      </w:pPr>
    </w:p>
    <w:p w:rsidR="00A77E70" w:rsidRPr="008A7489" w:rsidRDefault="00A77E70" w:rsidP="00A77E70">
      <w:pPr>
        <w:jc w:val="both"/>
        <w:rPr>
          <w:rFonts w:ascii="Tahoma" w:hAnsi="Tahoma" w:cs="Tahoma"/>
        </w:rPr>
      </w:pPr>
    </w:p>
    <w:p w:rsidR="00A77E70" w:rsidRPr="008A7489" w:rsidRDefault="00A77E70" w:rsidP="00A77E70">
      <w:pPr>
        <w:jc w:val="both"/>
        <w:rPr>
          <w:rFonts w:ascii="Tahoma" w:hAnsi="Tahoma" w:cs="Tahoma"/>
        </w:rPr>
      </w:pPr>
    </w:p>
    <w:p w:rsidR="00A77E70" w:rsidRPr="008A7489" w:rsidRDefault="00A77E70" w:rsidP="00A77E70">
      <w:pPr>
        <w:jc w:val="center"/>
        <w:rPr>
          <w:rFonts w:ascii="Tahoma" w:hAnsi="Tahoma" w:cs="Tahoma"/>
          <w:b/>
        </w:rPr>
      </w:pPr>
      <w:r w:rsidRPr="008A7489">
        <w:rPr>
          <w:rFonts w:ascii="Tahoma" w:hAnsi="Tahoma" w:cs="Tahoma"/>
          <w:b/>
        </w:rPr>
        <w:t>PRESIDENTE</w:t>
      </w:r>
    </w:p>
    <w:p w:rsidR="00A77E70" w:rsidRPr="008A7489" w:rsidRDefault="00A77E70" w:rsidP="00A77E70">
      <w:pPr>
        <w:jc w:val="center"/>
        <w:rPr>
          <w:rFonts w:ascii="Tahoma" w:hAnsi="Tahoma" w:cs="Tahoma"/>
          <w:b/>
        </w:rPr>
      </w:pPr>
    </w:p>
    <w:p w:rsidR="00A77E70" w:rsidRPr="008A7489" w:rsidRDefault="00A77E70" w:rsidP="00A77E70">
      <w:pPr>
        <w:jc w:val="center"/>
        <w:rPr>
          <w:rFonts w:ascii="Tahoma" w:hAnsi="Tahoma" w:cs="Tahoma"/>
          <w:b/>
        </w:rPr>
      </w:pPr>
    </w:p>
    <w:p w:rsidR="00A77E70" w:rsidRPr="008A7489" w:rsidRDefault="00A77E70" w:rsidP="00A77E70">
      <w:pPr>
        <w:jc w:val="center"/>
        <w:rPr>
          <w:rFonts w:ascii="Tahoma" w:hAnsi="Tahoma" w:cs="Tahoma"/>
          <w:b/>
        </w:rPr>
      </w:pPr>
    </w:p>
    <w:p w:rsidR="00A77E70" w:rsidRPr="008A7489" w:rsidRDefault="00A77E70" w:rsidP="00A77E70">
      <w:pPr>
        <w:jc w:val="center"/>
        <w:rPr>
          <w:rFonts w:ascii="Tahoma" w:hAnsi="Tahoma" w:cs="Tahoma"/>
          <w:b/>
        </w:rPr>
      </w:pPr>
      <w:r w:rsidRPr="008A7489">
        <w:rPr>
          <w:rFonts w:ascii="Tahoma" w:hAnsi="Tahoma" w:cs="Tahoma"/>
          <w:b/>
        </w:rPr>
        <w:t xml:space="preserve">VOCAL </w:t>
      </w:r>
      <w:r w:rsidRPr="008A7489">
        <w:rPr>
          <w:rFonts w:ascii="Tahoma" w:hAnsi="Tahoma" w:cs="Tahoma"/>
          <w:b/>
        </w:rPr>
        <w:tab/>
      </w:r>
      <w:r w:rsidRPr="008A7489">
        <w:rPr>
          <w:rFonts w:ascii="Tahoma" w:hAnsi="Tahoma" w:cs="Tahoma"/>
          <w:b/>
        </w:rPr>
        <w:tab/>
      </w:r>
      <w:r w:rsidRPr="008A7489">
        <w:rPr>
          <w:rFonts w:ascii="Tahoma" w:hAnsi="Tahoma" w:cs="Tahoma"/>
          <w:b/>
        </w:rPr>
        <w:tab/>
      </w:r>
      <w:r w:rsidRPr="008A7489">
        <w:rPr>
          <w:rFonts w:ascii="Tahoma" w:hAnsi="Tahoma" w:cs="Tahoma"/>
          <w:b/>
        </w:rPr>
        <w:tab/>
      </w:r>
      <w:r w:rsidRPr="008A7489">
        <w:rPr>
          <w:rFonts w:ascii="Tahoma" w:hAnsi="Tahoma" w:cs="Tahoma"/>
          <w:b/>
        </w:rPr>
        <w:tab/>
      </w:r>
      <w:r w:rsidRPr="008A7489">
        <w:rPr>
          <w:rFonts w:ascii="Tahoma" w:hAnsi="Tahoma" w:cs="Tahoma"/>
          <w:b/>
        </w:rPr>
        <w:tab/>
      </w:r>
      <w:r w:rsidRPr="008A7489">
        <w:rPr>
          <w:rFonts w:ascii="Tahoma" w:hAnsi="Tahoma" w:cs="Tahoma"/>
          <w:b/>
        </w:rPr>
        <w:tab/>
      </w:r>
      <w:r w:rsidRPr="008A7489">
        <w:rPr>
          <w:rFonts w:ascii="Tahoma" w:hAnsi="Tahoma" w:cs="Tahoma"/>
          <w:b/>
        </w:rPr>
        <w:tab/>
        <w:t>VOCAL</w:t>
      </w:r>
    </w:p>
    <w:p w:rsidR="00A77E70" w:rsidRPr="008A7489" w:rsidRDefault="00A77E70" w:rsidP="00A77E70">
      <w:pPr>
        <w:rPr>
          <w:rFonts w:ascii="Tahoma" w:hAnsi="Tahoma" w:cs="Tahoma"/>
          <w:b/>
        </w:rPr>
      </w:pPr>
    </w:p>
    <w:p w:rsidR="00A77E70" w:rsidRPr="008A7489" w:rsidRDefault="00A77E70" w:rsidP="00A77E70">
      <w:pPr>
        <w:rPr>
          <w:rFonts w:ascii="Tahoma" w:hAnsi="Tahoma" w:cs="Tahoma"/>
          <w:b/>
        </w:rPr>
      </w:pPr>
    </w:p>
    <w:p w:rsidR="00A77E70" w:rsidRPr="008A7489" w:rsidRDefault="00A77E70" w:rsidP="00A77E70">
      <w:pPr>
        <w:rPr>
          <w:rFonts w:ascii="Tahoma" w:hAnsi="Tahoma" w:cs="Tahoma"/>
        </w:rPr>
      </w:pPr>
    </w:p>
    <w:p w:rsidR="00A77E70" w:rsidRPr="008A7489" w:rsidRDefault="00A77E70" w:rsidP="00A77E70">
      <w:pPr>
        <w:rPr>
          <w:rFonts w:ascii="Tahoma" w:hAnsi="Tahoma" w:cs="Tahoma"/>
        </w:rPr>
      </w:pPr>
      <w:r w:rsidRPr="008A7489">
        <w:rPr>
          <w:rFonts w:ascii="Tahoma" w:hAnsi="Tahoma" w:cs="Tahoma"/>
        </w:rPr>
        <w:t>ss.</w:t>
      </w:r>
    </w:p>
    <w:p w:rsidR="00A77E70" w:rsidRPr="008A7489" w:rsidRDefault="00A77E70" w:rsidP="00A77E70">
      <w:pPr>
        <w:rPr>
          <w:rFonts w:ascii="Tahoma" w:hAnsi="Tahoma" w:cs="Tahoma"/>
        </w:rPr>
      </w:pPr>
      <w:r w:rsidRPr="008A7489">
        <w:rPr>
          <w:rFonts w:ascii="Tahoma" w:hAnsi="Tahoma" w:cs="Tahoma"/>
        </w:rPr>
        <w:t xml:space="preserve">Valdivia </w:t>
      </w:r>
      <w:proofErr w:type="spellStart"/>
      <w:r w:rsidRPr="008A7489">
        <w:rPr>
          <w:rFonts w:ascii="Tahoma" w:hAnsi="Tahoma" w:cs="Tahoma"/>
        </w:rPr>
        <w:t>Huaringa</w:t>
      </w:r>
      <w:proofErr w:type="spellEnd"/>
    </w:p>
    <w:p w:rsidR="00A77E70" w:rsidRPr="008A7489" w:rsidRDefault="00A77E70" w:rsidP="00A77E70">
      <w:pPr>
        <w:ind w:left="708" w:hanging="708"/>
        <w:rPr>
          <w:rFonts w:ascii="Tahoma" w:hAnsi="Tahoma" w:cs="Tahoma"/>
        </w:rPr>
      </w:pPr>
      <w:r w:rsidRPr="008A7489">
        <w:rPr>
          <w:rFonts w:ascii="Tahoma" w:hAnsi="Tahoma" w:cs="Tahoma"/>
        </w:rPr>
        <w:t xml:space="preserve">Ramírez </w:t>
      </w:r>
      <w:proofErr w:type="spellStart"/>
      <w:r w:rsidRPr="008A7489">
        <w:rPr>
          <w:rFonts w:ascii="Tahoma" w:hAnsi="Tahoma" w:cs="Tahoma"/>
        </w:rPr>
        <w:t>Maynetto</w:t>
      </w:r>
      <w:proofErr w:type="spellEnd"/>
      <w:r w:rsidRPr="008A7489">
        <w:rPr>
          <w:rFonts w:ascii="Tahoma" w:hAnsi="Tahoma" w:cs="Tahoma"/>
        </w:rPr>
        <w:t xml:space="preserve"> </w:t>
      </w:r>
    </w:p>
    <w:p w:rsidR="00A77E70" w:rsidRPr="008A7489" w:rsidRDefault="00A77E70" w:rsidP="00A77E70">
      <w:pPr>
        <w:rPr>
          <w:rFonts w:ascii="Tahoma" w:hAnsi="Tahoma" w:cs="Tahoma"/>
        </w:rPr>
      </w:pPr>
      <w:r w:rsidRPr="008A7489">
        <w:rPr>
          <w:rFonts w:ascii="Tahoma" w:hAnsi="Tahoma" w:cs="Tahoma"/>
        </w:rPr>
        <w:t xml:space="preserve">Navas Rondón </w:t>
      </w:r>
    </w:p>
    <w:p w:rsidR="00A77E70" w:rsidRPr="008A7489" w:rsidRDefault="00A77E70" w:rsidP="00A77E70">
      <w:pPr>
        <w:rPr>
          <w:rFonts w:ascii="Tahoma" w:hAnsi="Tahoma" w:cs="Tahoma"/>
        </w:rPr>
      </w:pPr>
    </w:p>
    <w:p w:rsidR="00D822A9" w:rsidRDefault="00D822A9"/>
    <w:sectPr w:rsidR="00D822A9" w:rsidSect="00D822A9">
      <w:footerReference w:type="even" r:id="rId7"/>
      <w:footerReference w:type="default" r:id="rId8"/>
      <w:pgSz w:w="11906" w:h="16838"/>
      <w:pgMar w:top="3402"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93B" w:rsidRDefault="0031293B" w:rsidP="00A77E70">
      <w:r>
        <w:separator/>
      </w:r>
    </w:p>
  </w:endnote>
  <w:endnote w:type="continuationSeparator" w:id="1">
    <w:p w:rsidR="0031293B" w:rsidRDefault="0031293B" w:rsidP="00A77E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A9" w:rsidRDefault="00D822A9" w:rsidP="00D822A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D822A9" w:rsidRDefault="00D822A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A9" w:rsidRPr="002E1DB7" w:rsidRDefault="00D822A9" w:rsidP="00D822A9">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Pr="002E1DB7">
      <w:rPr>
        <w:rFonts w:ascii="Bookman Old Style" w:hAnsi="Bookman Old Style"/>
        <w:i/>
        <w:sz w:val="20"/>
      </w:rPr>
      <w:fldChar w:fldCharType="separate"/>
    </w:r>
    <w:r w:rsidR="009948D9">
      <w:rPr>
        <w:rFonts w:ascii="Bookman Old Style" w:hAnsi="Bookman Old Style"/>
        <w:i/>
        <w:noProof/>
        <w:sz w:val="20"/>
      </w:rPr>
      <w:t>1</w:t>
    </w:r>
    <w:r w:rsidRPr="002E1DB7">
      <w:rPr>
        <w:rFonts w:ascii="Bookman Old Style" w:hAnsi="Bookman Old Style"/>
        <w:i/>
        <w:sz w:val="20"/>
      </w:rPr>
      <w:fldChar w:fldCharType="end"/>
    </w:r>
    <w:r w:rsidRPr="002E1DB7">
      <w:rPr>
        <w:rFonts w:ascii="Bookman Old Style" w:hAnsi="Bookman Old Style"/>
        <w:i/>
        <w:sz w:val="20"/>
      </w:rPr>
      <w:t xml:space="preserve"> de </w:t>
    </w:r>
    <w:r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Pr="002E1DB7">
      <w:rPr>
        <w:rFonts w:ascii="Bookman Old Style" w:hAnsi="Bookman Old Style"/>
        <w:i/>
        <w:sz w:val="20"/>
      </w:rPr>
      <w:fldChar w:fldCharType="separate"/>
    </w:r>
    <w:r w:rsidR="009948D9">
      <w:rPr>
        <w:rFonts w:ascii="Bookman Old Style" w:hAnsi="Bookman Old Style"/>
        <w:i/>
        <w:noProof/>
        <w:sz w:val="20"/>
      </w:rPr>
      <w:t>8</w:t>
    </w:r>
    <w:r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93B" w:rsidRDefault="0031293B" w:rsidP="00A77E70">
      <w:r>
        <w:separator/>
      </w:r>
    </w:p>
  </w:footnote>
  <w:footnote w:type="continuationSeparator" w:id="1">
    <w:p w:rsidR="0031293B" w:rsidRDefault="0031293B" w:rsidP="00A77E70">
      <w:r>
        <w:continuationSeparator/>
      </w:r>
    </w:p>
  </w:footnote>
  <w:footnote w:id="2">
    <w:p w:rsidR="00D822A9" w:rsidRPr="000A30A7" w:rsidRDefault="00D822A9" w:rsidP="00A77E70">
      <w:pPr>
        <w:pStyle w:val="Textonotapie"/>
        <w:ind w:left="360" w:hanging="360"/>
        <w:rPr>
          <w:rFonts w:ascii="Bookman Old Style" w:hAnsi="Bookman Old Style"/>
          <w:i/>
          <w:sz w:val="18"/>
          <w:szCs w:val="18"/>
        </w:rPr>
      </w:pPr>
      <w:r w:rsidRPr="000A30A7">
        <w:rPr>
          <w:rStyle w:val="Refdenotaalpie"/>
          <w:rFonts w:ascii="Bookman Old Style" w:hAnsi="Bookman Old Style"/>
          <w:i/>
          <w:sz w:val="18"/>
          <w:szCs w:val="18"/>
        </w:rPr>
        <w:footnoteRef/>
      </w:r>
      <w:r w:rsidRPr="000A30A7">
        <w:rPr>
          <w:rFonts w:ascii="Bookman Old Style" w:hAnsi="Bookman Old Style"/>
          <w:i/>
          <w:sz w:val="18"/>
          <w:szCs w:val="18"/>
        </w:rPr>
        <w:t xml:space="preserve"> </w:t>
      </w:r>
      <w:r w:rsidRPr="000A30A7">
        <w:rPr>
          <w:rFonts w:ascii="Bookman Old Style" w:hAnsi="Bookman Old Style"/>
          <w:i/>
          <w:sz w:val="18"/>
          <w:szCs w:val="18"/>
        </w:rPr>
        <w:tab/>
        <w:t xml:space="preserve">Según consta en el cargo de </w:t>
      </w:r>
      <w:r>
        <w:rPr>
          <w:rFonts w:ascii="Bookman Old Style" w:hAnsi="Bookman Old Style"/>
          <w:i/>
          <w:sz w:val="18"/>
          <w:szCs w:val="18"/>
        </w:rPr>
        <w:t xml:space="preserve">notificación </w:t>
      </w:r>
      <w:r w:rsidRPr="000A30A7">
        <w:rPr>
          <w:rFonts w:ascii="Bookman Old Style" w:hAnsi="Bookman Old Style"/>
          <w:i/>
          <w:sz w:val="18"/>
          <w:szCs w:val="18"/>
        </w:rPr>
        <w:t>de la Cédula  de Notificación N</w:t>
      </w:r>
      <w:proofErr w:type="gramStart"/>
      <w:r w:rsidRPr="000A30A7">
        <w:rPr>
          <w:rFonts w:ascii="Bookman Old Style" w:hAnsi="Bookman Old Style"/>
          <w:i/>
          <w:sz w:val="18"/>
          <w:szCs w:val="18"/>
        </w:rPr>
        <w:t>.º</w:t>
      </w:r>
      <w:proofErr w:type="gramEnd"/>
      <w:r w:rsidRPr="000A30A7">
        <w:rPr>
          <w:rFonts w:ascii="Bookman Old Style" w:hAnsi="Bookman Old Style"/>
          <w:i/>
          <w:sz w:val="18"/>
          <w:szCs w:val="18"/>
        </w:rPr>
        <w:t xml:space="preserve"> </w:t>
      </w:r>
      <w:r>
        <w:rPr>
          <w:rFonts w:ascii="Bookman Old Style" w:hAnsi="Bookman Old Style"/>
          <w:i/>
          <w:sz w:val="18"/>
          <w:szCs w:val="18"/>
        </w:rPr>
        <w:t>38548</w:t>
      </w:r>
      <w:r w:rsidRPr="000A30A7">
        <w:rPr>
          <w:rFonts w:ascii="Bookman Old Style" w:hAnsi="Bookman Old Style"/>
          <w:i/>
          <w:sz w:val="18"/>
          <w:szCs w:val="18"/>
        </w:rPr>
        <w:t xml:space="preserve">/2007.TC que obra a fojas </w:t>
      </w:r>
      <w:r>
        <w:rPr>
          <w:rFonts w:ascii="Bookman Old Style" w:hAnsi="Bookman Old Style"/>
          <w:i/>
          <w:sz w:val="18"/>
          <w:szCs w:val="18"/>
        </w:rPr>
        <w:t xml:space="preserve">449 </w:t>
      </w:r>
      <w:r w:rsidRPr="000A30A7">
        <w:rPr>
          <w:rFonts w:ascii="Bookman Old Style" w:hAnsi="Bookman Old Style"/>
          <w:i/>
          <w:sz w:val="18"/>
          <w:szCs w:val="18"/>
        </w:rPr>
        <w:t>en el expediente administrativo.</w:t>
      </w:r>
    </w:p>
  </w:footnote>
  <w:footnote w:id="3">
    <w:p w:rsidR="00D822A9" w:rsidRPr="00176AAC" w:rsidRDefault="00D822A9" w:rsidP="00A77E70">
      <w:pPr>
        <w:pStyle w:val="Textonotapie"/>
        <w:ind w:left="180" w:hanging="180"/>
        <w:jc w:val="both"/>
        <w:rPr>
          <w:rFonts w:ascii="Bookman Old Style" w:hAnsi="Bookman Old Style"/>
          <w:i/>
          <w:lang w:val="es-PE"/>
        </w:rPr>
      </w:pPr>
      <w:r w:rsidRPr="00176AAC">
        <w:rPr>
          <w:rStyle w:val="Refdenotaalpie"/>
          <w:rFonts w:ascii="Bookman Old Style" w:hAnsi="Bookman Old Style"/>
          <w:i/>
        </w:rPr>
        <w:footnoteRef/>
      </w:r>
      <w:r w:rsidRPr="00176AAC">
        <w:rPr>
          <w:rFonts w:ascii="Bookman Old Style" w:hAnsi="Bookman Old Style"/>
          <w:b/>
          <w:i/>
        </w:rPr>
        <w:t>“</w:t>
      </w:r>
      <w:r w:rsidRPr="00176AAC">
        <w:rPr>
          <w:rFonts w:ascii="Bookman Old Style" w:hAnsi="Bookman Old Style"/>
          <w:b/>
          <w:i/>
          <w:lang w:val="es-PE"/>
        </w:rPr>
        <w:t>Artículo 306.- Recurso de Reconsideración.-</w:t>
      </w:r>
      <w:r w:rsidRPr="00176AAC">
        <w:rPr>
          <w:rFonts w:ascii="Bookman Old Style" w:hAnsi="Bookman Old Style"/>
          <w:i/>
          <w:lang w:val="es-PE"/>
        </w:rPr>
        <w:t xml:space="preserve"> </w:t>
      </w:r>
    </w:p>
    <w:p w:rsidR="00D822A9" w:rsidRPr="00176AAC" w:rsidRDefault="00D822A9" w:rsidP="00A77E70">
      <w:pPr>
        <w:pStyle w:val="Textonotapie"/>
        <w:ind w:left="180"/>
        <w:jc w:val="both"/>
        <w:rPr>
          <w:rFonts w:ascii="Bookman Old Style" w:hAnsi="Bookman Old Style"/>
          <w:i/>
          <w:lang w:val="es-PE"/>
        </w:rPr>
      </w:pPr>
      <w:r w:rsidRPr="00176AAC">
        <w:rPr>
          <w:rFonts w:ascii="Bookman Old Style" w:hAnsi="Bookman Old Style"/>
          <w:i/>
          <w:lang w:val="es-PE"/>
        </w:rPr>
        <w:t>Contra lo resuelto por el Tribunal en un procedimiento sancionador podrá interponerse Recurso de Reconsideración dentro de los tres (3) días hábiles de notificada o publicada la respectiva resolución.</w:t>
      </w:r>
    </w:p>
    <w:p w:rsidR="00D822A9" w:rsidRPr="00176AAC" w:rsidRDefault="00D822A9" w:rsidP="00A77E70">
      <w:pPr>
        <w:pStyle w:val="Textonotapie"/>
        <w:ind w:left="180"/>
        <w:jc w:val="both"/>
        <w:rPr>
          <w:rFonts w:ascii="Bookman Old Style" w:hAnsi="Bookman Old Style"/>
          <w:i/>
        </w:rPr>
      </w:pPr>
      <w:r w:rsidRPr="00176AAC">
        <w:rPr>
          <w:rFonts w:ascii="Bookman Old Style" w:hAnsi="Bookman Old Style"/>
          <w:i/>
          <w:lang w:val="es-PE"/>
        </w:rPr>
        <w:t>El Tribunal resolverá dentro del plazo de quince (15) días hábiles; contra esta decisión procede la acción contencioso administrativa ante el Poder Judicial.”</w:t>
      </w:r>
    </w:p>
  </w:footnote>
  <w:footnote w:id="4">
    <w:p w:rsidR="00D822A9" w:rsidRPr="00176AAC" w:rsidRDefault="00D822A9" w:rsidP="00A77E70">
      <w:pPr>
        <w:pStyle w:val="Textonotapie"/>
        <w:jc w:val="both"/>
        <w:rPr>
          <w:rFonts w:ascii="Bookman Old Style" w:hAnsi="Bookman Old Style"/>
          <w:b/>
          <w:i/>
        </w:rPr>
      </w:pPr>
      <w:r w:rsidRPr="00176AAC">
        <w:rPr>
          <w:rStyle w:val="Refdenotaalpie"/>
          <w:rFonts w:ascii="Bookman Old Style" w:hAnsi="Bookman Old Style"/>
          <w:i/>
        </w:rPr>
        <w:footnoteRef/>
      </w:r>
      <w:r w:rsidRPr="00176AAC">
        <w:rPr>
          <w:rFonts w:ascii="Bookman Old Style" w:hAnsi="Bookman Old Style"/>
          <w:i/>
        </w:rPr>
        <w:t xml:space="preserve"> “</w:t>
      </w:r>
      <w:r w:rsidRPr="00176AAC">
        <w:rPr>
          <w:rFonts w:ascii="Bookman Old Style" w:hAnsi="Bookman Old Style"/>
          <w:b/>
          <w:i/>
        </w:rPr>
        <w:t xml:space="preserve">Artículo 212.- Acto firme </w:t>
      </w:r>
    </w:p>
    <w:p w:rsidR="00D822A9" w:rsidRPr="00176AAC" w:rsidRDefault="00D822A9" w:rsidP="00A77E70">
      <w:pPr>
        <w:pStyle w:val="Textonotapie"/>
        <w:jc w:val="both"/>
        <w:rPr>
          <w:rFonts w:ascii="Bookman Old Style" w:hAnsi="Bookman Old Style"/>
          <w:i/>
        </w:rPr>
      </w:pPr>
      <w:r w:rsidRPr="00176AAC">
        <w:rPr>
          <w:rFonts w:ascii="Bookman Old Style" w:hAnsi="Bookman Old Style"/>
          <w:i/>
        </w:rPr>
        <w:t>Una vez vencidos los plazos para interponer los recursos administrativos se perderá el derecho a articularlos quedando firme el acto”.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362C9"/>
    <w:multiLevelType w:val="hybridMultilevel"/>
    <w:tmpl w:val="0DEC5AC2"/>
    <w:lvl w:ilvl="0" w:tplc="8C5887CE">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nsid w:val="0F027ACF"/>
    <w:multiLevelType w:val="hybridMultilevel"/>
    <w:tmpl w:val="2B3E760C"/>
    <w:lvl w:ilvl="0" w:tplc="27647E92">
      <w:start w:val="5"/>
      <w:numFmt w:val="decimal"/>
      <w:lvlText w:val="%1."/>
      <w:lvlJc w:val="left"/>
      <w:pPr>
        <w:tabs>
          <w:tab w:val="num" w:pos="454"/>
        </w:tabs>
        <w:ind w:left="454" w:hanging="454"/>
      </w:pPr>
      <w:rPr>
        <w:rFonts w:ascii="Tahoma" w:hAnsi="Tahoma" w:cs="Tahoma" w:hint="default"/>
        <w:b/>
        <w:i w:val="0"/>
        <w:shadow/>
        <w:sz w:val="22"/>
        <w:szCs w:val="22"/>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F4D30F0"/>
    <w:multiLevelType w:val="multilevel"/>
    <w:tmpl w:val="2C6A27E6"/>
    <w:lvl w:ilvl="0">
      <w:start w:val="1"/>
      <w:numFmt w:val="decimal"/>
      <w:lvlText w:val="%1."/>
      <w:lvlJc w:val="left"/>
      <w:pPr>
        <w:tabs>
          <w:tab w:val="num" w:pos="454"/>
        </w:tabs>
        <w:ind w:left="454" w:hanging="454"/>
      </w:pPr>
      <w:rPr>
        <w:rFonts w:ascii="Tahoma" w:hAnsi="Tahoma" w:cs="Tahoma" w:hint="default"/>
        <w:b w:val="0"/>
        <w:i w:val="0"/>
        <w:shadow w:val="0"/>
        <w:sz w:val="20"/>
        <w:szCs w:val="20"/>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i w:val="0"/>
        <w:shadow/>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0996D7F"/>
    <w:multiLevelType w:val="hybridMultilevel"/>
    <w:tmpl w:val="640CC0F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F75DD3"/>
    <w:multiLevelType w:val="hybridMultilevel"/>
    <w:tmpl w:val="640CC0F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37C13682"/>
    <w:multiLevelType w:val="hybridMultilevel"/>
    <w:tmpl w:val="57B2BC26"/>
    <w:lvl w:ilvl="0" w:tplc="B48836B6">
      <w:start w:val="1"/>
      <w:numFmt w:val="decimal"/>
      <w:lvlText w:val="%1."/>
      <w:lvlJc w:val="left"/>
      <w:pPr>
        <w:tabs>
          <w:tab w:val="num" w:pos="454"/>
        </w:tabs>
        <w:ind w:left="454" w:hanging="454"/>
      </w:pPr>
      <w:rPr>
        <w:rFonts w:ascii="Arial Narrow" w:hAnsi="Arial Narrow" w:hint="default"/>
        <w:b/>
        <w:i w:val="0"/>
        <w:shadow/>
        <w:sz w:val="24"/>
        <w:szCs w:val="24"/>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6BB40D8"/>
    <w:multiLevelType w:val="hybridMultilevel"/>
    <w:tmpl w:val="A5B6B882"/>
    <w:lvl w:ilvl="0" w:tplc="CD5E1510">
      <w:start w:val="1"/>
      <w:numFmt w:val="decimal"/>
      <w:lvlText w:val="%1."/>
      <w:lvlJc w:val="left"/>
      <w:pPr>
        <w:tabs>
          <w:tab w:val="num" w:pos="172"/>
        </w:tabs>
        <w:ind w:left="172" w:hanging="454"/>
      </w:pPr>
      <w:rPr>
        <w:rFonts w:ascii="Tahoma" w:hAnsi="Tahoma" w:cs="Tahoma" w:hint="default"/>
        <w:b w:val="0"/>
        <w:i w:val="0"/>
        <w:shadow w:val="0"/>
        <w:color w:val="auto"/>
        <w:sz w:val="20"/>
        <w:szCs w:val="20"/>
        <w:u w:color="FFFFFF"/>
        <w:effect w:val="none"/>
      </w:rPr>
    </w:lvl>
    <w:lvl w:ilvl="1" w:tplc="0C0A0019">
      <w:start w:val="1"/>
      <w:numFmt w:val="lowerLetter"/>
      <w:lvlText w:val="%2."/>
      <w:lvlJc w:val="left"/>
      <w:pPr>
        <w:tabs>
          <w:tab w:val="num" w:pos="1158"/>
        </w:tabs>
        <w:ind w:left="1158" w:hanging="360"/>
      </w:pPr>
    </w:lvl>
    <w:lvl w:ilvl="2" w:tplc="0C0A001B" w:tentative="1">
      <w:start w:val="1"/>
      <w:numFmt w:val="lowerRoman"/>
      <w:lvlText w:val="%3."/>
      <w:lvlJc w:val="right"/>
      <w:pPr>
        <w:tabs>
          <w:tab w:val="num" w:pos="1878"/>
        </w:tabs>
        <w:ind w:left="1878" w:hanging="180"/>
      </w:pPr>
    </w:lvl>
    <w:lvl w:ilvl="3" w:tplc="0C0A000F" w:tentative="1">
      <w:start w:val="1"/>
      <w:numFmt w:val="decimal"/>
      <w:lvlText w:val="%4."/>
      <w:lvlJc w:val="left"/>
      <w:pPr>
        <w:tabs>
          <w:tab w:val="num" w:pos="2598"/>
        </w:tabs>
        <w:ind w:left="2598" w:hanging="360"/>
      </w:pPr>
    </w:lvl>
    <w:lvl w:ilvl="4" w:tplc="0C0A0019" w:tentative="1">
      <w:start w:val="1"/>
      <w:numFmt w:val="lowerLetter"/>
      <w:lvlText w:val="%5."/>
      <w:lvlJc w:val="left"/>
      <w:pPr>
        <w:tabs>
          <w:tab w:val="num" w:pos="3318"/>
        </w:tabs>
        <w:ind w:left="3318" w:hanging="360"/>
      </w:pPr>
    </w:lvl>
    <w:lvl w:ilvl="5" w:tplc="0C0A001B" w:tentative="1">
      <w:start w:val="1"/>
      <w:numFmt w:val="lowerRoman"/>
      <w:lvlText w:val="%6."/>
      <w:lvlJc w:val="right"/>
      <w:pPr>
        <w:tabs>
          <w:tab w:val="num" w:pos="4038"/>
        </w:tabs>
        <w:ind w:left="4038" w:hanging="180"/>
      </w:pPr>
    </w:lvl>
    <w:lvl w:ilvl="6" w:tplc="0C0A000F" w:tentative="1">
      <w:start w:val="1"/>
      <w:numFmt w:val="decimal"/>
      <w:lvlText w:val="%7."/>
      <w:lvlJc w:val="left"/>
      <w:pPr>
        <w:tabs>
          <w:tab w:val="num" w:pos="4758"/>
        </w:tabs>
        <w:ind w:left="4758" w:hanging="360"/>
      </w:pPr>
    </w:lvl>
    <w:lvl w:ilvl="7" w:tplc="0C0A0019" w:tentative="1">
      <w:start w:val="1"/>
      <w:numFmt w:val="lowerLetter"/>
      <w:lvlText w:val="%8."/>
      <w:lvlJc w:val="left"/>
      <w:pPr>
        <w:tabs>
          <w:tab w:val="num" w:pos="5478"/>
        </w:tabs>
        <w:ind w:left="5478" w:hanging="360"/>
      </w:pPr>
    </w:lvl>
    <w:lvl w:ilvl="8" w:tplc="0C0A001B" w:tentative="1">
      <w:start w:val="1"/>
      <w:numFmt w:val="lowerRoman"/>
      <w:lvlText w:val="%9."/>
      <w:lvlJc w:val="right"/>
      <w:pPr>
        <w:tabs>
          <w:tab w:val="num" w:pos="6198"/>
        </w:tabs>
        <w:ind w:left="6198" w:hanging="180"/>
      </w:pPr>
    </w:lvl>
  </w:abstractNum>
  <w:abstractNum w:abstractNumId="7">
    <w:nsid w:val="48C60715"/>
    <w:multiLevelType w:val="hybridMultilevel"/>
    <w:tmpl w:val="48A086F0"/>
    <w:lvl w:ilvl="0" w:tplc="068A5234">
      <w:start w:val="1"/>
      <w:numFmt w:val="decimal"/>
      <w:lvlText w:val="%1."/>
      <w:lvlJc w:val="left"/>
      <w:pPr>
        <w:tabs>
          <w:tab w:val="num" w:pos="720"/>
        </w:tabs>
        <w:ind w:left="720" w:hanging="360"/>
      </w:pPr>
      <w:rPr>
        <w:rFonts w:hint="default"/>
        <w:b/>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523C18B4"/>
    <w:multiLevelType w:val="hybridMultilevel"/>
    <w:tmpl w:val="97145A16"/>
    <w:lvl w:ilvl="0" w:tplc="D6DC4EF0">
      <w:start w:val="1"/>
      <w:numFmt w:val="lowerRoman"/>
      <w:lvlText w:val="(%1)"/>
      <w:lvlJc w:val="left"/>
      <w:pPr>
        <w:tabs>
          <w:tab w:val="num" w:pos="1134"/>
        </w:tabs>
        <w:ind w:left="1134" w:hanging="680"/>
      </w:pPr>
      <w:rPr>
        <w:rFonts w:ascii="Bookman Old Style" w:hAnsi="Bookman Old Style" w:hint="default"/>
        <w:b/>
        <w:i w:val="0"/>
        <w:shadow/>
        <w:emboss w:val="0"/>
        <w:imprint w:val="0"/>
        <w:color w:val="auto"/>
        <w:sz w:val="20"/>
        <w:szCs w:val="20"/>
      </w:rPr>
    </w:lvl>
    <w:lvl w:ilvl="1" w:tplc="91586B28">
      <w:start w:val="1"/>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656D6579"/>
    <w:multiLevelType w:val="hybridMultilevel"/>
    <w:tmpl w:val="20DCF904"/>
    <w:lvl w:ilvl="0" w:tplc="D188CAA4">
      <w:start w:val="1"/>
      <w:numFmt w:val="decimal"/>
      <w:lvlText w:val="%1."/>
      <w:lvlJc w:val="left"/>
      <w:pPr>
        <w:tabs>
          <w:tab w:val="num" w:pos="720"/>
        </w:tabs>
        <w:ind w:left="720" w:hanging="360"/>
      </w:pPr>
      <w:rPr>
        <w:rFonts w:cs="Arial"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7"/>
  </w:num>
  <w:num w:numId="5">
    <w:abstractNumId w:val="0"/>
  </w:num>
  <w:num w:numId="6">
    <w:abstractNumId w:val="3"/>
  </w:num>
  <w:num w:numId="7">
    <w:abstractNumId w:val="4"/>
  </w:num>
  <w:num w:numId="8">
    <w:abstractNumId w:val="1"/>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77E70"/>
    <w:rsid w:val="0002616F"/>
    <w:rsid w:val="001C1D21"/>
    <w:rsid w:val="00215360"/>
    <w:rsid w:val="0031293B"/>
    <w:rsid w:val="00556D0A"/>
    <w:rsid w:val="008A7489"/>
    <w:rsid w:val="00975F22"/>
    <w:rsid w:val="009948D9"/>
    <w:rsid w:val="00A77E70"/>
    <w:rsid w:val="00AB0E85"/>
    <w:rsid w:val="00D822A9"/>
    <w:rsid w:val="00DC58D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E70"/>
    <w:rPr>
      <w:rFonts w:ascii="Times New Roman" w:eastAsia="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A77E70"/>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A77E70"/>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A77E70"/>
    <w:pPr>
      <w:jc w:val="both"/>
    </w:pPr>
    <w:rPr>
      <w:rFonts w:ascii="Arial" w:hAnsi="Arial"/>
      <w:sz w:val="24"/>
      <w:lang w:val="es-PE"/>
    </w:rPr>
  </w:style>
  <w:style w:type="character" w:customStyle="1" w:styleId="TextoindependienteCar">
    <w:name w:val="Texto independiente Car"/>
    <w:basedOn w:val="Fuentedeprrafopredeter"/>
    <w:link w:val="Textoindependiente"/>
    <w:rsid w:val="00A77E70"/>
    <w:rPr>
      <w:rFonts w:ascii="Arial" w:eastAsia="Times New Roman" w:hAnsi="Arial" w:cs="Times New Roman"/>
      <w:sz w:val="24"/>
      <w:szCs w:val="20"/>
      <w:lang w:val="es-PE" w:eastAsia="es-ES"/>
    </w:rPr>
  </w:style>
  <w:style w:type="character" w:styleId="Nmerodepgina">
    <w:name w:val="page number"/>
    <w:basedOn w:val="Fuentedeprrafopredeter"/>
    <w:rsid w:val="00A77E70"/>
  </w:style>
  <w:style w:type="paragraph" w:styleId="Prrafodelista">
    <w:name w:val="List Paragraph"/>
    <w:basedOn w:val="Normal"/>
    <w:uiPriority w:val="34"/>
    <w:qFormat/>
    <w:rsid w:val="00A77E70"/>
    <w:pPr>
      <w:ind w:left="720"/>
      <w:contextualSpacing/>
    </w:pPr>
  </w:style>
  <w:style w:type="paragraph" w:styleId="Textonotapie">
    <w:name w:val="footnote text"/>
    <w:basedOn w:val="Normal"/>
    <w:link w:val="TextonotapieCar"/>
    <w:semiHidden/>
    <w:rsid w:val="00A77E70"/>
  </w:style>
  <w:style w:type="character" w:customStyle="1" w:styleId="TextonotapieCar">
    <w:name w:val="Texto nota pie Car"/>
    <w:basedOn w:val="Fuentedeprrafopredeter"/>
    <w:link w:val="Textonotapie"/>
    <w:semiHidden/>
    <w:rsid w:val="00A77E70"/>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A77E70"/>
    <w:rPr>
      <w:vertAlign w:val="superscript"/>
    </w:rPr>
  </w:style>
</w:styles>
</file>

<file path=word/webSettings.xml><?xml version="1.0" encoding="utf-8"?>
<w:webSettings xmlns:r="http://schemas.openxmlformats.org/officeDocument/2006/relationships" xmlns:w="http://schemas.openxmlformats.org/wordprocessingml/2006/main">
  <w:divs>
    <w:div w:id="129618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2771</Words>
  <Characters>15243</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1414-2007/TC-S3</dc:title>
  <dc:subject>APLICACIÓN DE SANCION</dc:subject>
  <dc:creator>TRIBUNAL</dc:creator>
  <cp:keywords>RECURSO DE RECONSIDERACION</cp:keywords>
  <dc:description/>
  <cp:lastModifiedBy>erueda</cp:lastModifiedBy>
  <cp:revision>2</cp:revision>
  <cp:lastPrinted>2007-12-10T21:49:00Z</cp:lastPrinted>
  <dcterms:created xsi:type="dcterms:W3CDTF">2007-12-14T15:53:00Z</dcterms:created>
  <dcterms:modified xsi:type="dcterms:W3CDTF">2007-12-14T15:53:00Z</dcterms:modified>
  <cp:category>RESOLUCIÓN - TRIBUNAL</cp:category>
</cp:coreProperties>
</file>