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621" w:rsidRDefault="00132621" w:rsidP="00132621">
      <w:pPr>
        <w:tabs>
          <w:tab w:val="left" w:pos="2520"/>
        </w:tabs>
        <w:ind w:left="2520" w:right="765" w:hanging="1102"/>
        <w:jc w:val="center"/>
        <w:rPr>
          <w:rFonts w:ascii="Tahoma" w:hAnsi="Tahoma" w:cs="Tahoma"/>
          <w:b/>
          <w:sz w:val="24"/>
          <w:szCs w:val="24"/>
        </w:rPr>
      </w:pPr>
      <w:r>
        <w:rPr>
          <w:rFonts w:ascii="Tahoma" w:hAnsi="Tahoma" w:cs="Tahoma"/>
          <w:b/>
          <w:sz w:val="24"/>
          <w:szCs w:val="24"/>
        </w:rPr>
        <w:t>Resolución N</w:t>
      </w:r>
      <w:proofErr w:type="gramStart"/>
      <w:r>
        <w:rPr>
          <w:rFonts w:ascii="Tahoma" w:hAnsi="Tahoma" w:cs="Tahoma"/>
          <w:b/>
          <w:sz w:val="24"/>
          <w:szCs w:val="24"/>
        </w:rPr>
        <w:t>.º</w:t>
      </w:r>
      <w:proofErr w:type="gramEnd"/>
      <w:r>
        <w:rPr>
          <w:rFonts w:ascii="Tahoma" w:hAnsi="Tahoma" w:cs="Tahoma"/>
          <w:b/>
          <w:sz w:val="24"/>
          <w:szCs w:val="24"/>
        </w:rPr>
        <w:t xml:space="preserve"> 1996-2007/TC-S3</w:t>
      </w:r>
    </w:p>
    <w:p w:rsidR="00132621" w:rsidRDefault="00132621" w:rsidP="00132621">
      <w:pPr>
        <w:tabs>
          <w:tab w:val="left" w:pos="2520"/>
        </w:tabs>
        <w:ind w:left="2520" w:right="765" w:hanging="1102"/>
        <w:jc w:val="center"/>
        <w:rPr>
          <w:rFonts w:ascii="Tahoma" w:hAnsi="Tahoma" w:cs="Tahoma"/>
          <w:b/>
        </w:rPr>
      </w:pPr>
    </w:p>
    <w:p w:rsidR="00132621" w:rsidRDefault="00132621" w:rsidP="00D137B7">
      <w:pPr>
        <w:tabs>
          <w:tab w:val="left" w:pos="2520"/>
        </w:tabs>
        <w:ind w:left="2520" w:right="765" w:hanging="1102"/>
        <w:jc w:val="both"/>
        <w:rPr>
          <w:rFonts w:ascii="Tahoma" w:hAnsi="Tahoma" w:cs="Tahoma"/>
          <w:b/>
        </w:rPr>
      </w:pPr>
    </w:p>
    <w:p w:rsidR="00132621" w:rsidRDefault="00132621" w:rsidP="00D137B7">
      <w:pPr>
        <w:tabs>
          <w:tab w:val="left" w:pos="2520"/>
        </w:tabs>
        <w:ind w:left="2520" w:right="765" w:hanging="1102"/>
        <w:jc w:val="both"/>
        <w:rPr>
          <w:rFonts w:ascii="Tahoma" w:hAnsi="Tahoma" w:cs="Tahoma"/>
          <w:b/>
        </w:rPr>
      </w:pPr>
    </w:p>
    <w:p w:rsidR="00D137B7" w:rsidRPr="00D137B7" w:rsidRDefault="00D137B7" w:rsidP="00D137B7">
      <w:pPr>
        <w:tabs>
          <w:tab w:val="left" w:pos="2520"/>
        </w:tabs>
        <w:ind w:left="2520" w:right="765" w:hanging="1102"/>
        <w:jc w:val="both"/>
        <w:rPr>
          <w:rFonts w:ascii="Tahoma" w:hAnsi="Tahoma" w:cs="Tahoma"/>
          <w:lang w:val="es-PE"/>
        </w:rPr>
      </w:pPr>
      <w:r w:rsidRPr="00D137B7">
        <w:rPr>
          <w:rFonts w:ascii="Tahoma" w:hAnsi="Tahoma" w:cs="Tahoma"/>
          <w:b/>
        </w:rPr>
        <w:t>Sumilla</w:t>
      </w:r>
      <w:proofErr w:type="gramStart"/>
      <w:r w:rsidRPr="00D137B7">
        <w:rPr>
          <w:rFonts w:ascii="Tahoma" w:hAnsi="Tahoma" w:cs="Tahoma"/>
        </w:rPr>
        <w:t xml:space="preserve">:  </w:t>
      </w:r>
      <w:r w:rsidR="00986F22">
        <w:rPr>
          <w:rFonts w:ascii="Tahoma" w:hAnsi="Tahoma" w:cs="Tahoma"/>
        </w:rPr>
        <w:t>Corresponde</w:t>
      </w:r>
      <w:proofErr w:type="gramEnd"/>
      <w:r w:rsidR="00986F22">
        <w:rPr>
          <w:rFonts w:ascii="Tahoma" w:hAnsi="Tahoma" w:cs="Tahoma"/>
        </w:rPr>
        <w:t xml:space="preserve"> s</w:t>
      </w:r>
      <w:r w:rsidR="00986F22" w:rsidRPr="00D137B7">
        <w:rPr>
          <w:rFonts w:ascii="Tahoma" w:hAnsi="Tahoma" w:cs="Tahoma"/>
        </w:rPr>
        <w:t xml:space="preserve">ancionar a la </w:t>
      </w:r>
      <w:r w:rsidR="00986F22">
        <w:rPr>
          <w:rFonts w:ascii="Tahoma" w:hAnsi="Tahoma" w:cs="Tahoma"/>
        </w:rPr>
        <w:t xml:space="preserve">empresa </w:t>
      </w:r>
      <w:proofErr w:type="spellStart"/>
      <w:r w:rsidR="00986F22" w:rsidRPr="00D137B7">
        <w:rPr>
          <w:rFonts w:ascii="Tahoma" w:hAnsi="Tahoma" w:cs="Tahoma"/>
          <w:lang w:val="es-PE"/>
        </w:rPr>
        <w:t>Autoservice</w:t>
      </w:r>
      <w:proofErr w:type="spellEnd"/>
      <w:r w:rsidR="00986F22" w:rsidRPr="00D137B7">
        <w:rPr>
          <w:rFonts w:ascii="Tahoma" w:hAnsi="Tahoma" w:cs="Tahoma"/>
          <w:lang w:val="es-PE"/>
        </w:rPr>
        <w:t xml:space="preserve"> </w:t>
      </w:r>
      <w:proofErr w:type="spellStart"/>
      <w:r w:rsidR="00986F22" w:rsidRPr="00D137B7">
        <w:rPr>
          <w:rFonts w:ascii="Tahoma" w:hAnsi="Tahoma" w:cs="Tahoma"/>
          <w:lang w:val="es-PE"/>
        </w:rPr>
        <w:t>Wong</w:t>
      </w:r>
      <w:proofErr w:type="spellEnd"/>
      <w:r w:rsidR="00986F22" w:rsidRPr="00D137B7">
        <w:rPr>
          <w:rFonts w:ascii="Tahoma" w:hAnsi="Tahoma" w:cs="Tahoma"/>
          <w:lang w:val="es-PE"/>
        </w:rPr>
        <w:t xml:space="preserve"> E.I.R.L.</w:t>
      </w:r>
      <w:r w:rsidR="00986F22" w:rsidRPr="00D137B7">
        <w:rPr>
          <w:rFonts w:ascii="Tahoma" w:hAnsi="Tahoma" w:cs="Tahoma"/>
        </w:rPr>
        <w:t xml:space="preserve"> con </w:t>
      </w:r>
      <w:r w:rsidR="00986F22" w:rsidRPr="00D137B7">
        <w:rPr>
          <w:rFonts w:ascii="Tahoma" w:hAnsi="Tahoma" w:cs="Tahoma"/>
          <w:b/>
        </w:rPr>
        <w:t xml:space="preserve">seis (06) meses de inhabilitación temporal </w:t>
      </w:r>
      <w:r w:rsidR="00986F22" w:rsidRPr="00D137B7">
        <w:rPr>
          <w:rFonts w:ascii="Tahoma" w:hAnsi="Tahoma" w:cs="Tahoma"/>
        </w:rPr>
        <w:t>en su derecho de participar en procesos de selección y contratar con el Estado, por incurrir en la infracción tipificada en el numeral 1) del artículo 294 del Reglamento de la Ley de Contrataciones y Adquisiciones del Estado, aprobado por el Decreto Supremo N.° 084-2004-PCM</w:t>
      </w:r>
      <w:r w:rsidR="00986F22">
        <w:rPr>
          <w:rFonts w:ascii="Tahoma" w:hAnsi="Tahoma" w:cs="Tahoma"/>
        </w:rPr>
        <w:t>.</w:t>
      </w:r>
    </w:p>
    <w:p w:rsidR="00D137B7" w:rsidRPr="00D137B7" w:rsidRDefault="00D137B7" w:rsidP="00D137B7">
      <w:pPr>
        <w:ind w:left="3540" w:firstLine="708"/>
        <w:jc w:val="center"/>
        <w:rPr>
          <w:rFonts w:ascii="Tahoma" w:hAnsi="Tahoma" w:cs="Tahoma"/>
          <w:lang w:val="es-PE"/>
        </w:rPr>
      </w:pPr>
      <w:r w:rsidRPr="00D137B7">
        <w:rPr>
          <w:rFonts w:ascii="Tahoma" w:hAnsi="Tahoma" w:cs="Tahoma"/>
          <w:lang w:val="es-PE"/>
        </w:rPr>
        <w:t xml:space="preserve">Lima, </w:t>
      </w:r>
      <w:r w:rsidR="00132621">
        <w:rPr>
          <w:rFonts w:ascii="Tahoma" w:hAnsi="Tahoma" w:cs="Tahoma"/>
          <w:lang w:val="es-PE"/>
        </w:rPr>
        <w:t>22 de noviembre de 2007</w:t>
      </w:r>
    </w:p>
    <w:p w:rsidR="00D137B7" w:rsidRPr="00D137B7" w:rsidRDefault="00D137B7" w:rsidP="00D137B7">
      <w:pPr>
        <w:jc w:val="both"/>
        <w:rPr>
          <w:rFonts w:ascii="Tahoma" w:hAnsi="Tahoma" w:cs="Tahoma"/>
          <w:lang w:val="es-PE"/>
        </w:rPr>
      </w:pPr>
    </w:p>
    <w:p w:rsidR="00D137B7" w:rsidRPr="00D137B7" w:rsidRDefault="00D137B7" w:rsidP="00D137B7">
      <w:pPr>
        <w:ind w:right="-136"/>
        <w:jc w:val="both"/>
        <w:rPr>
          <w:rFonts w:ascii="Tahoma" w:hAnsi="Tahoma" w:cs="Tahoma"/>
        </w:rPr>
      </w:pPr>
      <w:r w:rsidRPr="00D137B7">
        <w:rPr>
          <w:rFonts w:ascii="Tahoma" w:hAnsi="Tahoma" w:cs="Tahoma"/>
          <w:lang w:val="es-PE"/>
        </w:rPr>
        <w:t>Visto, en sesión de fecha 16.11.2007 de la Tercera Sala del Tribunal de Contrataciones y Adquisiciones del Estado el Expediente N</w:t>
      </w:r>
      <w:proofErr w:type="gramStart"/>
      <w:r w:rsidRPr="00D137B7">
        <w:rPr>
          <w:rFonts w:ascii="Tahoma" w:hAnsi="Tahoma" w:cs="Tahoma"/>
          <w:lang w:val="es-PE"/>
        </w:rPr>
        <w:t>.º</w:t>
      </w:r>
      <w:proofErr w:type="gramEnd"/>
      <w:r w:rsidRPr="00D137B7">
        <w:rPr>
          <w:rFonts w:ascii="Tahoma" w:hAnsi="Tahoma" w:cs="Tahoma"/>
          <w:lang w:val="es-PE"/>
        </w:rPr>
        <w:t xml:space="preserve"> 196/2005.TC sobre la aplicación de sanción iniciado a la empresa </w:t>
      </w:r>
      <w:proofErr w:type="spellStart"/>
      <w:r w:rsidRPr="00D137B7">
        <w:rPr>
          <w:rFonts w:ascii="Tahoma" w:hAnsi="Tahoma" w:cs="Tahoma"/>
          <w:lang w:val="es-PE"/>
        </w:rPr>
        <w:t>Autoservice</w:t>
      </w:r>
      <w:proofErr w:type="spellEnd"/>
      <w:r w:rsidRPr="00D137B7">
        <w:rPr>
          <w:rFonts w:ascii="Tahoma" w:hAnsi="Tahoma" w:cs="Tahoma"/>
          <w:lang w:val="es-PE"/>
        </w:rPr>
        <w:t xml:space="preserve"> </w:t>
      </w:r>
      <w:proofErr w:type="spellStart"/>
      <w:r w:rsidRPr="00D137B7">
        <w:rPr>
          <w:rFonts w:ascii="Tahoma" w:hAnsi="Tahoma" w:cs="Tahoma"/>
          <w:lang w:val="es-PE"/>
        </w:rPr>
        <w:t>Wong</w:t>
      </w:r>
      <w:proofErr w:type="spellEnd"/>
      <w:r w:rsidRPr="00D137B7">
        <w:rPr>
          <w:rFonts w:ascii="Tahoma" w:hAnsi="Tahoma" w:cs="Tahoma"/>
          <w:lang w:val="es-PE"/>
        </w:rPr>
        <w:t xml:space="preserve"> E.I.R.L. por haber incurrido en supuesta responsabilidad por no mantener su oferta hasta el otorgamiento de la Buena Pro, durante la </w:t>
      </w:r>
      <w:r w:rsidRPr="00D137B7">
        <w:rPr>
          <w:rFonts w:ascii="Tahoma" w:hAnsi="Tahoma" w:cs="Tahoma"/>
        </w:rPr>
        <w:t>Adjudicación de Menor Cuantía N.º 0499M07701</w:t>
      </w:r>
      <w:r w:rsidRPr="00D137B7">
        <w:rPr>
          <w:rFonts w:ascii="Tahoma" w:hAnsi="Tahoma" w:cs="Tahoma"/>
          <w:lang w:val="es-PE"/>
        </w:rPr>
        <w:t xml:space="preserve">; y atendiendo a los siguientes:   </w:t>
      </w:r>
      <w:r w:rsidRPr="00D137B7">
        <w:rPr>
          <w:rFonts w:ascii="Tahoma" w:hAnsi="Tahoma" w:cs="Tahoma"/>
          <w:lang w:val="es-PE"/>
        </w:rPr>
        <w:tab/>
      </w:r>
    </w:p>
    <w:p w:rsidR="00D137B7" w:rsidRPr="00D137B7" w:rsidRDefault="00D137B7" w:rsidP="00D137B7">
      <w:pPr>
        <w:rPr>
          <w:rFonts w:ascii="Tahoma" w:hAnsi="Tahoma" w:cs="Tahoma"/>
          <w:shadow/>
          <w:lang w:val="es-PE"/>
        </w:rPr>
      </w:pPr>
    </w:p>
    <w:p w:rsidR="00D137B7" w:rsidRPr="00D137B7" w:rsidRDefault="00D137B7" w:rsidP="00D137B7">
      <w:pPr>
        <w:jc w:val="both"/>
        <w:rPr>
          <w:rFonts w:ascii="Tahoma" w:hAnsi="Tahoma" w:cs="Tahoma"/>
          <w:b/>
          <w:shadow/>
        </w:rPr>
      </w:pPr>
      <w:r w:rsidRPr="00D137B7">
        <w:rPr>
          <w:rFonts w:ascii="Tahoma" w:hAnsi="Tahoma" w:cs="Tahoma"/>
          <w:b/>
          <w:shadow/>
        </w:rPr>
        <w:t>ANTECEDENTES</w:t>
      </w:r>
    </w:p>
    <w:p w:rsidR="00D137B7" w:rsidRPr="00D137B7" w:rsidRDefault="00D137B7" w:rsidP="00D137B7">
      <w:pPr>
        <w:jc w:val="both"/>
        <w:rPr>
          <w:rFonts w:ascii="Tahoma" w:hAnsi="Tahoma" w:cs="Tahoma"/>
          <w:b/>
          <w:shadow/>
        </w:rPr>
      </w:pPr>
    </w:p>
    <w:p w:rsidR="00D137B7" w:rsidRPr="00D137B7" w:rsidRDefault="00D137B7" w:rsidP="00D137B7">
      <w:pPr>
        <w:numPr>
          <w:ilvl w:val="0"/>
          <w:numId w:val="4"/>
        </w:numPr>
        <w:tabs>
          <w:tab w:val="clear" w:pos="454"/>
          <w:tab w:val="num" w:pos="540"/>
        </w:tabs>
        <w:ind w:left="540" w:hanging="540"/>
        <w:jc w:val="both"/>
        <w:rPr>
          <w:rFonts w:ascii="Tahoma" w:hAnsi="Tahoma" w:cs="Tahoma"/>
          <w:lang w:val="es-PE"/>
        </w:rPr>
      </w:pPr>
      <w:r w:rsidRPr="00D137B7">
        <w:rPr>
          <w:rFonts w:ascii="Tahoma" w:hAnsi="Tahoma" w:cs="Tahoma"/>
        </w:rPr>
        <w:t>El 15 de setiembre de 2004, el Seguro Social de Salud, en lo sucesivo la Entidad, convocó la Adjudicación de Menor Cuantía N</w:t>
      </w:r>
      <w:proofErr w:type="gramStart"/>
      <w:r w:rsidRPr="00D137B7">
        <w:rPr>
          <w:rFonts w:ascii="Tahoma" w:hAnsi="Tahoma" w:cs="Tahoma"/>
        </w:rPr>
        <w:t>.º</w:t>
      </w:r>
      <w:proofErr w:type="gramEnd"/>
      <w:r w:rsidRPr="00D137B7">
        <w:rPr>
          <w:rFonts w:ascii="Tahoma" w:hAnsi="Tahoma" w:cs="Tahoma"/>
        </w:rPr>
        <w:t xml:space="preserve"> 0499M07701 para la adquisición de repuestos y material de ferretería para unidad móvil UF1442 Volvo, por un valor referencial de S/. 21,653.86 (Veintiún Mil Seiscientos Cincuenta y Tres con 86/100 Nuevos Soles).</w:t>
      </w:r>
    </w:p>
    <w:p w:rsidR="00D137B7" w:rsidRPr="00D137B7" w:rsidRDefault="00D137B7" w:rsidP="00D137B7">
      <w:pPr>
        <w:jc w:val="both"/>
        <w:rPr>
          <w:rFonts w:ascii="Tahoma" w:hAnsi="Tahoma" w:cs="Tahoma"/>
          <w:lang w:val="es-PE"/>
        </w:rPr>
      </w:pPr>
    </w:p>
    <w:p w:rsidR="00D137B7" w:rsidRPr="00D137B7" w:rsidRDefault="00D137B7" w:rsidP="00D137B7">
      <w:pPr>
        <w:numPr>
          <w:ilvl w:val="0"/>
          <w:numId w:val="4"/>
        </w:numPr>
        <w:tabs>
          <w:tab w:val="clear" w:pos="454"/>
          <w:tab w:val="num" w:pos="540"/>
        </w:tabs>
        <w:ind w:left="540" w:hanging="540"/>
        <w:jc w:val="both"/>
        <w:rPr>
          <w:rFonts w:ascii="Tahoma" w:hAnsi="Tahoma" w:cs="Tahoma"/>
          <w:lang w:val="es-PE"/>
        </w:rPr>
      </w:pPr>
      <w:r w:rsidRPr="00D137B7">
        <w:rPr>
          <w:rFonts w:ascii="Tahoma" w:hAnsi="Tahoma" w:cs="Tahoma"/>
          <w:lang w:val="es-PE"/>
        </w:rPr>
        <w:t xml:space="preserve">El 17 de setiembre de 2004 las empresas ONGOY S.R.L., </w:t>
      </w:r>
      <w:proofErr w:type="spellStart"/>
      <w:r w:rsidRPr="00D137B7">
        <w:rPr>
          <w:rFonts w:ascii="Tahoma" w:hAnsi="Tahoma" w:cs="Tahoma"/>
          <w:lang w:val="es-PE"/>
        </w:rPr>
        <w:t>Autoservice</w:t>
      </w:r>
      <w:proofErr w:type="spellEnd"/>
      <w:r w:rsidRPr="00D137B7">
        <w:rPr>
          <w:rFonts w:ascii="Tahoma" w:hAnsi="Tahoma" w:cs="Tahoma"/>
          <w:lang w:val="es-PE"/>
        </w:rPr>
        <w:t xml:space="preserve"> </w:t>
      </w:r>
      <w:proofErr w:type="spellStart"/>
      <w:r w:rsidRPr="00D137B7">
        <w:rPr>
          <w:rFonts w:ascii="Tahoma" w:hAnsi="Tahoma" w:cs="Tahoma"/>
          <w:lang w:val="es-PE"/>
        </w:rPr>
        <w:t>Wong</w:t>
      </w:r>
      <w:proofErr w:type="spellEnd"/>
      <w:r w:rsidRPr="00D137B7">
        <w:rPr>
          <w:rFonts w:ascii="Tahoma" w:hAnsi="Tahoma" w:cs="Tahoma"/>
          <w:lang w:val="es-PE"/>
        </w:rPr>
        <w:t xml:space="preserve"> E.I.R.L., AUTOMOTRIZ  REM y GAC Repuestos S.A. presentaron las propuestas correspondientes.</w:t>
      </w:r>
    </w:p>
    <w:p w:rsidR="00D137B7" w:rsidRPr="00D137B7" w:rsidRDefault="00D137B7" w:rsidP="00D137B7">
      <w:pPr>
        <w:jc w:val="both"/>
        <w:rPr>
          <w:rFonts w:ascii="Tahoma" w:hAnsi="Tahoma" w:cs="Tahoma"/>
          <w:lang w:val="es-PE"/>
        </w:rPr>
      </w:pPr>
    </w:p>
    <w:p w:rsidR="00D137B7" w:rsidRPr="00D137B7" w:rsidRDefault="00D137B7" w:rsidP="00D137B7">
      <w:pPr>
        <w:numPr>
          <w:ilvl w:val="0"/>
          <w:numId w:val="4"/>
        </w:numPr>
        <w:tabs>
          <w:tab w:val="clear" w:pos="454"/>
          <w:tab w:val="num" w:pos="540"/>
        </w:tabs>
        <w:ind w:left="540" w:hanging="540"/>
        <w:jc w:val="both"/>
        <w:rPr>
          <w:rFonts w:ascii="Tahoma" w:hAnsi="Tahoma" w:cs="Tahoma"/>
          <w:lang w:val="es-PE"/>
        </w:rPr>
      </w:pPr>
      <w:r w:rsidRPr="00D137B7">
        <w:rPr>
          <w:rFonts w:ascii="Tahoma" w:hAnsi="Tahoma" w:cs="Tahoma"/>
          <w:lang w:val="es-PE"/>
        </w:rPr>
        <w:t xml:space="preserve">El 20 de setiembre de 2004 durante la evaluación de las propuestas técnicas, el Comité Especial recibió un documento vía fax enviado por la empresa </w:t>
      </w:r>
      <w:proofErr w:type="spellStart"/>
      <w:r w:rsidRPr="00D137B7">
        <w:rPr>
          <w:rFonts w:ascii="Tahoma" w:hAnsi="Tahoma" w:cs="Tahoma"/>
          <w:lang w:val="es-PE"/>
        </w:rPr>
        <w:t>Autoservice</w:t>
      </w:r>
      <w:proofErr w:type="spellEnd"/>
      <w:r w:rsidRPr="00D137B7">
        <w:rPr>
          <w:rFonts w:ascii="Tahoma" w:hAnsi="Tahoma" w:cs="Tahoma"/>
          <w:lang w:val="es-PE"/>
        </w:rPr>
        <w:t xml:space="preserve"> </w:t>
      </w:r>
      <w:proofErr w:type="spellStart"/>
      <w:r w:rsidRPr="00D137B7">
        <w:rPr>
          <w:rFonts w:ascii="Tahoma" w:hAnsi="Tahoma" w:cs="Tahoma"/>
          <w:lang w:val="es-PE"/>
        </w:rPr>
        <w:t>Wong</w:t>
      </w:r>
      <w:proofErr w:type="spellEnd"/>
      <w:r w:rsidRPr="00D137B7">
        <w:rPr>
          <w:rFonts w:ascii="Tahoma" w:hAnsi="Tahoma" w:cs="Tahoma"/>
          <w:lang w:val="es-PE"/>
        </w:rPr>
        <w:t xml:space="preserve"> E.I.R.L., en adelante el Postor, mediante el cual se desistió a seguir participando en el proceso de selección, toda vez que había incurrido en error en la elaboración de su propuesta económica.</w:t>
      </w:r>
    </w:p>
    <w:p w:rsidR="00D137B7" w:rsidRPr="00D137B7" w:rsidRDefault="00D137B7" w:rsidP="00D137B7">
      <w:pPr>
        <w:jc w:val="both"/>
        <w:rPr>
          <w:rFonts w:ascii="Tahoma" w:hAnsi="Tahoma" w:cs="Tahoma"/>
          <w:lang w:val="es-PE"/>
        </w:rPr>
      </w:pPr>
    </w:p>
    <w:p w:rsidR="00D137B7" w:rsidRPr="00D137B7" w:rsidRDefault="00D137B7" w:rsidP="00D137B7">
      <w:pPr>
        <w:ind w:left="540"/>
        <w:jc w:val="both"/>
        <w:rPr>
          <w:rFonts w:ascii="Tahoma" w:hAnsi="Tahoma" w:cs="Tahoma"/>
          <w:lang w:val="es-PE"/>
        </w:rPr>
      </w:pPr>
      <w:r w:rsidRPr="00D137B7">
        <w:rPr>
          <w:rFonts w:ascii="Tahoma" w:hAnsi="Tahoma" w:cs="Tahoma"/>
          <w:lang w:val="es-PE"/>
        </w:rPr>
        <w:t xml:space="preserve">En dicha oportunidad, el Comité Especial acordó no considerar la propuesta económica del postor </w:t>
      </w:r>
      <w:proofErr w:type="spellStart"/>
      <w:r w:rsidRPr="00D137B7">
        <w:rPr>
          <w:rFonts w:ascii="Tahoma" w:hAnsi="Tahoma" w:cs="Tahoma"/>
          <w:lang w:val="es-PE"/>
        </w:rPr>
        <w:t>Autoservice</w:t>
      </w:r>
      <w:proofErr w:type="spellEnd"/>
      <w:r w:rsidRPr="00D137B7">
        <w:rPr>
          <w:rFonts w:ascii="Tahoma" w:hAnsi="Tahoma" w:cs="Tahoma"/>
          <w:lang w:val="es-PE"/>
        </w:rPr>
        <w:t xml:space="preserve"> </w:t>
      </w:r>
      <w:proofErr w:type="spellStart"/>
      <w:r w:rsidRPr="00D137B7">
        <w:rPr>
          <w:rFonts w:ascii="Tahoma" w:hAnsi="Tahoma" w:cs="Tahoma"/>
          <w:lang w:val="es-PE"/>
        </w:rPr>
        <w:t>Wong</w:t>
      </w:r>
      <w:proofErr w:type="spellEnd"/>
      <w:r w:rsidRPr="00D137B7">
        <w:rPr>
          <w:rFonts w:ascii="Tahoma" w:hAnsi="Tahoma" w:cs="Tahoma"/>
          <w:lang w:val="es-PE"/>
        </w:rPr>
        <w:t xml:space="preserve"> E.I.R.L. </w:t>
      </w:r>
    </w:p>
    <w:p w:rsidR="00D137B7" w:rsidRPr="00D137B7" w:rsidRDefault="00D137B7" w:rsidP="00D137B7">
      <w:pPr>
        <w:jc w:val="both"/>
        <w:rPr>
          <w:rFonts w:ascii="Tahoma" w:hAnsi="Tahoma" w:cs="Tahoma"/>
          <w:lang w:val="es-PE"/>
        </w:rPr>
      </w:pPr>
    </w:p>
    <w:p w:rsidR="00D137B7" w:rsidRPr="00D137B7" w:rsidRDefault="00D137B7" w:rsidP="00D137B7">
      <w:pPr>
        <w:numPr>
          <w:ilvl w:val="0"/>
          <w:numId w:val="4"/>
        </w:numPr>
        <w:tabs>
          <w:tab w:val="clear" w:pos="454"/>
          <w:tab w:val="num" w:pos="540"/>
        </w:tabs>
        <w:ind w:left="540" w:hanging="540"/>
        <w:jc w:val="both"/>
        <w:rPr>
          <w:rFonts w:ascii="Tahoma" w:hAnsi="Tahoma" w:cs="Tahoma"/>
          <w:lang w:val="es-PE"/>
        </w:rPr>
      </w:pPr>
      <w:r w:rsidRPr="00D137B7">
        <w:rPr>
          <w:rFonts w:ascii="Tahoma" w:hAnsi="Tahoma" w:cs="Tahoma"/>
          <w:lang w:val="es-PE"/>
        </w:rPr>
        <w:t>Mediante escrito de fecha 01 de febrero de 2005, que adjuntó el Informe N</w:t>
      </w:r>
      <w:proofErr w:type="gramStart"/>
      <w:r w:rsidRPr="00D137B7">
        <w:rPr>
          <w:rFonts w:ascii="Tahoma" w:hAnsi="Tahoma" w:cs="Tahoma"/>
          <w:lang w:val="es-PE"/>
        </w:rPr>
        <w:t>.º</w:t>
      </w:r>
      <w:proofErr w:type="gramEnd"/>
      <w:r w:rsidRPr="00D137B7">
        <w:rPr>
          <w:rFonts w:ascii="Tahoma" w:hAnsi="Tahoma" w:cs="Tahoma"/>
          <w:lang w:val="es-PE"/>
        </w:rPr>
        <w:t xml:space="preserve"> 001-GA-GCA-ESSALUD-2005, la Entidad puso en conocimiento de éste Colegiado los hechos anteriormente descritos, donde concluyó que la conducta atribuida al Postor se encuentra tipificada como sancionable, de conformidad al literal a del artículo 205º del Reglamento de la ley de Contrataciones y Adquisiciones del Estado, aprobado por Decreto supremo N.º 013-2001-PCM, en adelante el Reglamento.</w:t>
      </w:r>
    </w:p>
    <w:p w:rsidR="00D137B7" w:rsidRPr="00D137B7" w:rsidRDefault="00D137B7" w:rsidP="00D137B7">
      <w:pPr>
        <w:jc w:val="both"/>
        <w:rPr>
          <w:rFonts w:ascii="Tahoma" w:hAnsi="Tahoma" w:cs="Tahoma"/>
          <w:lang w:val="es-PE"/>
        </w:rPr>
      </w:pPr>
    </w:p>
    <w:p w:rsidR="00D137B7" w:rsidRPr="00D137B7" w:rsidRDefault="00D137B7" w:rsidP="00D137B7">
      <w:pPr>
        <w:numPr>
          <w:ilvl w:val="0"/>
          <w:numId w:val="4"/>
        </w:numPr>
        <w:tabs>
          <w:tab w:val="clear" w:pos="454"/>
          <w:tab w:val="num" w:pos="540"/>
        </w:tabs>
        <w:ind w:left="540" w:hanging="540"/>
        <w:jc w:val="both"/>
        <w:rPr>
          <w:rFonts w:ascii="Tahoma" w:hAnsi="Tahoma" w:cs="Tahoma"/>
          <w:lang w:val="es-PE"/>
        </w:rPr>
      </w:pPr>
      <w:r w:rsidRPr="00D137B7">
        <w:rPr>
          <w:rFonts w:ascii="Tahoma" w:hAnsi="Tahoma" w:cs="Tahoma"/>
          <w:lang w:val="es-PE"/>
        </w:rPr>
        <w:lastRenderedPageBreak/>
        <w:t>Mediante de fecha 03 de febrero de 2005, se dispuso iniciar procedimiento administrativo sancionador contra el Postor, por no mantener su oferta hasta el otorgamiento de la Buena Pro, otorgándosele el plazo de diez (10) días para que cumpla con presentar sus descargos respectivos, bajo apercibimiento de resolverse con la documentación obrante en autos.</w:t>
      </w:r>
    </w:p>
    <w:p w:rsidR="00D137B7" w:rsidRPr="00D137B7" w:rsidRDefault="00D137B7" w:rsidP="00D137B7">
      <w:pPr>
        <w:jc w:val="both"/>
        <w:rPr>
          <w:rFonts w:ascii="Tahoma" w:hAnsi="Tahoma" w:cs="Tahoma"/>
          <w:lang w:val="es-PE"/>
        </w:rPr>
      </w:pPr>
    </w:p>
    <w:p w:rsidR="00D137B7" w:rsidRPr="00D137B7" w:rsidRDefault="00D137B7" w:rsidP="00D137B7">
      <w:pPr>
        <w:numPr>
          <w:ilvl w:val="0"/>
          <w:numId w:val="4"/>
        </w:numPr>
        <w:tabs>
          <w:tab w:val="clear" w:pos="454"/>
          <w:tab w:val="num" w:pos="540"/>
        </w:tabs>
        <w:ind w:left="540" w:hanging="540"/>
        <w:jc w:val="both"/>
        <w:rPr>
          <w:rFonts w:ascii="Tahoma" w:hAnsi="Tahoma" w:cs="Tahoma"/>
          <w:lang w:val="es-PE"/>
        </w:rPr>
      </w:pPr>
      <w:r w:rsidRPr="00D137B7">
        <w:rPr>
          <w:rFonts w:ascii="Tahoma" w:hAnsi="Tahoma" w:cs="Tahoma"/>
          <w:lang w:val="es-PE"/>
        </w:rPr>
        <w:t>Mediante escrito de fecha 01 de abril de 2005, el Postor cumplió con presentar sus descargos en los siguientes términos:</w:t>
      </w:r>
    </w:p>
    <w:p w:rsidR="00D137B7" w:rsidRPr="00D137B7" w:rsidRDefault="00D137B7" w:rsidP="00D137B7">
      <w:pPr>
        <w:jc w:val="both"/>
        <w:rPr>
          <w:rFonts w:ascii="Tahoma" w:hAnsi="Tahoma" w:cs="Tahoma"/>
          <w:lang w:val="es-PE"/>
        </w:rPr>
      </w:pPr>
    </w:p>
    <w:p w:rsidR="00D137B7" w:rsidRPr="00D137B7" w:rsidRDefault="00D137B7" w:rsidP="00D137B7">
      <w:pPr>
        <w:numPr>
          <w:ilvl w:val="3"/>
          <w:numId w:val="4"/>
        </w:numPr>
        <w:tabs>
          <w:tab w:val="clear" w:pos="3240"/>
          <w:tab w:val="num" w:pos="1260"/>
        </w:tabs>
        <w:ind w:left="1260"/>
        <w:jc w:val="both"/>
        <w:rPr>
          <w:rFonts w:ascii="Tahoma" w:hAnsi="Tahoma" w:cs="Tahoma"/>
          <w:lang w:val="es-PE"/>
        </w:rPr>
      </w:pPr>
      <w:r w:rsidRPr="00D137B7">
        <w:rPr>
          <w:rFonts w:ascii="Tahoma" w:hAnsi="Tahoma" w:cs="Tahoma"/>
          <w:lang w:val="es-PE"/>
        </w:rPr>
        <w:t>Existía un error en la propuesta económica ya que se señalaron ítems que no correspondían al proceso de selección convocado.</w:t>
      </w:r>
    </w:p>
    <w:p w:rsidR="00D137B7" w:rsidRPr="00D137B7" w:rsidRDefault="00D137B7" w:rsidP="00D137B7">
      <w:pPr>
        <w:ind w:left="540"/>
        <w:jc w:val="both"/>
        <w:rPr>
          <w:rFonts w:ascii="Tahoma" w:hAnsi="Tahoma" w:cs="Tahoma"/>
          <w:lang w:val="es-PE"/>
        </w:rPr>
      </w:pPr>
    </w:p>
    <w:p w:rsidR="00D137B7" w:rsidRPr="00D137B7" w:rsidRDefault="00D137B7" w:rsidP="00D137B7">
      <w:pPr>
        <w:numPr>
          <w:ilvl w:val="3"/>
          <w:numId w:val="4"/>
        </w:numPr>
        <w:tabs>
          <w:tab w:val="clear" w:pos="3240"/>
          <w:tab w:val="num" w:pos="1260"/>
        </w:tabs>
        <w:ind w:left="1260"/>
        <w:jc w:val="both"/>
        <w:rPr>
          <w:rFonts w:ascii="Tahoma" w:hAnsi="Tahoma" w:cs="Tahoma"/>
          <w:lang w:val="es-PE"/>
        </w:rPr>
      </w:pPr>
      <w:r w:rsidRPr="00D137B7">
        <w:rPr>
          <w:rFonts w:ascii="Tahoma" w:hAnsi="Tahoma" w:cs="Tahoma"/>
          <w:lang w:val="es-PE"/>
        </w:rPr>
        <w:t>No se trataba de un cambio en la propuesta presentada sino que simplemente se habrían incluido ítems equivocados en la propuesta económica.</w:t>
      </w:r>
    </w:p>
    <w:p w:rsidR="00D137B7" w:rsidRPr="00D137B7" w:rsidRDefault="00D137B7" w:rsidP="00D137B7">
      <w:pPr>
        <w:jc w:val="both"/>
        <w:rPr>
          <w:rFonts w:ascii="Tahoma" w:hAnsi="Tahoma" w:cs="Tahoma"/>
          <w:lang w:val="es-PE"/>
        </w:rPr>
      </w:pPr>
    </w:p>
    <w:p w:rsidR="00D137B7" w:rsidRPr="00D137B7" w:rsidRDefault="00D137B7" w:rsidP="00D137B7">
      <w:pPr>
        <w:numPr>
          <w:ilvl w:val="3"/>
          <w:numId w:val="4"/>
        </w:numPr>
        <w:tabs>
          <w:tab w:val="clear" w:pos="3240"/>
          <w:tab w:val="num" w:pos="1260"/>
        </w:tabs>
        <w:ind w:left="1260"/>
        <w:jc w:val="both"/>
        <w:rPr>
          <w:rFonts w:ascii="Tahoma" w:hAnsi="Tahoma" w:cs="Tahoma"/>
          <w:lang w:val="es-PE"/>
        </w:rPr>
      </w:pPr>
      <w:r w:rsidRPr="00D137B7">
        <w:rPr>
          <w:rFonts w:ascii="Tahoma" w:hAnsi="Tahoma" w:cs="Tahoma"/>
          <w:lang w:val="es-PE"/>
        </w:rPr>
        <w:t>El Comité Especial, debió abrir el sobre económico al recibir la Carta de fecha 20 de setiembre de 2004 y verificar si existía tal error y proceder a la descalificación de la propuesta.</w:t>
      </w:r>
    </w:p>
    <w:p w:rsidR="00D137B7" w:rsidRPr="00D137B7" w:rsidRDefault="00D137B7" w:rsidP="00D137B7">
      <w:pPr>
        <w:jc w:val="both"/>
        <w:rPr>
          <w:rFonts w:ascii="Tahoma" w:hAnsi="Tahoma" w:cs="Tahoma"/>
          <w:lang w:val="es-PE"/>
        </w:rPr>
      </w:pPr>
    </w:p>
    <w:p w:rsidR="00D137B7" w:rsidRPr="00D137B7" w:rsidRDefault="00D137B7" w:rsidP="00D137B7">
      <w:pPr>
        <w:numPr>
          <w:ilvl w:val="0"/>
          <w:numId w:val="4"/>
        </w:numPr>
        <w:tabs>
          <w:tab w:val="clear" w:pos="454"/>
          <w:tab w:val="num" w:pos="540"/>
        </w:tabs>
        <w:ind w:left="540" w:hanging="540"/>
        <w:jc w:val="both"/>
        <w:rPr>
          <w:rFonts w:ascii="Tahoma" w:hAnsi="Tahoma" w:cs="Tahoma"/>
          <w:lang w:val="es-PE"/>
        </w:rPr>
      </w:pPr>
      <w:r w:rsidRPr="00D137B7">
        <w:rPr>
          <w:rFonts w:ascii="Tahoma" w:hAnsi="Tahoma" w:cs="Tahoma"/>
          <w:lang w:val="es-PE"/>
        </w:rPr>
        <w:t>Mediante decreto de fecha 05 de abril de 2005 se remitió el expediente a la Sala Única del Tribunal para que emita pronunciamiento.</w:t>
      </w:r>
    </w:p>
    <w:p w:rsidR="00D137B7" w:rsidRPr="00D137B7" w:rsidRDefault="00D137B7" w:rsidP="00D137B7">
      <w:pPr>
        <w:jc w:val="both"/>
        <w:rPr>
          <w:rFonts w:ascii="Tahoma" w:hAnsi="Tahoma" w:cs="Tahoma"/>
          <w:lang w:val="es-PE"/>
        </w:rPr>
      </w:pPr>
    </w:p>
    <w:p w:rsidR="00D137B7" w:rsidRPr="00D137B7" w:rsidRDefault="00D137B7" w:rsidP="00D137B7">
      <w:pPr>
        <w:numPr>
          <w:ilvl w:val="0"/>
          <w:numId w:val="4"/>
        </w:numPr>
        <w:tabs>
          <w:tab w:val="clear" w:pos="454"/>
          <w:tab w:val="num" w:pos="540"/>
        </w:tabs>
        <w:ind w:left="540" w:hanging="540"/>
        <w:jc w:val="both"/>
        <w:rPr>
          <w:rFonts w:ascii="Tahoma" w:hAnsi="Tahoma" w:cs="Tahoma"/>
          <w:lang w:val="es-PE"/>
        </w:rPr>
      </w:pPr>
      <w:r w:rsidRPr="00D137B7">
        <w:rPr>
          <w:rFonts w:ascii="Tahoma" w:hAnsi="Tahoma" w:cs="Tahoma"/>
        </w:rPr>
        <w:t>El Acuerdo N</w:t>
      </w:r>
      <w:proofErr w:type="gramStart"/>
      <w:r w:rsidRPr="00D137B7">
        <w:rPr>
          <w:rFonts w:ascii="Tahoma" w:hAnsi="Tahoma" w:cs="Tahoma"/>
        </w:rPr>
        <w:t>.º</w:t>
      </w:r>
      <w:proofErr w:type="gramEnd"/>
      <w:r w:rsidRPr="00D137B7">
        <w:rPr>
          <w:rFonts w:ascii="Tahoma" w:hAnsi="Tahoma" w:cs="Tahoma"/>
        </w:rPr>
        <w:t xml:space="preserve"> 007/2007 expedido en sesión de Sala Plena del Tribunal el 12 de abril de 2007, estableció que la Tercera Sala del Tribunal conocerá los procedimientos administrativos sancionadores y determinó los criterios de asignación de expedientes de aplicación de sanción, motivo por el cual, mediante decreto de fecha 13 de octubre de 2007 se remitió el presente expediente administrativo a la Tercera Sala del Tribunal. </w:t>
      </w:r>
    </w:p>
    <w:p w:rsidR="00D137B7" w:rsidRPr="00D137B7" w:rsidRDefault="00D137B7" w:rsidP="00D137B7">
      <w:pPr>
        <w:jc w:val="both"/>
        <w:rPr>
          <w:rFonts w:ascii="Tahoma" w:hAnsi="Tahoma" w:cs="Tahoma"/>
          <w:lang w:val="es-PE"/>
        </w:rPr>
      </w:pPr>
    </w:p>
    <w:p w:rsidR="00D137B7" w:rsidRPr="00D137B7" w:rsidRDefault="00D137B7" w:rsidP="00D137B7">
      <w:pPr>
        <w:rPr>
          <w:rFonts w:ascii="Tahoma" w:hAnsi="Tahoma" w:cs="Tahoma"/>
          <w:b/>
          <w:shadow/>
        </w:rPr>
      </w:pPr>
      <w:r w:rsidRPr="00D137B7">
        <w:rPr>
          <w:rFonts w:ascii="Tahoma" w:hAnsi="Tahoma" w:cs="Tahoma"/>
          <w:b/>
          <w:shadow/>
        </w:rPr>
        <w:t>FUNDAMENTOS</w:t>
      </w:r>
    </w:p>
    <w:p w:rsidR="00D137B7" w:rsidRPr="00D137B7" w:rsidRDefault="00D137B7" w:rsidP="00D137B7">
      <w:pPr>
        <w:tabs>
          <w:tab w:val="left" w:pos="540"/>
        </w:tabs>
        <w:ind w:left="360"/>
        <w:jc w:val="both"/>
        <w:rPr>
          <w:rFonts w:ascii="Tahoma" w:hAnsi="Tahoma" w:cs="Tahoma"/>
        </w:rPr>
      </w:pPr>
    </w:p>
    <w:p w:rsidR="00D137B7" w:rsidRPr="00D137B7" w:rsidRDefault="00D137B7" w:rsidP="00D137B7">
      <w:pPr>
        <w:numPr>
          <w:ilvl w:val="0"/>
          <w:numId w:val="5"/>
        </w:numPr>
        <w:jc w:val="both"/>
        <w:rPr>
          <w:rFonts w:ascii="Tahoma" w:hAnsi="Tahoma" w:cs="Tahoma"/>
        </w:rPr>
      </w:pPr>
      <w:r w:rsidRPr="00D137B7">
        <w:rPr>
          <w:rFonts w:ascii="Tahoma" w:hAnsi="Tahoma" w:cs="Tahoma"/>
        </w:rPr>
        <w:t>El presente procedimiento administrativo sancionador ha sido iniciado por presunta responsabilidad del Postor en no mantener su oferta hasta el otorgamiento de la Buena Pro durante el desarrollo de la Adjudicación de Menor Cuantía N</w:t>
      </w:r>
      <w:proofErr w:type="gramStart"/>
      <w:r w:rsidRPr="00D137B7">
        <w:rPr>
          <w:rFonts w:ascii="Tahoma" w:hAnsi="Tahoma" w:cs="Tahoma"/>
        </w:rPr>
        <w:t>.º</w:t>
      </w:r>
      <w:proofErr w:type="gramEnd"/>
      <w:r w:rsidRPr="00D137B7">
        <w:rPr>
          <w:rFonts w:ascii="Tahoma" w:hAnsi="Tahoma" w:cs="Tahoma"/>
        </w:rPr>
        <w:t xml:space="preserve"> 0499M07701</w:t>
      </w:r>
      <w:r w:rsidRPr="00D137B7">
        <w:rPr>
          <w:rFonts w:ascii="Tahoma" w:hAnsi="Tahoma" w:cs="Tahoma"/>
          <w:lang w:val="es-PE"/>
        </w:rPr>
        <w:t xml:space="preserve">, </w:t>
      </w:r>
      <w:r w:rsidRPr="00D137B7">
        <w:rPr>
          <w:rFonts w:ascii="Tahoma" w:hAnsi="Tahoma" w:cs="Tahoma"/>
        </w:rPr>
        <w:t>infracción tipificada en el literal b) del artículo 205° del Reglamento de la Ley de Contrataciones y Adquisiciones del Estado aprobado mediante Decreto Supremo N.º 013-2001-PCM</w:t>
      </w:r>
      <w:r w:rsidRPr="00D137B7">
        <w:rPr>
          <w:rStyle w:val="Refdenotaalpie"/>
          <w:rFonts w:ascii="Tahoma" w:hAnsi="Tahoma" w:cs="Tahoma"/>
        </w:rPr>
        <w:footnoteReference w:id="2"/>
      </w:r>
      <w:r w:rsidRPr="00D137B7">
        <w:rPr>
          <w:rFonts w:ascii="Tahoma" w:hAnsi="Tahoma" w:cs="Tahoma"/>
        </w:rPr>
        <w:t>, en adelante el Reglamento, norma vigente al suscitarse los hechos</w:t>
      </w:r>
      <w:r w:rsidRPr="00D137B7">
        <w:rPr>
          <w:rStyle w:val="Refdenotaalpie"/>
          <w:rFonts w:ascii="Tahoma" w:hAnsi="Tahoma" w:cs="Tahoma"/>
        </w:rPr>
        <w:footnoteReference w:id="3"/>
      </w:r>
      <w:r w:rsidRPr="00D137B7">
        <w:rPr>
          <w:rFonts w:ascii="Tahoma" w:hAnsi="Tahoma" w:cs="Tahoma"/>
        </w:rPr>
        <w:t>.</w:t>
      </w:r>
    </w:p>
    <w:p w:rsidR="00D137B7" w:rsidRPr="00986F22" w:rsidRDefault="00D137B7" w:rsidP="00D137B7">
      <w:pPr>
        <w:pStyle w:val="Textoindependiente"/>
        <w:rPr>
          <w:rFonts w:ascii="Tahoma" w:hAnsi="Tahoma" w:cs="Tahoma"/>
          <w:sz w:val="20"/>
          <w:lang w:val="es-ES"/>
        </w:rPr>
      </w:pPr>
    </w:p>
    <w:p w:rsidR="00D137B7" w:rsidRPr="00D137B7" w:rsidRDefault="00D137B7" w:rsidP="00D137B7">
      <w:pPr>
        <w:pStyle w:val="Textoindependiente"/>
        <w:numPr>
          <w:ilvl w:val="0"/>
          <w:numId w:val="5"/>
        </w:numPr>
        <w:rPr>
          <w:rFonts w:ascii="Tahoma" w:hAnsi="Tahoma" w:cs="Tahoma"/>
          <w:sz w:val="20"/>
        </w:rPr>
      </w:pPr>
      <w:r w:rsidRPr="00D137B7">
        <w:rPr>
          <w:rFonts w:ascii="Tahoma" w:hAnsi="Tahoma" w:cs="Tahoma"/>
          <w:sz w:val="20"/>
        </w:rPr>
        <w:t xml:space="preserve">Al respecto el literal b) del Artículo 205º del Reglamento establece que los postores, proveedores y/o contratistas incurrirán en infracción susceptible de sanción cuando i) No mantengan su oferta hasta el otorgamiento de la Buena Pro; o </w:t>
      </w:r>
      <w:proofErr w:type="spellStart"/>
      <w:r w:rsidRPr="00D137B7">
        <w:rPr>
          <w:rFonts w:ascii="Tahoma" w:hAnsi="Tahoma" w:cs="Tahoma"/>
          <w:sz w:val="20"/>
        </w:rPr>
        <w:t>ii</w:t>
      </w:r>
      <w:proofErr w:type="spellEnd"/>
      <w:r w:rsidRPr="00D137B7">
        <w:rPr>
          <w:rFonts w:ascii="Tahoma" w:hAnsi="Tahoma" w:cs="Tahoma"/>
          <w:sz w:val="20"/>
        </w:rPr>
        <w:t>) Aquellos que habiendo resultado ganadores de la Buena Pro, no mantengan su oferta hasta la suscripción del contrato</w:t>
      </w:r>
      <w:r w:rsidRPr="00D137B7">
        <w:rPr>
          <w:rStyle w:val="Refdenotaalpie"/>
          <w:rFonts w:ascii="Tahoma" w:hAnsi="Tahoma" w:cs="Tahoma"/>
          <w:sz w:val="20"/>
        </w:rPr>
        <w:footnoteReference w:id="4"/>
      </w:r>
      <w:r w:rsidRPr="00D137B7">
        <w:rPr>
          <w:rFonts w:ascii="Tahoma" w:hAnsi="Tahoma" w:cs="Tahoma"/>
          <w:sz w:val="20"/>
        </w:rPr>
        <w:t>.</w:t>
      </w:r>
    </w:p>
    <w:p w:rsidR="00D137B7" w:rsidRPr="00D137B7" w:rsidRDefault="00D137B7" w:rsidP="00D137B7">
      <w:pPr>
        <w:pStyle w:val="Textoindependiente"/>
        <w:rPr>
          <w:rFonts w:ascii="Tahoma" w:hAnsi="Tahoma" w:cs="Tahoma"/>
          <w:sz w:val="20"/>
        </w:rPr>
      </w:pPr>
    </w:p>
    <w:p w:rsidR="00D137B7" w:rsidRPr="00D137B7" w:rsidRDefault="00D137B7" w:rsidP="00D137B7">
      <w:pPr>
        <w:pStyle w:val="Textoindependiente"/>
        <w:numPr>
          <w:ilvl w:val="0"/>
          <w:numId w:val="5"/>
        </w:numPr>
        <w:rPr>
          <w:rFonts w:ascii="Tahoma" w:hAnsi="Tahoma" w:cs="Tahoma"/>
          <w:sz w:val="20"/>
        </w:rPr>
      </w:pPr>
      <w:r w:rsidRPr="00D137B7">
        <w:rPr>
          <w:rFonts w:ascii="Tahoma" w:hAnsi="Tahoma" w:cs="Tahoma"/>
          <w:sz w:val="20"/>
        </w:rPr>
        <w:t xml:space="preserve">Respecto a ello, la Entidad manifestó que el día de evaluación de las propuestas presentadas por los postores, la empresa </w:t>
      </w:r>
      <w:proofErr w:type="spellStart"/>
      <w:r w:rsidRPr="00D137B7">
        <w:rPr>
          <w:rFonts w:ascii="Tahoma" w:hAnsi="Tahoma" w:cs="Tahoma"/>
          <w:sz w:val="20"/>
        </w:rPr>
        <w:t>Autoservice</w:t>
      </w:r>
      <w:proofErr w:type="spellEnd"/>
      <w:r w:rsidRPr="00D137B7">
        <w:rPr>
          <w:rFonts w:ascii="Tahoma" w:hAnsi="Tahoma" w:cs="Tahoma"/>
          <w:sz w:val="20"/>
        </w:rPr>
        <w:t xml:space="preserve"> </w:t>
      </w:r>
      <w:proofErr w:type="spellStart"/>
      <w:r w:rsidRPr="00D137B7">
        <w:rPr>
          <w:rFonts w:ascii="Tahoma" w:hAnsi="Tahoma" w:cs="Tahoma"/>
          <w:sz w:val="20"/>
        </w:rPr>
        <w:t>Wong</w:t>
      </w:r>
      <w:proofErr w:type="spellEnd"/>
      <w:r w:rsidRPr="00D137B7">
        <w:rPr>
          <w:rFonts w:ascii="Tahoma" w:hAnsi="Tahoma" w:cs="Tahoma"/>
          <w:sz w:val="20"/>
        </w:rPr>
        <w:t xml:space="preserve"> E.I.R.L. le envió un fax en el que indicó que había incurrido en error en la elaboración de su propuesta económica, por lo que solicitó su exclusión del referido proceso. Ante tales hechos, el Comité Especial mediante Acta de Reunión de fecha 20 de setiembre de 2004</w:t>
      </w:r>
      <w:r w:rsidRPr="00D137B7">
        <w:rPr>
          <w:rStyle w:val="Refdenotaalpie"/>
          <w:rFonts w:ascii="Tahoma" w:hAnsi="Tahoma" w:cs="Tahoma"/>
          <w:sz w:val="20"/>
        </w:rPr>
        <w:footnoteReference w:id="5"/>
      </w:r>
      <w:r w:rsidRPr="00D137B7">
        <w:rPr>
          <w:rFonts w:ascii="Tahoma" w:hAnsi="Tahoma" w:cs="Tahoma"/>
          <w:sz w:val="20"/>
        </w:rPr>
        <w:t xml:space="preserve"> acordó no tomar en consideración la propuesta económica del postor </w:t>
      </w:r>
      <w:proofErr w:type="spellStart"/>
      <w:r w:rsidRPr="00D137B7">
        <w:rPr>
          <w:rFonts w:ascii="Tahoma" w:hAnsi="Tahoma" w:cs="Tahoma"/>
          <w:sz w:val="20"/>
        </w:rPr>
        <w:t>Autoservice</w:t>
      </w:r>
      <w:proofErr w:type="spellEnd"/>
      <w:r w:rsidRPr="00D137B7">
        <w:rPr>
          <w:rFonts w:ascii="Tahoma" w:hAnsi="Tahoma" w:cs="Tahoma"/>
          <w:sz w:val="20"/>
        </w:rPr>
        <w:t xml:space="preserve"> </w:t>
      </w:r>
      <w:proofErr w:type="spellStart"/>
      <w:r w:rsidRPr="00D137B7">
        <w:rPr>
          <w:rFonts w:ascii="Tahoma" w:hAnsi="Tahoma" w:cs="Tahoma"/>
          <w:sz w:val="20"/>
        </w:rPr>
        <w:t>Wong</w:t>
      </w:r>
      <w:proofErr w:type="spellEnd"/>
      <w:r w:rsidRPr="00D137B7">
        <w:rPr>
          <w:rFonts w:ascii="Tahoma" w:hAnsi="Tahoma" w:cs="Tahoma"/>
          <w:sz w:val="20"/>
        </w:rPr>
        <w:t xml:space="preserve"> E.I.R.L. </w:t>
      </w:r>
    </w:p>
    <w:p w:rsidR="00D137B7" w:rsidRPr="00D137B7" w:rsidRDefault="00D137B7" w:rsidP="00D137B7">
      <w:pPr>
        <w:pStyle w:val="Textoindependiente"/>
        <w:rPr>
          <w:rFonts w:ascii="Tahoma" w:hAnsi="Tahoma" w:cs="Tahoma"/>
          <w:sz w:val="20"/>
        </w:rPr>
      </w:pPr>
    </w:p>
    <w:p w:rsidR="00D137B7" w:rsidRPr="00D137B7" w:rsidRDefault="00D137B7" w:rsidP="00D137B7">
      <w:pPr>
        <w:pStyle w:val="Textoindependiente"/>
        <w:ind w:left="360"/>
        <w:rPr>
          <w:rFonts w:ascii="Tahoma" w:hAnsi="Tahoma" w:cs="Tahoma"/>
          <w:sz w:val="20"/>
        </w:rPr>
      </w:pPr>
      <w:r w:rsidRPr="00D137B7">
        <w:rPr>
          <w:rFonts w:ascii="Tahoma" w:hAnsi="Tahoma" w:cs="Tahoma"/>
          <w:sz w:val="20"/>
        </w:rPr>
        <w:t>Sin perjuicio de ello, consideró que la actuación del Postor ameritaría la imposición de sanción administrativa por no mantener su oferta hasta el otorgamiento de la buena pro, motivo por el cual comunicó a este colegiado los hechos antes mencionados.</w:t>
      </w:r>
    </w:p>
    <w:p w:rsidR="00D137B7" w:rsidRPr="00D137B7" w:rsidRDefault="00D137B7" w:rsidP="00D137B7">
      <w:pPr>
        <w:pStyle w:val="Textoindependiente"/>
        <w:rPr>
          <w:rFonts w:ascii="Tahoma" w:hAnsi="Tahoma" w:cs="Tahoma"/>
          <w:sz w:val="20"/>
        </w:rPr>
      </w:pPr>
    </w:p>
    <w:p w:rsidR="00D137B7" w:rsidRPr="00D137B7" w:rsidRDefault="00D137B7" w:rsidP="00D137B7">
      <w:pPr>
        <w:numPr>
          <w:ilvl w:val="0"/>
          <w:numId w:val="5"/>
        </w:numPr>
        <w:jc w:val="both"/>
        <w:rPr>
          <w:rFonts w:ascii="Tahoma" w:hAnsi="Tahoma" w:cs="Tahoma"/>
          <w:lang w:val="es-PE"/>
        </w:rPr>
      </w:pPr>
      <w:r w:rsidRPr="00D137B7">
        <w:rPr>
          <w:rFonts w:ascii="Tahoma" w:hAnsi="Tahoma" w:cs="Tahoma"/>
          <w:lang w:val="es-PE"/>
        </w:rPr>
        <w:t>Por su lado, el Postor al presentar sus descargos indicó que no se pretendió cambiar lo ofrecido en su propuesta económica sino que simplemente por error incluyeron ítems equivocados en su propuesta económica, por lo que consideraron que debían ser excluidos del proceso de selección convocado. El Comité Especial, añadió el Postor, debió abrir el sobre económico al recibir la Carta de fecha 20 de setiembre de 2004 y verificar si existía tal error y proceder a la descalificación de la propuesta.</w:t>
      </w:r>
    </w:p>
    <w:p w:rsidR="00D137B7" w:rsidRPr="00D137B7" w:rsidRDefault="00D137B7" w:rsidP="00D137B7">
      <w:pPr>
        <w:pStyle w:val="Textoindependiente"/>
        <w:rPr>
          <w:rFonts w:ascii="Tahoma" w:hAnsi="Tahoma" w:cs="Tahoma"/>
          <w:sz w:val="20"/>
        </w:rPr>
      </w:pPr>
    </w:p>
    <w:p w:rsidR="00D137B7" w:rsidRPr="00D137B7" w:rsidRDefault="00D137B7" w:rsidP="00D137B7">
      <w:pPr>
        <w:pStyle w:val="Textoindependiente"/>
        <w:numPr>
          <w:ilvl w:val="0"/>
          <w:numId w:val="5"/>
        </w:numPr>
        <w:rPr>
          <w:rFonts w:ascii="Tahoma" w:hAnsi="Tahoma" w:cs="Tahoma"/>
          <w:sz w:val="20"/>
        </w:rPr>
      </w:pPr>
      <w:r w:rsidRPr="00D137B7">
        <w:rPr>
          <w:rFonts w:ascii="Tahoma" w:hAnsi="Tahoma" w:cs="Tahoma"/>
          <w:sz w:val="20"/>
        </w:rPr>
        <w:t>Sobre el particular, de la revisión de los documentos que obran en el expediente, se advierte que el Postor presentó en sobre cerrado sus respectivas propuestas técnicas y económicas el día 17 de setiembre de 2004, cumpliendo con las fechas establecidas en el calendario del proceso de selección.</w:t>
      </w:r>
    </w:p>
    <w:p w:rsidR="00D137B7" w:rsidRPr="00D137B7" w:rsidRDefault="00D137B7" w:rsidP="00D137B7">
      <w:pPr>
        <w:pStyle w:val="Textoindependiente"/>
        <w:rPr>
          <w:rFonts w:ascii="Tahoma" w:hAnsi="Tahoma" w:cs="Tahoma"/>
          <w:sz w:val="20"/>
        </w:rPr>
      </w:pPr>
    </w:p>
    <w:p w:rsidR="00D137B7" w:rsidRPr="00D137B7" w:rsidRDefault="00D137B7" w:rsidP="00D137B7">
      <w:pPr>
        <w:pStyle w:val="Textoindependiente"/>
        <w:ind w:left="360"/>
        <w:rPr>
          <w:rFonts w:ascii="Tahoma" w:hAnsi="Tahoma" w:cs="Tahoma"/>
          <w:sz w:val="20"/>
        </w:rPr>
      </w:pPr>
      <w:r w:rsidRPr="00D137B7">
        <w:rPr>
          <w:rFonts w:ascii="Tahoma" w:hAnsi="Tahoma" w:cs="Tahoma"/>
          <w:sz w:val="20"/>
        </w:rPr>
        <w:t xml:space="preserve">Asimismo, obra en autos la Carta del 20 de setiembre de 2004 remitida vía fax por el Postor a la Entidad, en la que se señala textualmente lo siguiente: </w:t>
      </w:r>
    </w:p>
    <w:p w:rsidR="00D137B7" w:rsidRPr="00D137B7" w:rsidRDefault="00D137B7" w:rsidP="00D137B7">
      <w:pPr>
        <w:pStyle w:val="Textoindependiente"/>
        <w:rPr>
          <w:rFonts w:ascii="Tahoma" w:hAnsi="Tahoma" w:cs="Tahoma"/>
          <w:sz w:val="20"/>
        </w:rPr>
      </w:pPr>
    </w:p>
    <w:p w:rsidR="00D137B7" w:rsidRPr="00D137B7" w:rsidRDefault="00D137B7" w:rsidP="00D137B7">
      <w:pPr>
        <w:pStyle w:val="Textoindependiente"/>
        <w:ind w:left="360"/>
        <w:rPr>
          <w:rFonts w:ascii="Tahoma" w:hAnsi="Tahoma" w:cs="Tahoma"/>
          <w:sz w:val="20"/>
        </w:rPr>
      </w:pPr>
      <w:r w:rsidRPr="00D137B7">
        <w:rPr>
          <w:rFonts w:ascii="Tahoma" w:hAnsi="Tahoma" w:cs="Tahoma"/>
          <w:i/>
          <w:sz w:val="20"/>
        </w:rPr>
        <w:t xml:space="preserve">“Por medio del presente los saludamos muy cordialmente, el motivo es para comunicarle que habiendo UN ERROR en nuestro sistema; se ha transferido algunos ítems equivocados en nuestra PROPUESTA ECONOMICA, con la cual estamos participando en el proceso de la referencia. Es por ello que </w:t>
      </w:r>
      <w:r w:rsidRPr="00D137B7">
        <w:rPr>
          <w:rFonts w:ascii="Tahoma" w:hAnsi="Tahoma" w:cs="Tahoma"/>
          <w:b/>
          <w:i/>
          <w:sz w:val="20"/>
        </w:rPr>
        <w:t>les solicitamos por única vez se nos excluya del referido proceso</w:t>
      </w:r>
      <w:r w:rsidRPr="00D137B7">
        <w:rPr>
          <w:rFonts w:ascii="Tahoma" w:hAnsi="Tahoma" w:cs="Tahoma"/>
          <w:i/>
          <w:sz w:val="20"/>
        </w:rPr>
        <w:t xml:space="preserve">.” </w:t>
      </w:r>
      <w:r w:rsidRPr="00D137B7">
        <w:rPr>
          <w:rFonts w:ascii="Tahoma" w:hAnsi="Tahoma" w:cs="Tahoma"/>
          <w:sz w:val="20"/>
        </w:rPr>
        <w:t>(</w:t>
      </w:r>
      <w:proofErr w:type="gramStart"/>
      <w:r w:rsidRPr="00D137B7">
        <w:rPr>
          <w:rFonts w:ascii="Tahoma" w:hAnsi="Tahoma" w:cs="Tahoma"/>
          <w:sz w:val="20"/>
        </w:rPr>
        <w:t>el</w:t>
      </w:r>
      <w:proofErr w:type="gramEnd"/>
      <w:r w:rsidRPr="00D137B7">
        <w:rPr>
          <w:rFonts w:ascii="Tahoma" w:hAnsi="Tahoma" w:cs="Tahoma"/>
          <w:sz w:val="20"/>
        </w:rPr>
        <w:t xml:space="preserve"> resaltado es nuestro)</w:t>
      </w:r>
    </w:p>
    <w:p w:rsidR="00D137B7" w:rsidRPr="00D137B7" w:rsidRDefault="00D137B7" w:rsidP="00D137B7">
      <w:pPr>
        <w:pStyle w:val="Textoindependiente"/>
        <w:rPr>
          <w:rFonts w:ascii="Tahoma" w:hAnsi="Tahoma" w:cs="Tahoma"/>
          <w:sz w:val="20"/>
        </w:rPr>
      </w:pPr>
    </w:p>
    <w:p w:rsidR="00D137B7" w:rsidRPr="00D137B7" w:rsidRDefault="00D137B7" w:rsidP="00D137B7">
      <w:pPr>
        <w:pStyle w:val="Textoindependiente"/>
        <w:numPr>
          <w:ilvl w:val="0"/>
          <w:numId w:val="5"/>
        </w:numPr>
        <w:rPr>
          <w:rFonts w:ascii="Tahoma" w:hAnsi="Tahoma" w:cs="Tahoma"/>
          <w:sz w:val="20"/>
        </w:rPr>
      </w:pPr>
      <w:r w:rsidRPr="00D137B7">
        <w:rPr>
          <w:rFonts w:ascii="Tahoma" w:hAnsi="Tahoma" w:cs="Tahoma"/>
          <w:sz w:val="20"/>
        </w:rPr>
        <w:lastRenderedPageBreak/>
        <w:t xml:space="preserve">Al respecto, debemos tener en consideración, en primer lugar, que el literal d) del artículo 56º del Reglamento establece que el Postor se compromete a mantener su oferta durante el proceso de selección y a suscribir el contrato en caso de resultar favorecido con la Buena Pro, por su lado el literal c) de la misma norma, dispone que el Postor es responsable de la veracidad de los documentos e información que presente para efectos del proceso de selección. </w:t>
      </w:r>
    </w:p>
    <w:p w:rsidR="00D137B7" w:rsidRPr="00D137B7" w:rsidRDefault="00D137B7" w:rsidP="00D137B7">
      <w:pPr>
        <w:pStyle w:val="Textoindependiente"/>
        <w:rPr>
          <w:rFonts w:ascii="Tahoma" w:hAnsi="Tahoma" w:cs="Tahoma"/>
          <w:sz w:val="20"/>
        </w:rPr>
      </w:pPr>
    </w:p>
    <w:p w:rsidR="00D137B7" w:rsidRPr="00D137B7" w:rsidRDefault="00D137B7" w:rsidP="00D137B7">
      <w:pPr>
        <w:pStyle w:val="Textoindependiente"/>
        <w:ind w:left="360"/>
        <w:rPr>
          <w:rFonts w:ascii="Tahoma" w:hAnsi="Tahoma" w:cs="Tahoma"/>
          <w:sz w:val="20"/>
        </w:rPr>
      </w:pPr>
      <w:r w:rsidRPr="00D137B7">
        <w:rPr>
          <w:rFonts w:ascii="Tahoma" w:hAnsi="Tahoma" w:cs="Tahoma"/>
          <w:sz w:val="20"/>
        </w:rPr>
        <w:t xml:space="preserve">En ese orden de ideas, el Postor se encuentra obligado a conocer de manera completa la información y documentación incluida en la oferta que presenta, la cual debe ser elaborada con la mayor seriedad respecto a lo ofertado. </w:t>
      </w:r>
    </w:p>
    <w:p w:rsidR="00D137B7" w:rsidRPr="00D137B7" w:rsidRDefault="00D137B7" w:rsidP="00D137B7">
      <w:pPr>
        <w:pStyle w:val="Textoindependiente"/>
        <w:rPr>
          <w:rFonts w:ascii="Tahoma" w:hAnsi="Tahoma" w:cs="Tahoma"/>
          <w:sz w:val="20"/>
        </w:rPr>
      </w:pPr>
    </w:p>
    <w:p w:rsidR="00D137B7" w:rsidRPr="00D137B7" w:rsidRDefault="00D137B7" w:rsidP="00D137B7">
      <w:pPr>
        <w:pStyle w:val="Textoindependiente"/>
        <w:numPr>
          <w:ilvl w:val="0"/>
          <w:numId w:val="5"/>
        </w:numPr>
        <w:rPr>
          <w:rFonts w:ascii="Tahoma" w:hAnsi="Tahoma" w:cs="Tahoma"/>
          <w:sz w:val="20"/>
        </w:rPr>
      </w:pPr>
      <w:r w:rsidRPr="00D137B7">
        <w:rPr>
          <w:rFonts w:ascii="Tahoma" w:hAnsi="Tahoma" w:cs="Tahoma"/>
          <w:sz w:val="20"/>
        </w:rPr>
        <w:t>En segundo lugar, resulta conveniente señalar que el artículo 57º del Reglamento señala que los actos de presentación de propuestas y otorgamiento de la Buena Pro son formales y se realizan en presencia del Comité Especial y, salvo las excepciones previstas en la misma norma, con la participación de Notario Público o Juez de Paz, según sea el caso. El Comité levantará el acta respectiva, la cual deberá ser suscrita por todos sus miembros y los postores que lo deseen.</w:t>
      </w:r>
    </w:p>
    <w:p w:rsidR="00D137B7" w:rsidRPr="00D137B7" w:rsidRDefault="00D137B7" w:rsidP="00D137B7">
      <w:pPr>
        <w:pStyle w:val="Textoindependiente"/>
        <w:rPr>
          <w:rFonts w:ascii="Tahoma" w:hAnsi="Tahoma" w:cs="Tahoma"/>
          <w:sz w:val="20"/>
        </w:rPr>
      </w:pPr>
    </w:p>
    <w:p w:rsidR="00D137B7" w:rsidRPr="00D137B7" w:rsidRDefault="00D137B7" w:rsidP="00D137B7">
      <w:pPr>
        <w:pStyle w:val="Textoindependiente"/>
        <w:ind w:left="360"/>
        <w:rPr>
          <w:rFonts w:ascii="Tahoma" w:hAnsi="Tahoma" w:cs="Tahoma"/>
          <w:sz w:val="20"/>
        </w:rPr>
      </w:pPr>
      <w:r w:rsidRPr="00D137B7">
        <w:rPr>
          <w:rFonts w:ascii="Tahoma" w:hAnsi="Tahoma" w:cs="Tahoma"/>
          <w:sz w:val="20"/>
        </w:rPr>
        <w:t xml:space="preserve">Las propuestas son presentadas en  sobres cerrados; las cuales deberán ajustarse estrictamente a lo señalado por las bases, </w:t>
      </w:r>
      <w:r w:rsidRPr="00D137B7">
        <w:rPr>
          <w:rFonts w:ascii="Tahoma" w:hAnsi="Tahoma" w:cs="Tahoma"/>
          <w:i/>
          <w:sz w:val="20"/>
        </w:rPr>
        <w:t>“Las</w:t>
      </w:r>
      <w:r w:rsidRPr="00D137B7">
        <w:rPr>
          <w:rFonts w:ascii="Tahoma" w:hAnsi="Tahoma" w:cs="Tahoma"/>
          <w:i/>
          <w:iCs/>
          <w:sz w:val="20"/>
        </w:rPr>
        <w:t xml:space="preserve"> Ofertas o propuestas que se formulen deben estar de acuerdo con las bases de la contratación; vale decir, su contenido debe ajustarse al pliego de condiciones, de lo contrario, las ofertas serían rechazadas. De ahí la necesidad de examinar cuidadosamente dicho pliego y atenerse a él</w:t>
      </w:r>
      <w:r w:rsidRPr="00D137B7">
        <w:rPr>
          <w:rFonts w:ascii="Tahoma" w:hAnsi="Tahoma" w:cs="Tahoma"/>
          <w:sz w:val="20"/>
        </w:rPr>
        <w:t>.”</w:t>
      </w:r>
      <w:r w:rsidRPr="00D137B7">
        <w:rPr>
          <w:rStyle w:val="Refdenotaalpie"/>
          <w:rFonts w:ascii="Tahoma" w:hAnsi="Tahoma" w:cs="Tahoma"/>
          <w:sz w:val="20"/>
        </w:rPr>
        <w:footnoteReference w:id="6"/>
      </w:r>
    </w:p>
    <w:p w:rsidR="00D137B7" w:rsidRPr="00D137B7" w:rsidRDefault="00D137B7" w:rsidP="00D137B7">
      <w:pPr>
        <w:pStyle w:val="Textoindependiente"/>
        <w:ind w:left="360"/>
        <w:rPr>
          <w:rFonts w:ascii="Tahoma" w:hAnsi="Tahoma" w:cs="Tahoma"/>
          <w:sz w:val="20"/>
        </w:rPr>
      </w:pPr>
    </w:p>
    <w:p w:rsidR="00D137B7" w:rsidRPr="00D137B7" w:rsidRDefault="00D137B7" w:rsidP="00D137B7">
      <w:pPr>
        <w:pStyle w:val="Textoindependiente"/>
        <w:ind w:left="360"/>
        <w:rPr>
          <w:rFonts w:ascii="Tahoma" w:hAnsi="Tahoma" w:cs="Tahoma"/>
          <w:sz w:val="20"/>
        </w:rPr>
      </w:pPr>
      <w:r w:rsidRPr="00D137B7">
        <w:rPr>
          <w:rFonts w:ascii="Tahoma" w:hAnsi="Tahoma" w:cs="Tahoma"/>
          <w:sz w:val="20"/>
        </w:rPr>
        <w:t>En ese sentido, el Comité Especial del Ministerio del Seguro Social de Salud, cumplió estrictamente con el procedimiento de presentación de propuestas, procediendo a abrir los sobres que contenían las propuestas técnicas de cada postor, según Acta de Apertura de Sobre Técnicos de Fecha 20 de setiembre del 2004</w:t>
      </w:r>
      <w:r w:rsidRPr="00D137B7">
        <w:rPr>
          <w:rStyle w:val="Refdenotaalpie"/>
          <w:rFonts w:ascii="Tahoma" w:hAnsi="Tahoma" w:cs="Tahoma"/>
          <w:sz w:val="20"/>
        </w:rPr>
        <w:footnoteReference w:id="7"/>
      </w:r>
      <w:r w:rsidRPr="00D137B7">
        <w:rPr>
          <w:rFonts w:ascii="Tahoma" w:hAnsi="Tahoma" w:cs="Tahoma"/>
          <w:sz w:val="20"/>
        </w:rPr>
        <w:t>.</w:t>
      </w:r>
    </w:p>
    <w:p w:rsidR="00D137B7" w:rsidRPr="00D137B7" w:rsidRDefault="00D137B7" w:rsidP="00D137B7">
      <w:pPr>
        <w:pStyle w:val="Textoindependiente"/>
        <w:ind w:left="360"/>
        <w:rPr>
          <w:rFonts w:ascii="Tahoma" w:hAnsi="Tahoma" w:cs="Tahoma"/>
          <w:sz w:val="20"/>
        </w:rPr>
      </w:pPr>
    </w:p>
    <w:p w:rsidR="00D137B7" w:rsidRPr="00D137B7" w:rsidRDefault="00D137B7" w:rsidP="00D137B7">
      <w:pPr>
        <w:pStyle w:val="Textoindependiente"/>
        <w:numPr>
          <w:ilvl w:val="0"/>
          <w:numId w:val="5"/>
        </w:numPr>
        <w:rPr>
          <w:rFonts w:ascii="Tahoma" w:hAnsi="Tahoma" w:cs="Tahoma"/>
          <w:sz w:val="20"/>
        </w:rPr>
      </w:pPr>
      <w:r w:rsidRPr="00D137B7">
        <w:rPr>
          <w:rFonts w:ascii="Tahoma" w:hAnsi="Tahoma" w:cs="Tahoma"/>
          <w:sz w:val="20"/>
        </w:rPr>
        <w:t xml:space="preserve">Se advierte, por tanto, que la propuesta técnica del Postor fue abierta y evaluada durante el desarrollo del proceso de selección, determinándose en el Acta respectiva que se encontraba completa para evaluación respecto de todos ítems en los que participa, y que el mismo día, el Postor comunicó a la Entidad su DESESTIMIENTO a seguir participando; aduciendo haber incurrido en un error al elaborar su propuesta económica. Tal renuncia se produjo después de haber presentado </w:t>
      </w:r>
      <w:proofErr w:type="spellStart"/>
      <w:r w:rsidRPr="00D137B7">
        <w:rPr>
          <w:rFonts w:ascii="Tahoma" w:hAnsi="Tahoma" w:cs="Tahoma"/>
          <w:sz w:val="20"/>
        </w:rPr>
        <w:t>validamente</w:t>
      </w:r>
      <w:proofErr w:type="spellEnd"/>
      <w:r w:rsidRPr="00D137B7">
        <w:rPr>
          <w:rFonts w:ascii="Tahoma" w:hAnsi="Tahoma" w:cs="Tahoma"/>
          <w:sz w:val="20"/>
        </w:rPr>
        <w:t xml:space="preserve"> su propuesta técnica que contenía la oferta respectiva, y antes del otorgamiento de la Buena Pro, por lo que se configura el supuesto descrito en el literal a) del artículo 205º del Reglamento en cuanto refiere que serán pasibles de sanción aquellos postores que </w:t>
      </w:r>
      <w:r w:rsidRPr="00D137B7">
        <w:rPr>
          <w:rFonts w:ascii="Tahoma" w:hAnsi="Tahoma" w:cs="Tahoma"/>
          <w:i/>
          <w:sz w:val="20"/>
        </w:rPr>
        <w:t>“no mantengan su oferta (…), hasta el otorgamiento de la buena pro “</w:t>
      </w:r>
    </w:p>
    <w:p w:rsidR="00D137B7" w:rsidRPr="00D137B7" w:rsidRDefault="00D137B7" w:rsidP="00D137B7">
      <w:pPr>
        <w:pStyle w:val="Textoindependiente"/>
        <w:rPr>
          <w:rFonts w:ascii="Tahoma" w:hAnsi="Tahoma" w:cs="Tahoma"/>
          <w:sz w:val="20"/>
        </w:rPr>
      </w:pPr>
    </w:p>
    <w:p w:rsidR="00D137B7" w:rsidRPr="00D137B7" w:rsidRDefault="00D137B7" w:rsidP="00D137B7">
      <w:pPr>
        <w:pStyle w:val="Textoindependiente"/>
        <w:numPr>
          <w:ilvl w:val="0"/>
          <w:numId w:val="5"/>
        </w:numPr>
        <w:rPr>
          <w:rFonts w:ascii="Tahoma" w:hAnsi="Tahoma" w:cs="Tahoma"/>
          <w:b/>
          <w:sz w:val="20"/>
        </w:rPr>
      </w:pPr>
      <w:r w:rsidRPr="00D137B7">
        <w:rPr>
          <w:rFonts w:ascii="Tahoma" w:hAnsi="Tahoma" w:cs="Tahoma"/>
          <w:sz w:val="20"/>
        </w:rPr>
        <w:t xml:space="preserve">En consecuencia, de acuerdo a lo expuesto en los acápites precedentes, existe responsabilidad exclusiva del Postor en la infracción tipificada en el literal a) del artículo 205° del Reglamento, toda vez que su argumentación carece de asidero legal y demuestra, </w:t>
      </w:r>
      <w:r w:rsidRPr="00D137B7">
        <w:rPr>
          <w:rFonts w:ascii="Tahoma" w:hAnsi="Tahoma" w:cs="Tahoma"/>
          <w:sz w:val="20"/>
        </w:rPr>
        <w:lastRenderedPageBreak/>
        <w:t xml:space="preserve">de cierta manera, su irresponsabilidad para participar en procesos de selección, puesto que no ha tomado en consideración que las entidades del Estado convocan estos procesos para proveerse de bienes y servicios que son necesarios para el desarrollo de sus actividades, procesos que son previstos y presupuestados con anticipación, por lo que corresponde imponerle sanción. </w:t>
      </w:r>
    </w:p>
    <w:p w:rsidR="00D137B7" w:rsidRPr="00D137B7" w:rsidRDefault="00D137B7" w:rsidP="00D137B7">
      <w:pPr>
        <w:pStyle w:val="Textoindependiente"/>
        <w:rPr>
          <w:rFonts w:ascii="Tahoma" w:hAnsi="Tahoma" w:cs="Tahoma"/>
          <w:b/>
          <w:sz w:val="20"/>
        </w:rPr>
      </w:pPr>
    </w:p>
    <w:p w:rsidR="00D137B7" w:rsidRPr="00D137B7" w:rsidRDefault="00D137B7" w:rsidP="00D137B7">
      <w:pPr>
        <w:pStyle w:val="Textoindependiente"/>
        <w:numPr>
          <w:ilvl w:val="0"/>
          <w:numId w:val="5"/>
        </w:numPr>
        <w:rPr>
          <w:rFonts w:ascii="Tahoma" w:hAnsi="Tahoma" w:cs="Tahoma"/>
          <w:sz w:val="20"/>
        </w:rPr>
      </w:pPr>
      <w:r w:rsidRPr="00D137B7">
        <w:rPr>
          <w:rFonts w:ascii="Tahoma" w:hAnsi="Tahoma" w:cs="Tahoma"/>
          <w:sz w:val="20"/>
        </w:rPr>
        <w:t xml:space="preserve">No obstante lo antes expuesto, al momento de graduar la sanción imponible, este Colegiado debe tener en cuenta que el artículo 205º del Reglamento ha establecido que los postores que incurran en la infracción tipificada en el literal a) del citado artículo serán inhabilitados en su derecho para contratar con el Estado por un período no menor de un año ni mayor de dos años. Al respecto, este Colegiado considera que a efectos de graduar la sanción administrativa a imponerse a </w:t>
      </w:r>
      <w:proofErr w:type="spellStart"/>
      <w:r w:rsidRPr="00D137B7">
        <w:rPr>
          <w:rFonts w:ascii="Tahoma" w:hAnsi="Tahoma" w:cs="Tahoma"/>
          <w:sz w:val="20"/>
        </w:rPr>
        <w:t>Autoservice</w:t>
      </w:r>
      <w:proofErr w:type="spellEnd"/>
      <w:r w:rsidRPr="00D137B7">
        <w:rPr>
          <w:rFonts w:ascii="Tahoma" w:hAnsi="Tahoma" w:cs="Tahoma"/>
          <w:sz w:val="20"/>
        </w:rPr>
        <w:t xml:space="preserve"> </w:t>
      </w:r>
      <w:proofErr w:type="spellStart"/>
      <w:r w:rsidRPr="00D137B7">
        <w:rPr>
          <w:rFonts w:ascii="Tahoma" w:hAnsi="Tahoma" w:cs="Tahoma"/>
          <w:sz w:val="20"/>
        </w:rPr>
        <w:t>Wong</w:t>
      </w:r>
      <w:proofErr w:type="spellEnd"/>
      <w:r w:rsidRPr="00D137B7">
        <w:rPr>
          <w:rFonts w:ascii="Tahoma" w:hAnsi="Tahoma" w:cs="Tahoma"/>
          <w:sz w:val="20"/>
        </w:rPr>
        <w:t xml:space="preserve"> E.I.R.L. debe tenerse presente los criterios establecidos en el artículo 209º del Reglamento, entre ellos, el daño causado, las condiciones del infractor, la intencionalidad del infractor y la </w:t>
      </w:r>
      <w:proofErr w:type="spellStart"/>
      <w:r w:rsidRPr="00D137B7">
        <w:rPr>
          <w:rFonts w:ascii="Tahoma" w:hAnsi="Tahoma" w:cs="Tahoma"/>
          <w:sz w:val="20"/>
        </w:rPr>
        <w:t>reiterancia</w:t>
      </w:r>
      <w:proofErr w:type="spellEnd"/>
      <w:r w:rsidRPr="00D137B7">
        <w:rPr>
          <w:rFonts w:ascii="Tahoma" w:hAnsi="Tahoma" w:cs="Tahoma"/>
          <w:sz w:val="20"/>
        </w:rPr>
        <w:t>, igualmente debe considerarse que el Tribunal podrá disminuir la sanción hasta límites inferiores al mínimo fijado para cada caso cuando existan circunstancias atenuantes de la responsabilidad del infractor, criterios que deben ser tomados en cuenta al momento de fijar la sanción a imponerse al Postor.</w:t>
      </w:r>
    </w:p>
    <w:p w:rsidR="00D137B7" w:rsidRPr="00D137B7" w:rsidRDefault="00D137B7" w:rsidP="00D137B7">
      <w:pPr>
        <w:pStyle w:val="Textoindependiente"/>
        <w:rPr>
          <w:rFonts w:ascii="Tahoma" w:hAnsi="Tahoma" w:cs="Tahoma"/>
          <w:sz w:val="20"/>
        </w:rPr>
      </w:pPr>
    </w:p>
    <w:p w:rsidR="00D137B7" w:rsidRPr="00D137B7" w:rsidRDefault="00D137B7" w:rsidP="00D137B7">
      <w:pPr>
        <w:pStyle w:val="Textoindependiente"/>
        <w:numPr>
          <w:ilvl w:val="0"/>
          <w:numId w:val="5"/>
        </w:numPr>
        <w:rPr>
          <w:rFonts w:ascii="Tahoma" w:hAnsi="Tahoma" w:cs="Tahoma"/>
          <w:sz w:val="20"/>
        </w:rPr>
      </w:pPr>
      <w:r w:rsidRPr="00D137B7">
        <w:rPr>
          <w:rFonts w:ascii="Tahoma" w:hAnsi="Tahoma" w:cs="Tahoma"/>
          <w:sz w:val="20"/>
        </w:rPr>
        <w:t xml:space="preserve"> En ese sentido, en el caso bajo análisis, se ha verificado que el Postor presentó como parte de su propuesta técnica una declaración jurada comprometiéndose expresamente a mantener su oferta durante el proceso de selección y a suscribir el contrato respectivo en caso de resultar favorecido con la buena pro. </w:t>
      </w:r>
    </w:p>
    <w:p w:rsidR="00D137B7" w:rsidRPr="00D137B7" w:rsidRDefault="00D137B7" w:rsidP="00D137B7">
      <w:pPr>
        <w:pStyle w:val="Textoindependiente"/>
        <w:rPr>
          <w:rFonts w:ascii="Tahoma" w:hAnsi="Tahoma" w:cs="Tahoma"/>
          <w:sz w:val="20"/>
        </w:rPr>
      </w:pPr>
    </w:p>
    <w:p w:rsidR="00D137B7" w:rsidRPr="00D137B7" w:rsidRDefault="00D137B7" w:rsidP="00D137B7">
      <w:pPr>
        <w:pStyle w:val="Textoindependiente"/>
        <w:ind w:left="360"/>
        <w:rPr>
          <w:rFonts w:ascii="Tahoma" w:hAnsi="Tahoma" w:cs="Tahoma"/>
          <w:sz w:val="20"/>
        </w:rPr>
      </w:pPr>
      <w:r w:rsidRPr="00D137B7">
        <w:rPr>
          <w:rFonts w:ascii="Tahoma" w:hAnsi="Tahoma" w:cs="Tahoma"/>
          <w:sz w:val="20"/>
        </w:rPr>
        <w:t>Sin embargo, ha reconocido haber realizado la conducta tipificada como sancionable debido a hechos ajenos a su voluntad, a factores externos que no fueron de su control. Asimismo, mediante su conducta, buscó causar el menor daño a la Entidad renunciando en la etapa de apertura de sobres y calificación de propuestas, previendo un posible incumplimiento en el  caso de ser adjudicados con la Buena Pro, asumiendo las consecuencias de su conducta y de la sanción administrativa que ello implicaba. Sumado a estos atenuantes, se debe tomar en cuenta que el proceso de selección convocado fue una Adjudicación de Menor Cuantía N</w:t>
      </w:r>
      <w:proofErr w:type="gramStart"/>
      <w:r w:rsidRPr="00D137B7">
        <w:rPr>
          <w:rFonts w:ascii="Tahoma" w:hAnsi="Tahoma" w:cs="Tahoma"/>
          <w:sz w:val="20"/>
        </w:rPr>
        <w:t>.º</w:t>
      </w:r>
      <w:proofErr w:type="gramEnd"/>
      <w:r w:rsidRPr="00D137B7">
        <w:rPr>
          <w:rFonts w:ascii="Tahoma" w:hAnsi="Tahoma" w:cs="Tahoma"/>
          <w:sz w:val="20"/>
        </w:rPr>
        <w:t xml:space="preserve"> 0499M07701 por un valor referencial de S/. 21,653.86 (Veintiún Mil Seiscientos Cincuenta y Tres con 86/100 Nuevos Soles). </w:t>
      </w:r>
    </w:p>
    <w:p w:rsidR="00D137B7" w:rsidRPr="00D137B7" w:rsidRDefault="00D137B7" w:rsidP="00D137B7">
      <w:pPr>
        <w:pStyle w:val="Textoindependiente"/>
        <w:rPr>
          <w:rFonts w:ascii="Tahoma" w:hAnsi="Tahoma" w:cs="Tahoma"/>
          <w:sz w:val="20"/>
        </w:rPr>
      </w:pPr>
    </w:p>
    <w:p w:rsidR="00D137B7" w:rsidRPr="00D137B7" w:rsidRDefault="00D137B7" w:rsidP="00D137B7">
      <w:pPr>
        <w:pStyle w:val="Textoindependiente"/>
        <w:ind w:left="360"/>
        <w:rPr>
          <w:rFonts w:ascii="Tahoma" w:hAnsi="Tahoma" w:cs="Tahoma"/>
          <w:sz w:val="20"/>
        </w:rPr>
      </w:pPr>
      <w:r w:rsidRPr="00D137B7">
        <w:rPr>
          <w:rFonts w:ascii="Tahoma" w:hAnsi="Tahoma" w:cs="Tahoma"/>
          <w:sz w:val="20"/>
        </w:rPr>
        <w:t>Asimismo, debe tenerse presente que el principio de razonabilidad</w:t>
      </w:r>
      <w:r w:rsidRPr="00D137B7">
        <w:rPr>
          <w:rFonts w:ascii="Tahoma" w:hAnsi="Tahoma" w:cs="Tahoma"/>
          <w:sz w:val="20"/>
          <w:vertAlign w:val="superscript"/>
        </w:rPr>
        <w:footnoteReference w:id="8"/>
      </w:r>
      <w:r w:rsidRPr="00D137B7">
        <w:rPr>
          <w:rFonts w:ascii="Tahoma" w:hAnsi="Tahoma" w:cs="Tahoma"/>
          <w:sz w:val="20"/>
        </w:rPr>
        <w:t xml:space="preserve"> previsto en el numeral 3 del artículo 230 de la Ley N.º 27444 aconseja que las sanciones no deben ser desproporcionadas y que deben guardar atención con la conducta a reprimir, atendiendo a la necesidad de que las empresas no deban verse privadas de su derecho de proveer al Estado más allá de lo estrictamente necesario para satisfacer los fines de la sanción, este </w:t>
      </w:r>
      <w:r w:rsidRPr="00D137B7">
        <w:rPr>
          <w:rFonts w:ascii="Tahoma" w:hAnsi="Tahoma" w:cs="Tahoma"/>
          <w:sz w:val="20"/>
        </w:rPr>
        <w:lastRenderedPageBreak/>
        <w:t>Colegiado considera que en el caso materia de autos corresponde aplicar sanción por debajo del límite inferior al mínimo establecido, y que el postor no tiene registrado sanciones anteriores por faltas cometidas durante las contrataciones y adquisiciones del Estado, criterio especialmente relevante a efectos de atenuar la sanción a imponerse en casos como éste.</w:t>
      </w:r>
    </w:p>
    <w:p w:rsidR="00D137B7" w:rsidRPr="00D137B7" w:rsidRDefault="00D137B7" w:rsidP="00D137B7">
      <w:pPr>
        <w:pStyle w:val="Textoindependiente"/>
        <w:rPr>
          <w:rFonts w:ascii="Tahoma" w:hAnsi="Tahoma" w:cs="Tahoma"/>
          <w:sz w:val="20"/>
        </w:rPr>
      </w:pPr>
    </w:p>
    <w:p w:rsidR="00D137B7" w:rsidRPr="00D137B7" w:rsidRDefault="00D137B7" w:rsidP="00D137B7">
      <w:pPr>
        <w:pStyle w:val="Textoindependiente"/>
        <w:ind w:left="360"/>
        <w:rPr>
          <w:rFonts w:ascii="Tahoma" w:hAnsi="Tahoma" w:cs="Tahoma"/>
          <w:sz w:val="20"/>
        </w:rPr>
      </w:pPr>
      <w:r w:rsidRPr="00D137B7">
        <w:rPr>
          <w:rFonts w:ascii="Tahoma" w:hAnsi="Tahoma" w:cs="Tahoma"/>
          <w:sz w:val="20"/>
        </w:rPr>
        <w:t>Finalmente, no podemos dejar de mencionar que la Entidad no ha manifestado expresamente haber sufrido un detrimento irreparable producto de la conducta denunciada, que si bien es cierto es pasible de sanción, no ocasionó un daño significativo que impidiera a la Entidad satisfacer los objetivos para los cuales convocó a dicho proceso de selección.</w:t>
      </w:r>
    </w:p>
    <w:p w:rsidR="00D137B7" w:rsidRPr="00D137B7" w:rsidRDefault="00D137B7" w:rsidP="00D137B7">
      <w:pPr>
        <w:rPr>
          <w:rFonts w:ascii="Tahoma" w:hAnsi="Tahoma" w:cs="Tahoma"/>
          <w:b/>
          <w:shadow/>
          <w:lang w:val="es-PE"/>
        </w:rPr>
      </w:pPr>
    </w:p>
    <w:p w:rsidR="00D137B7" w:rsidRPr="00D137B7" w:rsidRDefault="00D137B7" w:rsidP="00D137B7">
      <w:pPr>
        <w:tabs>
          <w:tab w:val="left" w:pos="2520"/>
        </w:tabs>
        <w:ind w:hanging="360"/>
        <w:jc w:val="both"/>
        <w:rPr>
          <w:rFonts w:ascii="Tahoma" w:hAnsi="Tahoma" w:cs="Tahoma"/>
        </w:rPr>
      </w:pPr>
      <w:r w:rsidRPr="00D137B7">
        <w:rPr>
          <w:rFonts w:ascii="Tahoma" w:hAnsi="Tahoma" w:cs="Tahoma"/>
        </w:rPr>
        <w:tab/>
        <w:t xml:space="preserve">Por estos fundamentos, de conformidad con el informe del vocal ponente Dr. Juan Carlos Valdivia </w:t>
      </w:r>
      <w:proofErr w:type="spellStart"/>
      <w:r w:rsidRPr="00D137B7">
        <w:rPr>
          <w:rFonts w:ascii="Tahoma" w:hAnsi="Tahoma" w:cs="Tahoma"/>
        </w:rPr>
        <w:t>Huaringa</w:t>
      </w:r>
      <w:proofErr w:type="spellEnd"/>
      <w:r w:rsidRPr="00D137B7">
        <w:rPr>
          <w:rFonts w:ascii="Tahoma" w:hAnsi="Tahoma" w:cs="Tahoma"/>
        </w:rPr>
        <w:t xml:space="preserve"> y la intervención de los vocales Dra. </w:t>
      </w:r>
      <w:proofErr w:type="spellStart"/>
      <w:r w:rsidRPr="00D137B7">
        <w:rPr>
          <w:rFonts w:ascii="Tahoma" w:hAnsi="Tahoma" w:cs="Tahoma"/>
        </w:rPr>
        <w:t>Janette</w:t>
      </w:r>
      <w:proofErr w:type="spellEnd"/>
      <w:r w:rsidRPr="00D137B7">
        <w:rPr>
          <w:rFonts w:ascii="Tahoma" w:hAnsi="Tahoma" w:cs="Tahoma"/>
        </w:rPr>
        <w:t xml:space="preserve"> </w:t>
      </w:r>
      <w:proofErr w:type="spellStart"/>
      <w:r w:rsidRPr="00D137B7">
        <w:rPr>
          <w:rFonts w:ascii="Tahoma" w:hAnsi="Tahoma" w:cs="Tahoma"/>
        </w:rPr>
        <w:t>Elke</w:t>
      </w:r>
      <w:proofErr w:type="spellEnd"/>
      <w:r w:rsidRPr="00D137B7">
        <w:rPr>
          <w:rFonts w:ascii="Tahoma" w:hAnsi="Tahoma" w:cs="Tahoma"/>
        </w:rPr>
        <w:t xml:space="preserve"> Ramírez </w:t>
      </w:r>
      <w:proofErr w:type="spellStart"/>
      <w:r w:rsidRPr="00D137B7">
        <w:rPr>
          <w:rFonts w:ascii="Tahoma" w:hAnsi="Tahoma" w:cs="Tahoma"/>
        </w:rPr>
        <w:t>Maynetto</w:t>
      </w:r>
      <w:proofErr w:type="spellEnd"/>
      <w:r w:rsidRPr="00D137B7">
        <w:rPr>
          <w:rFonts w:ascii="Tahoma" w:hAnsi="Tahoma" w:cs="Tahoma"/>
        </w:rPr>
        <w:t xml:space="preserve"> y Dr. Carlos Navas Rondón, atendiendo a la </w:t>
      </w:r>
      <w:proofErr w:type="spellStart"/>
      <w:r w:rsidRPr="00D137B7">
        <w:rPr>
          <w:rFonts w:ascii="Tahoma" w:hAnsi="Tahoma" w:cs="Tahoma"/>
        </w:rPr>
        <w:t>reconformación</w:t>
      </w:r>
      <w:proofErr w:type="spellEnd"/>
      <w:r w:rsidRPr="00D137B7">
        <w:rPr>
          <w:rFonts w:ascii="Tahoma" w:hAnsi="Tahoma" w:cs="Tahoma"/>
        </w:rPr>
        <w:t xml:space="preserve"> de la Tercera Sala del Tribunal de Contrataciones y Adquisiciones del Estado, según lo dispuesto en la Resolución N.º 279-2007-CONSUCODE/PRE, expedida el 21 de mayo de 2007 y, en ejercicio de las facultades conferidas en los artículos 53, 59 y 61 del Texto Único Ordenado de la Ley de Contrataciones y Adquisiciones del Estado, aprobado por Decreto Supremo N.º 083-2004-PCM y su Reglamento, aprobado por Decreto Supremo N.º 084-2004-PCM y los artículos 17 y 18 del Reglamento de Organización y Funciones del CONSUCODE, aprobado por Decreto Supremo N.º 054-2007-EF; analizados los antecedentes y luego de agotado el debate correspondiente, por unanimidad; </w:t>
      </w:r>
    </w:p>
    <w:p w:rsidR="00D137B7" w:rsidRPr="00D137B7" w:rsidRDefault="00D137B7" w:rsidP="00D137B7">
      <w:pPr>
        <w:jc w:val="both"/>
        <w:rPr>
          <w:rFonts w:ascii="Tahoma" w:hAnsi="Tahoma" w:cs="Tahoma"/>
          <w:b/>
          <w:shadow/>
        </w:rPr>
      </w:pPr>
    </w:p>
    <w:p w:rsidR="00D137B7" w:rsidRPr="00D137B7" w:rsidRDefault="00D137B7" w:rsidP="00D137B7">
      <w:pPr>
        <w:jc w:val="both"/>
        <w:rPr>
          <w:rFonts w:ascii="Tahoma" w:hAnsi="Tahoma" w:cs="Tahoma"/>
          <w:b/>
          <w:shadow/>
        </w:rPr>
      </w:pPr>
      <w:r w:rsidRPr="00D137B7">
        <w:rPr>
          <w:rFonts w:ascii="Tahoma" w:hAnsi="Tahoma" w:cs="Tahoma"/>
          <w:b/>
          <w:shadow/>
        </w:rPr>
        <w:t xml:space="preserve">LA SALA RESUELVE: </w:t>
      </w:r>
    </w:p>
    <w:p w:rsidR="00D137B7" w:rsidRPr="00D137B7" w:rsidRDefault="00D137B7" w:rsidP="00D137B7">
      <w:pPr>
        <w:jc w:val="both"/>
        <w:rPr>
          <w:rFonts w:ascii="Tahoma" w:hAnsi="Tahoma" w:cs="Tahoma"/>
        </w:rPr>
      </w:pPr>
    </w:p>
    <w:p w:rsidR="00D137B7" w:rsidRPr="00D137B7" w:rsidRDefault="00D137B7" w:rsidP="00D137B7">
      <w:pPr>
        <w:numPr>
          <w:ilvl w:val="0"/>
          <w:numId w:val="6"/>
        </w:numPr>
        <w:tabs>
          <w:tab w:val="clear" w:pos="720"/>
          <w:tab w:val="num" w:pos="360"/>
        </w:tabs>
        <w:ind w:left="360"/>
        <w:jc w:val="both"/>
        <w:rPr>
          <w:rFonts w:ascii="Tahoma" w:hAnsi="Tahoma" w:cs="Tahoma"/>
        </w:rPr>
      </w:pPr>
      <w:r w:rsidRPr="00D137B7">
        <w:rPr>
          <w:rFonts w:ascii="Tahoma" w:hAnsi="Tahoma" w:cs="Tahoma"/>
        </w:rPr>
        <w:t xml:space="preserve">Sancionar a la </w:t>
      </w:r>
      <w:r w:rsidR="00986F22">
        <w:rPr>
          <w:rFonts w:ascii="Tahoma" w:hAnsi="Tahoma" w:cs="Tahoma"/>
        </w:rPr>
        <w:t xml:space="preserve">empresa </w:t>
      </w:r>
      <w:proofErr w:type="spellStart"/>
      <w:r w:rsidRPr="00D137B7">
        <w:rPr>
          <w:rFonts w:ascii="Tahoma" w:hAnsi="Tahoma" w:cs="Tahoma"/>
          <w:lang w:val="es-PE"/>
        </w:rPr>
        <w:t>Autoservice</w:t>
      </w:r>
      <w:proofErr w:type="spellEnd"/>
      <w:r w:rsidRPr="00D137B7">
        <w:rPr>
          <w:rFonts w:ascii="Tahoma" w:hAnsi="Tahoma" w:cs="Tahoma"/>
          <w:lang w:val="es-PE"/>
        </w:rPr>
        <w:t xml:space="preserve"> </w:t>
      </w:r>
      <w:proofErr w:type="spellStart"/>
      <w:r w:rsidRPr="00D137B7">
        <w:rPr>
          <w:rFonts w:ascii="Tahoma" w:hAnsi="Tahoma" w:cs="Tahoma"/>
          <w:lang w:val="es-PE"/>
        </w:rPr>
        <w:t>Wong</w:t>
      </w:r>
      <w:proofErr w:type="spellEnd"/>
      <w:r w:rsidRPr="00D137B7">
        <w:rPr>
          <w:rFonts w:ascii="Tahoma" w:hAnsi="Tahoma" w:cs="Tahoma"/>
          <w:lang w:val="es-PE"/>
        </w:rPr>
        <w:t xml:space="preserve"> E.I.R.L.</w:t>
      </w:r>
      <w:r w:rsidRPr="00D137B7">
        <w:rPr>
          <w:rFonts w:ascii="Tahoma" w:hAnsi="Tahoma" w:cs="Tahoma"/>
        </w:rPr>
        <w:t xml:space="preserve"> con </w:t>
      </w:r>
      <w:r w:rsidRPr="00D137B7">
        <w:rPr>
          <w:rFonts w:ascii="Tahoma" w:hAnsi="Tahoma" w:cs="Tahoma"/>
          <w:b/>
        </w:rPr>
        <w:t xml:space="preserve">seis (06) meses de inhabilitación temporal </w:t>
      </w:r>
      <w:r w:rsidRPr="00D137B7">
        <w:rPr>
          <w:rFonts w:ascii="Tahoma" w:hAnsi="Tahoma" w:cs="Tahoma"/>
        </w:rPr>
        <w:t>en su derecho de participar en procesos de selección y contratar con el Estado, por incurrir en la infracción tipificada en el numeral 1) del artículo 294 del Reglamento de la Ley de Contrataciones y Adquisiciones del Estado, aprobado por el Decreto Supremo N.° 084-2004-PCM; sanción que tendrá vigencia a partir del cuarto día hábil siguiente de notificada la presente resolución.</w:t>
      </w:r>
    </w:p>
    <w:p w:rsidR="00D137B7" w:rsidRPr="00D137B7" w:rsidRDefault="00D137B7" w:rsidP="00D137B7">
      <w:pPr>
        <w:jc w:val="both"/>
        <w:rPr>
          <w:rFonts w:ascii="Tahoma" w:hAnsi="Tahoma" w:cs="Tahoma"/>
        </w:rPr>
      </w:pPr>
    </w:p>
    <w:p w:rsidR="00D137B7" w:rsidRPr="00D137B7" w:rsidRDefault="00D137B7" w:rsidP="00D137B7">
      <w:pPr>
        <w:numPr>
          <w:ilvl w:val="0"/>
          <w:numId w:val="6"/>
        </w:numPr>
        <w:tabs>
          <w:tab w:val="clear" w:pos="720"/>
          <w:tab w:val="num" w:pos="360"/>
        </w:tabs>
        <w:ind w:left="360"/>
        <w:jc w:val="both"/>
        <w:rPr>
          <w:rFonts w:ascii="Tahoma" w:hAnsi="Tahoma" w:cs="Tahoma"/>
        </w:rPr>
      </w:pPr>
      <w:r w:rsidRPr="00D137B7">
        <w:rPr>
          <w:rFonts w:ascii="Tahoma" w:hAnsi="Tahoma" w:cs="Tahoma"/>
        </w:rPr>
        <w:t>Poner la presente resolución en conocimiento a la Gerencia de Registros del CONSUCODE para las anotaciones de ley.</w:t>
      </w:r>
    </w:p>
    <w:p w:rsidR="00D137B7" w:rsidRPr="00D137B7" w:rsidRDefault="00D137B7" w:rsidP="00D137B7">
      <w:pPr>
        <w:jc w:val="both"/>
        <w:rPr>
          <w:rFonts w:ascii="Tahoma" w:hAnsi="Tahoma" w:cs="Tahoma"/>
        </w:rPr>
      </w:pPr>
    </w:p>
    <w:p w:rsidR="00D137B7" w:rsidRPr="00D137B7" w:rsidRDefault="00D137B7" w:rsidP="00D137B7">
      <w:pPr>
        <w:jc w:val="both"/>
        <w:rPr>
          <w:rFonts w:ascii="Tahoma" w:hAnsi="Tahoma" w:cs="Tahoma"/>
        </w:rPr>
      </w:pPr>
      <w:r w:rsidRPr="00D137B7">
        <w:rPr>
          <w:rFonts w:ascii="Tahoma" w:hAnsi="Tahoma" w:cs="Tahoma"/>
        </w:rPr>
        <w:t>REGÍSTRESE, COMUNÍQUESE Y PUBLÍQUESE.</w:t>
      </w:r>
    </w:p>
    <w:p w:rsidR="00D137B7" w:rsidRPr="00D137B7" w:rsidRDefault="00D137B7" w:rsidP="00D137B7">
      <w:pPr>
        <w:jc w:val="both"/>
        <w:rPr>
          <w:rFonts w:ascii="Tahoma" w:hAnsi="Tahoma" w:cs="Tahoma"/>
        </w:rPr>
      </w:pPr>
    </w:p>
    <w:p w:rsidR="00D137B7" w:rsidRPr="00D137B7" w:rsidRDefault="00D137B7" w:rsidP="00D137B7">
      <w:pPr>
        <w:jc w:val="both"/>
        <w:rPr>
          <w:rFonts w:ascii="Tahoma" w:hAnsi="Tahoma" w:cs="Tahoma"/>
        </w:rPr>
      </w:pPr>
    </w:p>
    <w:p w:rsidR="00D137B7" w:rsidRPr="00D137B7" w:rsidRDefault="00D137B7" w:rsidP="00D137B7">
      <w:pPr>
        <w:jc w:val="both"/>
        <w:rPr>
          <w:rFonts w:ascii="Tahoma" w:hAnsi="Tahoma" w:cs="Tahoma"/>
        </w:rPr>
      </w:pPr>
    </w:p>
    <w:p w:rsidR="00D137B7" w:rsidRPr="00D137B7" w:rsidRDefault="00D137B7" w:rsidP="00D137B7">
      <w:pPr>
        <w:jc w:val="center"/>
        <w:rPr>
          <w:rFonts w:ascii="Tahoma" w:hAnsi="Tahoma" w:cs="Tahoma"/>
          <w:b/>
        </w:rPr>
      </w:pPr>
    </w:p>
    <w:p w:rsidR="00D137B7" w:rsidRPr="00D137B7" w:rsidRDefault="00D137B7" w:rsidP="00D137B7">
      <w:pPr>
        <w:jc w:val="center"/>
        <w:rPr>
          <w:rFonts w:ascii="Tahoma" w:hAnsi="Tahoma" w:cs="Tahoma"/>
          <w:b/>
        </w:rPr>
      </w:pPr>
      <w:r w:rsidRPr="00D137B7">
        <w:rPr>
          <w:rFonts w:ascii="Tahoma" w:hAnsi="Tahoma" w:cs="Tahoma"/>
          <w:b/>
        </w:rPr>
        <w:t>PRESIDENTE</w:t>
      </w:r>
    </w:p>
    <w:p w:rsidR="00D137B7" w:rsidRPr="00D137B7" w:rsidRDefault="00D137B7" w:rsidP="00D137B7">
      <w:pPr>
        <w:jc w:val="center"/>
        <w:rPr>
          <w:rFonts w:ascii="Tahoma" w:hAnsi="Tahoma" w:cs="Tahoma"/>
          <w:b/>
        </w:rPr>
      </w:pPr>
    </w:p>
    <w:p w:rsidR="00D137B7" w:rsidRPr="00D137B7" w:rsidRDefault="00D137B7" w:rsidP="00D137B7">
      <w:pPr>
        <w:jc w:val="center"/>
        <w:rPr>
          <w:rFonts w:ascii="Tahoma" w:hAnsi="Tahoma" w:cs="Tahoma"/>
          <w:b/>
        </w:rPr>
      </w:pPr>
    </w:p>
    <w:p w:rsidR="00D137B7" w:rsidRPr="00D137B7" w:rsidRDefault="00D137B7" w:rsidP="00D137B7">
      <w:pPr>
        <w:jc w:val="center"/>
        <w:rPr>
          <w:rFonts w:ascii="Tahoma" w:hAnsi="Tahoma" w:cs="Tahoma"/>
          <w:b/>
        </w:rPr>
      </w:pPr>
    </w:p>
    <w:p w:rsidR="00D137B7" w:rsidRPr="00D137B7" w:rsidRDefault="00D137B7" w:rsidP="00D137B7">
      <w:pPr>
        <w:jc w:val="center"/>
        <w:rPr>
          <w:rFonts w:ascii="Tahoma" w:hAnsi="Tahoma" w:cs="Tahoma"/>
          <w:b/>
        </w:rPr>
      </w:pPr>
      <w:r w:rsidRPr="00D137B7">
        <w:rPr>
          <w:rFonts w:ascii="Tahoma" w:hAnsi="Tahoma" w:cs="Tahoma"/>
          <w:b/>
        </w:rPr>
        <w:t xml:space="preserve">VOCAL </w:t>
      </w:r>
      <w:r w:rsidRPr="00D137B7">
        <w:rPr>
          <w:rFonts w:ascii="Tahoma" w:hAnsi="Tahoma" w:cs="Tahoma"/>
          <w:b/>
        </w:rPr>
        <w:tab/>
      </w:r>
      <w:r w:rsidRPr="00D137B7">
        <w:rPr>
          <w:rFonts w:ascii="Tahoma" w:hAnsi="Tahoma" w:cs="Tahoma"/>
          <w:b/>
        </w:rPr>
        <w:tab/>
      </w:r>
      <w:r w:rsidRPr="00D137B7">
        <w:rPr>
          <w:rFonts w:ascii="Tahoma" w:hAnsi="Tahoma" w:cs="Tahoma"/>
          <w:b/>
        </w:rPr>
        <w:tab/>
      </w:r>
      <w:r w:rsidRPr="00D137B7">
        <w:rPr>
          <w:rFonts w:ascii="Tahoma" w:hAnsi="Tahoma" w:cs="Tahoma"/>
          <w:b/>
        </w:rPr>
        <w:tab/>
      </w:r>
      <w:r w:rsidRPr="00D137B7">
        <w:rPr>
          <w:rFonts w:ascii="Tahoma" w:hAnsi="Tahoma" w:cs="Tahoma"/>
          <w:b/>
        </w:rPr>
        <w:tab/>
      </w:r>
      <w:r w:rsidRPr="00D137B7">
        <w:rPr>
          <w:rFonts w:ascii="Tahoma" w:hAnsi="Tahoma" w:cs="Tahoma"/>
          <w:b/>
        </w:rPr>
        <w:tab/>
      </w:r>
      <w:r w:rsidRPr="00D137B7">
        <w:rPr>
          <w:rFonts w:ascii="Tahoma" w:hAnsi="Tahoma" w:cs="Tahoma"/>
          <w:b/>
        </w:rPr>
        <w:tab/>
      </w:r>
      <w:r w:rsidRPr="00D137B7">
        <w:rPr>
          <w:rFonts w:ascii="Tahoma" w:hAnsi="Tahoma" w:cs="Tahoma"/>
          <w:b/>
        </w:rPr>
        <w:tab/>
        <w:t>VOCAL</w:t>
      </w:r>
    </w:p>
    <w:p w:rsidR="00D137B7" w:rsidRPr="00D137B7" w:rsidRDefault="00D137B7" w:rsidP="00D137B7">
      <w:pPr>
        <w:rPr>
          <w:rFonts w:ascii="Tahoma" w:hAnsi="Tahoma" w:cs="Tahoma"/>
          <w:b/>
        </w:rPr>
      </w:pPr>
    </w:p>
    <w:p w:rsidR="00D137B7" w:rsidRPr="00D137B7" w:rsidRDefault="00D137B7" w:rsidP="00D137B7">
      <w:pPr>
        <w:rPr>
          <w:rFonts w:ascii="Tahoma" w:hAnsi="Tahoma" w:cs="Tahoma"/>
          <w:b/>
        </w:rPr>
      </w:pPr>
    </w:p>
    <w:p w:rsidR="00D137B7" w:rsidRPr="00D137B7" w:rsidRDefault="00D137B7" w:rsidP="00D137B7">
      <w:pPr>
        <w:rPr>
          <w:rFonts w:ascii="Tahoma" w:hAnsi="Tahoma" w:cs="Tahoma"/>
        </w:rPr>
      </w:pPr>
      <w:r w:rsidRPr="00D137B7">
        <w:rPr>
          <w:rFonts w:ascii="Tahoma" w:hAnsi="Tahoma" w:cs="Tahoma"/>
        </w:rPr>
        <w:t>ss.</w:t>
      </w:r>
    </w:p>
    <w:p w:rsidR="00D137B7" w:rsidRPr="00D137B7" w:rsidRDefault="00D137B7" w:rsidP="00D137B7">
      <w:pPr>
        <w:rPr>
          <w:rFonts w:ascii="Tahoma" w:hAnsi="Tahoma" w:cs="Tahoma"/>
        </w:rPr>
      </w:pPr>
      <w:r w:rsidRPr="00D137B7">
        <w:rPr>
          <w:rFonts w:ascii="Tahoma" w:hAnsi="Tahoma" w:cs="Tahoma"/>
        </w:rPr>
        <w:lastRenderedPageBreak/>
        <w:t xml:space="preserve">Valdivia </w:t>
      </w:r>
      <w:proofErr w:type="spellStart"/>
      <w:r w:rsidRPr="00D137B7">
        <w:rPr>
          <w:rFonts w:ascii="Tahoma" w:hAnsi="Tahoma" w:cs="Tahoma"/>
        </w:rPr>
        <w:t>Huaringa</w:t>
      </w:r>
      <w:proofErr w:type="spellEnd"/>
    </w:p>
    <w:p w:rsidR="00D137B7" w:rsidRPr="00D137B7" w:rsidRDefault="00D137B7" w:rsidP="00D137B7">
      <w:pPr>
        <w:ind w:left="708" w:hanging="708"/>
        <w:rPr>
          <w:rFonts w:ascii="Tahoma" w:hAnsi="Tahoma" w:cs="Tahoma"/>
        </w:rPr>
      </w:pPr>
      <w:r w:rsidRPr="00D137B7">
        <w:rPr>
          <w:rFonts w:ascii="Tahoma" w:hAnsi="Tahoma" w:cs="Tahoma"/>
        </w:rPr>
        <w:t xml:space="preserve">Ramírez </w:t>
      </w:r>
      <w:proofErr w:type="spellStart"/>
      <w:r w:rsidRPr="00D137B7">
        <w:rPr>
          <w:rFonts w:ascii="Tahoma" w:hAnsi="Tahoma" w:cs="Tahoma"/>
        </w:rPr>
        <w:t>Maynetto</w:t>
      </w:r>
      <w:proofErr w:type="spellEnd"/>
      <w:r w:rsidRPr="00D137B7">
        <w:rPr>
          <w:rFonts w:ascii="Tahoma" w:hAnsi="Tahoma" w:cs="Tahoma"/>
        </w:rPr>
        <w:t xml:space="preserve"> </w:t>
      </w:r>
    </w:p>
    <w:p w:rsidR="00986F22" w:rsidRPr="00D137B7" w:rsidRDefault="00D137B7">
      <w:pPr>
        <w:rPr>
          <w:rFonts w:ascii="Tahoma" w:hAnsi="Tahoma" w:cs="Tahoma"/>
        </w:rPr>
      </w:pPr>
      <w:r w:rsidRPr="00D137B7">
        <w:rPr>
          <w:rFonts w:ascii="Tahoma" w:hAnsi="Tahoma" w:cs="Tahoma"/>
        </w:rPr>
        <w:t xml:space="preserve">Navas Rondón </w:t>
      </w:r>
    </w:p>
    <w:sectPr w:rsidR="00986F22" w:rsidRPr="00D137B7" w:rsidSect="00D137B7">
      <w:footerReference w:type="even" r:id="rId7"/>
      <w:footerReference w:type="default" r:id="rId8"/>
      <w:pgSz w:w="11906" w:h="16838"/>
      <w:pgMar w:top="3686"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6F22" w:rsidRDefault="00986F22" w:rsidP="00D137B7">
      <w:r>
        <w:separator/>
      </w:r>
    </w:p>
  </w:endnote>
  <w:endnote w:type="continuationSeparator" w:id="1">
    <w:p w:rsidR="00986F22" w:rsidRDefault="00986F22" w:rsidP="00D137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F22" w:rsidRDefault="00AD050D" w:rsidP="00986F22">
    <w:pPr>
      <w:pStyle w:val="Piedepgina"/>
      <w:framePr w:wrap="around" w:vAnchor="text" w:hAnchor="margin" w:xAlign="center" w:y="1"/>
      <w:rPr>
        <w:rStyle w:val="Nmerodepgina"/>
      </w:rPr>
    </w:pPr>
    <w:r>
      <w:rPr>
        <w:rStyle w:val="Nmerodepgina"/>
      </w:rPr>
      <w:fldChar w:fldCharType="begin"/>
    </w:r>
    <w:r w:rsidR="00986F22">
      <w:rPr>
        <w:rStyle w:val="Nmerodepgina"/>
      </w:rPr>
      <w:instrText xml:space="preserve">PAGE  </w:instrText>
    </w:r>
    <w:r>
      <w:rPr>
        <w:rStyle w:val="Nmerodepgina"/>
      </w:rPr>
      <w:fldChar w:fldCharType="end"/>
    </w:r>
  </w:p>
  <w:p w:rsidR="00986F22" w:rsidRDefault="00986F22">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F22" w:rsidRPr="002E1DB7" w:rsidRDefault="00986F22" w:rsidP="00986F22">
    <w:pPr>
      <w:pStyle w:val="Piedepgina"/>
      <w:framePr w:wrap="around" w:vAnchor="text" w:hAnchor="margin" w:xAlign="center" w:y="1"/>
      <w:rPr>
        <w:rFonts w:ascii="Bookman Old Style" w:hAnsi="Bookman Old Style"/>
        <w:i/>
        <w:sz w:val="20"/>
      </w:rPr>
    </w:pPr>
    <w:r w:rsidRPr="002E1DB7">
      <w:rPr>
        <w:rFonts w:ascii="Bookman Old Style" w:hAnsi="Bookman Old Style"/>
        <w:i/>
        <w:sz w:val="20"/>
      </w:rPr>
      <w:t xml:space="preserve">Página </w:t>
    </w:r>
    <w:r w:rsidR="00AD050D" w:rsidRPr="002E1DB7">
      <w:rPr>
        <w:rFonts w:ascii="Bookman Old Style" w:hAnsi="Bookman Old Style"/>
        <w:i/>
        <w:sz w:val="20"/>
      </w:rPr>
      <w:fldChar w:fldCharType="begin"/>
    </w:r>
    <w:r w:rsidRPr="002E1DB7">
      <w:rPr>
        <w:rFonts w:ascii="Bookman Old Style" w:hAnsi="Bookman Old Style"/>
        <w:i/>
        <w:sz w:val="20"/>
      </w:rPr>
      <w:instrText xml:space="preserve"> PAGE </w:instrText>
    </w:r>
    <w:r w:rsidR="00AD050D" w:rsidRPr="002E1DB7">
      <w:rPr>
        <w:rFonts w:ascii="Bookman Old Style" w:hAnsi="Bookman Old Style"/>
        <w:i/>
        <w:sz w:val="20"/>
      </w:rPr>
      <w:fldChar w:fldCharType="separate"/>
    </w:r>
    <w:r w:rsidR="00DC11CD">
      <w:rPr>
        <w:rFonts w:ascii="Bookman Old Style" w:hAnsi="Bookman Old Style"/>
        <w:i/>
        <w:noProof/>
        <w:sz w:val="20"/>
      </w:rPr>
      <w:t>1</w:t>
    </w:r>
    <w:r w:rsidR="00AD050D" w:rsidRPr="002E1DB7">
      <w:rPr>
        <w:rFonts w:ascii="Bookman Old Style" w:hAnsi="Bookman Old Style"/>
        <w:i/>
        <w:sz w:val="20"/>
      </w:rPr>
      <w:fldChar w:fldCharType="end"/>
    </w:r>
    <w:r w:rsidRPr="002E1DB7">
      <w:rPr>
        <w:rFonts w:ascii="Bookman Old Style" w:hAnsi="Bookman Old Style"/>
        <w:i/>
        <w:sz w:val="20"/>
      </w:rPr>
      <w:t xml:space="preserve"> de </w:t>
    </w:r>
    <w:r w:rsidR="00AD050D" w:rsidRPr="002E1DB7">
      <w:rPr>
        <w:rFonts w:ascii="Bookman Old Style" w:hAnsi="Bookman Old Style"/>
        <w:i/>
        <w:sz w:val="20"/>
      </w:rPr>
      <w:fldChar w:fldCharType="begin"/>
    </w:r>
    <w:r w:rsidRPr="002E1DB7">
      <w:rPr>
        <w:rFonts w:ascii="Bookman Old Style" w:hAnsi="Bookman Old Style"/>
        <w:i/>
        <w:sz w:val="20"/>
      </w:rPr>
      <w:instrText xml:space="preserve"> NUMPAGES </w:instrText>
    </w:r>
    <w:r w:rsidR="00AD050D" w:rsidRPr="002E1DB7">
      <w:rPr>
        <w:rFonts w:ascii="Bookman Old Style" w:hAnsi="Bookman Old Style"/>
        <w:i/>
        <w:sz w:val="20"/>
      </w:rPr>
      <w:fldChar w:fldCharType="separate"/>
    </w:r>
    <w:r w:rsidR="00DC11CD">
      <w:rPr>
        <w:rFonts w:ascii="Bookman Old Style" w:hAnsi="Bookman Old Style"/>
        <w:i/>
        <w:noProof/>
        <w:sz w:val="20"/>
      </w:rPr>
      <w:t>7</w:t>
    </w:r>
    <w:r w:rsidR="00AD050D" w:rsidRPr="002E1DB7">
      <w:rPr>
        <w:rFonts w:ascii="Bookman Old Style" w:hAnsi="Bookman Old Style"/>
        <w:i/>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6F22" w:rsidRDefault="00986F22" w:rsidP="00D137B7">
      <w:r>
        <w:separator/>
      </w:r>
    </w:p>
  </w:footnote>
  <w:footnote w:type="continuationSeparator" w:id="1">
    <w:p w:rsidR="00986F22" w:rsidRDefault="00986F22" w:rsidP="00D137B7">
      <w:r>
        <w:continuationSeparator/>
      </w:r>
    </w:p>
  </w:footnote>
  <w:footnote w:id="2">
    <w:p w:rsidR="00986F22" w:rsidRPr="00C8432A" w:rsidRDefault="00986F22" w:rsidP="00D137B7">
      <w:pPr>
        <w:pStyle w:val="Textonotapie"/>
        <w:ind w:left="180" w:hanging="180"/>
        <w:jc w:val="both"/>
        <w:rPr>
          <w:rFonts w:ascii="Bookman Old Style" w:hAnsi="Bookman Old Style" w:cs="Tahoma"/>
          <w:i/>
          <w:sz w:val="18"/>
          <w:szCs w:val="18"/>
          <w:lang w:val="es-PE"/>
        </w:rPr>
      </w:pPr>
      <w:r w:rsidRPr="00C8432A">
        <w:rPr>
          <w:rStyle w:val="Refdenotaalpie"/>
          <w:rFonts w:ascii="Bookman Old Style" w:hAnsi="Bookman Old Style"/>
          <w:i/>
          <w:sz w:val="18"/>
          <w:szCs w:val="18"/>
        </w:rPr>
        <w:footnoteRef/>
      </w:r>
      <w:r w:rsidRPr="00C8432A">
        <w:rPr>
          <w:rFonts w:ascii="Bookman Old Style" w:hAnsi="Bookman Old Style"/>
          <w:i/>
          <w:sz w:val="18"/>
          <w:szCs w:val="18"/>
        </w:rPr>
        <w:t xml:space="preserve"> </w:t>
      </w:r>
      <w:r w:rsidRPr="00C8432A">
        <w:rPr>
          <w:rFonts w:ascii="Bookman Old Style" w:hAnsi="Bookman Old Style" w:cs="Tahoma"/>
          <w:b/>
          <w:i/>
          <w:sz w:val="18"/>
          <w:szCs w:val="18"/>
        </w:rPr>
        <w:t>“</w:t>
      </w:r>
      <w:r w:rsidRPr="00C8432A">
        <w:rPr>
          <w:rFonts w:ascii="Bookman Old Style" w:hAnsi="Bookman Old Style" w:cs="Tahoma"/>
          <w:b/>
          <w:i/>
          <w:sz w:val="18"/>
          <w:szCs w:val="18"/>
          <w:lang w:val="es-PE"/>
        </w:rPr>
        <w:t>Artículo 205.- Causales de imposición de sanción a los proveedores, postores y contratistas.-</w:t>
      </w:r>
      <w:r w:rsidRPr="00C8432A">
        <w:rPr>
          <w:rFonts w:ascii="Bookman Old Style" w:hAnsi="Bookman Old Style" w:cs="Tahoma"/>
          <w:i/>
          <w:sz w:val="18"/>
          <w:szCs w:val="18"/>
          <w:lang w:val="es-PE"/>
        </w:rPr>
        <w:t xml:space="preserve"> El Tribunal impondrá la sanción administrativa de suspensión o inhabilitación a los proveedores, postores y/o contratistas que:</w:t>
      </w:r>
    </w:p>
    <w:p w:rsidR="00986F22" w:rsidRPr="00C8432A" w:rsidRDefault="00986F22" w:rsidP="00D137B7">
      <w:pPr>
        <w:pStyle w:val="Textonotapie"/>
        <w:ind w:left="180"/>
        <w:jc w:val="both"/>
        <w:rPr>
          <w:rFonts w:ascii="Bookman Old Style" w:hAnsi="Bookman Old Style" w:cs="Tahoma"/>
          <w:i/>
          <w:sz w:val="18"/>
          <w:szCs w:val="18"/>
          <w:lang w:val="es-PE"/>
        </w:rPr>
      </w:pPr>
      <w:r w:rsidRPr="00C8432A">
        <w:rPr>
          <w:rFonts w:ascii="Bookman Old Style" w:hAnsi="Bookman Old Style" w:cs="Tahoma"/>
          <w:i/>
          <w:sz w:val="18"/>
          <w:szCs w:val="18"/>
          <w:lang w:val="es-PE"/>
        </w:rPr>
        <w:t>(…)</w:t>
      </w:r>
    </w:p>
    <w:p w:rsidR="00986F22" w:rsidRPr="00C8432A" w:rsidRDefault="00986F22" w:rsidP="00D137B7">
      <w:pPr>
        <w:pStyle w:val="Textonotapie"/>
        <w:ind w:left="180"/>
        <w:jc w:val="both"/>
        <w:rPr>
          <w:rFonts w:ascii="Bookman Old Style" w:hAnsi="Bookman Old Style" w:cs="Tahoma"/>
          <w:i/>
          <w:sz w:val="18"/>
          <w:szCs w:val="18"/>
          <w:lang w:val="es-PE"/>
        </w:rPr>
      </w:pPr>
      <w:r w:rsidRPr="00C8432A">
        <w:rPr>
          <w:rFonts w:ascii="Bookman Old Style" w:hAnsi="Bookman Old Style" w:cs="Tahoma"/>
          <w:i/>
          <w:sz w:val="18"/>
          <w:szCs w:val="18"/>
          <w:lang w:val="es-PE"/>
        </w:rPr>
        <w:t>a) No mantengan su oferta hasta el otorgamiento de la Buena Pro y, de resultar ganador, hasta la suscripción del contrato; no suscriban injustificadamente el contrato o no cumplan la orden de compra o servicios emitida a su favor.</w:t>
      </w:r>
    </w:p>
    <w:p w:rsidR="00986F22" w:rsidRPr="00C8432A" w:rsidRDefault="00986F22" w:rsidP="00D137B7">
      <w:pPr>
        <w:pStyle w:val="Textonotapie"/>
        <w:ind w:left="180"/>
        <w:jc w:val="both"/>
        <w:rPr>
          <w:rFonts w:ascii="Bookman Old Style" w:hAnsi="Bookman Old Style" w:cs="Tahoma"/>
          <w:i/>
          <w:sz w:val="18"/>
          <w:szCs w:val="18"/>
          <w:lang w:val="es-PE"/>
        </w:rPr>
      </w:pPr>
      <w:r w:rsidRPr="00C8432A">
        <w:rPr>
          <w:rFonts w:ascii="Bookman Old Style" w:hAnsi="Bookman Old Style" w:cs="Tahoma"/>
          <w:i/>
          <w:sz w:val="18"/>
          <w:szCs w:val="18"/>
          <w:lang w:val="es-PE"/>
        </w:rPr>
        <w:t>(…)”</w:t>
      </w:r>
    </w:p>
  </w:footnote>
  <w:footnote w:id="3">
    <w:p w:rsidR="00986F22" w:rsidRPr="00C8432A" w:rsidRDefault="00986F22" w:rsidP="00D137B7">
      <w:pPr>
        <w:pStyle w:val="Textonotapie"/>
        <w:ind w:left="180" w:hanging="180"/>
        <w:jc w:val="both"/>
        <w:rPr>
          <w:rFonts w:ascii="Bookman Old Style" w:hAnsi="Bookman Old Style"/>
          <w:i/>
          <w:sz w:val="18"/>
          <w:szCs w:val="18"/>
        </w:rPr>
      </w:pPr>
      <w:r w:rsidRPr="00C8432A">
        <w:rPr>
          <w:rStyle w:val="Refdenotaalpie"/>
          <w:rFonts w:ascii="Bookman Old Style" w:hAnsi="Bookman Old Style" w:cs="Tahoma"/>
          <w:i/>
          <w:sz w:val="18"/>
          <w:szCs w:val="18"/>
        </w:rPr>
        <w:footnoteRef/>
      </w:r>
      <w:r w:rsidRPr="00C8432A">
        <w:rPr>
          <w:rFonts w:ascii="Bookman Old Style" w:hAnsi="Bookman Old Style" w:cs="Tahoma"/>
          <w:i/>
          <w:sz w:val="18"/>
          <w:szCs w:val="18"/>
        </w:rPr>
        <w:t xml:space="preserve"> </w:t>
      </w:r>
      <w:r w:rsidRPr="00C8432A">
        <w:rPr>
          <w:rFonts w:ascii="Bookman Old Style" w:hAnsi="Bookman Old Style" w:cs="Tahoma"/>
          <w:i/>
          <w:sz w:val="18"/>
          <w:szCs w:val="18"/>
        </w:rPr>
        <w:tab/>
        <w:t>Sobre el particular, el artículo 2 de la Ley N</w:t>
      </w:r>
      <w:proofErr w:type="gramStart"/>
      <w:r w:rsidRPr="00C8432A">
        <w:rPr>
          <w:rFonts w:ascii="Bookman Old Style" w:hAnsi="Bookman Old Style" w:cs="Tahoma"/>
          <w:i/>
          <w:sz w:val="18"/>
          <w:szCs w:val="18"/>
        </w:rPr>
        <w:t>.º</w:t>
      </w:r>
      <w:proofErr w:type="gramEnd"/>
      <w:r w:rsidRPr="00C8432A">
        <w:rPr>
          <w:rFonts w:ascii="Bookman Old Style" w:hAnsi="Bookman Old Style" w:cs="Tahoma"/>
          <w:i/>
          <w:sz w:val="18"/>
          <w:szCs w:val="18"/>
        </w:rPr>
        <w:t xml:space="preserve"> 28267 establece que los actos iniciados con anterioridad a su entrada en vigor se rigen según las normas vigentes al momento de su celebración. Asimismo, el  numeral 5 del artículo 230 de la Ley del Procedimiento Administrativo General- Ley </w:t>
      </w:r>
      <w:r w:rsidRPr="00C8432A">
        <w:rPr>
          <w:rFonts w:ascii="Bookman Old Style" w:hAnsi="Bookman Old Style" w:cs="Tahoma"/>
          <w:i/>
          <w:sz w:val="18"/>
          <w:szCs w:val="18"/>
          <w:lang w:val="es-PE"/>
        </w:rPr>
        <w:t xml:space="preserve">N.º </w:t>
      </w:r>
      <w:r w:rsidRPr="00C8432A">
        <w:rPr>
          <w:rFonts w:ascii="Bookman Old Style" w:hAnsi="Bookman Old Style" w:cs="Tahoma"/>
          <w:i/>
          <w:sz w:val="18"/>
          <w:szCs w:val="18"/>
        </w:rPr>
        <w:t xml:space="preserve">27444, consagra el Principio de Irretroactividad de la potestad sancionadora administrativa, según el cual son aplicables las disposiciones sancionadoras vigentes en el momento de incurrir el administrado en la conducta a sancionar, salvo que las posteriores le </w:t>
      </w:r>
      <w:r w:rsidRPr="00C8432A">
        <w:rPr>
          <w:rFonts w:ascii="Bookman Old Style" w:hAnsi="Bookman Old Style"/>
          <w:i/>
          <w:sz w:val="18"/>
          <w:szCs w:val="18"/>
        </w:rPr>
        <w:t xml:space="preserve">sean más favorables. </w:t>
      </w:r>
    </w:p>
  </w:footnote>
  <w:footnote w:id="4">
    <w:p w:rsidR="00986F22" w:rsidRPr="00C8432A" w:rsidRDefault="00986F22" w:rsidP="00D137B7">
      <w:pPr>
        <w:pStyle w:val="Textonotapie"/>
        <w:tabs>
          <w:tab w:val="left" w:pos="180"/>
        </w:tabs>
        <w:ind w:left="180" w:hanging="180"/>
        <w:jc w:val="both"/>
        <w:rPr>
          <w:rFonts w:ascii="Bookman Old Style" w:hAnsi="Bookman Old Style"/>
          <w:i/>
          <w:sz w:val="18"/>
          <w:szCs w:val="18"/>
          <w:lang w:val="es-ES_tradnl"/>
        </w:rPr>
      </w:pPr>
      <w:r w:rsidRPr="00C8432A">
        <w:rPr>
          <w:rStyle w:val="Refdenotaalpie"/>
          <w:rFonts w:ascii="Bookman Old Style" w:hAnsi="Bookman Old Style"/>
          <w:i/>
          <w:sz w:val="18"/>
          <w:szCs w:val="18"/>
        </w:rPr>
        <w:footnoteRef/>
      </w:r>
      <w:r w:rsidRPr="00C8432A">
        <w:rPr>
          <w:rFonts w:ascii="Bookman Old Style" w:hAnsi="Bookman Old Style"/>
          <w:i/>
          <w:sz w:val="18"/>
          <w:szCs w:val="18"/>
        </w:rPr>
        <w:t xml:space="preserve"> </w:t>
      </w:r>
      <w:r w:rsidRPr="00C8432A">
        <w:rPr>
          <w:rFonts w:ascii="Bookman Old Style" w:hAnsi="Bookman Old Style"/>
          <w:i/>
          <w:sz w:val="18"/>
          <w:szCs w:val="18"/>
        </w:rPr>
        <w:tab/>
        <w:t xml:space="preserve">El referido literal señala: “a) No mantengan su oferta hasta el otorgamiento de </w:t>
      </w:r>
      <w:smartTag w:uri="urn:schemas-microsoft-com:office:smarttags" w:element="PersonName">
        <w:smartTagPr>
          <w:attr w:name="ProductID" w:val="la Buena Pro"/>
        </w:smartTagPr>
        <w:r w:rsidRPr="00C8432A">
          <w:rPr>
            <w:rFonts w:ascii="Bookman Old Style" w:hAnsi="Bookman Old Style"/>
            <w:i/>
            <w:sz w:val="18"/>
            <w:szCs w:val="18"/>
          </w:rPr>
          <w:t>la Buena Pro</w:t>
        </w:r>
      </w:smartTag>
      <w:r w:rsidRPr="00C8432A">
        <w:rPr>
          <w:rFonts w:ascii="Bookman Old Style" w:hAnsi="Bookman Old Style"/>
          <w:i/>
          <w:sz w:val="18"/>
          <w:szCs w:val="18"/>
        </w:rPr>
        <w:t xml:space="preserve"> y, de resultar ganadores, hasta la suscripción del contrato (…)”</w:t>
      </w:r>
    </w:p>
  </w:footnote>
  <w:footnote w:id="5">
    <w:p w:rsidR="00986F22" w:rsidRPr="007F70D9" w:rsidRDefault="00986F22" w:rsidP="00D137B7">
      <w:pPr>
        <w:pStyle w:val="Textonotapie"/>
        <w:ind w:left="180" w:hanging="180"/>
        <w:rPr>
          <w:i/>
          <w:sz w:val="18"/>
          <w:szCs w:val="18"/>
        </w:rPr>
      </w:pPr>
      <w:r w:rsidRPr="007F70D9">
        <w:rPr>
          <w:rStyle w:val="Refdenotaalpie"/>
          <w:i/>
          <w:sz w:val="18"/>
          <w:szCs w:val="18"/>
        </w:rPr>
        <w:footnoteRef/>
      </w:r>
      <w:r w:rsidRPr="007F70D9">
        <w:rPr>
          <w:i/>
          <w:sz w:val="18"/>
          <w:szCs w:val="18"/>
        </w:rPr>
        <w:t xml:space="preserve"> </w:t>
      </w:r>
      <w:r>
        <w:rPr>
          <w:i/>
          <w:sz w:val="18"/>
          <w:szCs w:val="18"/>
        </w:rPr>
        <w:tab/>
      </w:r>
      <w:r w:rsidRPr="007F70D9">
        <w:rPr>
          <w:rFonts w:ascii="Bookman Old Style" w:hAnsi="Bookman Old Style"/>
          <w:i/>
          <w:sz w:val="18"/>
          <w:szCs w:val="18"/>
        </w:rPr>
        <w:t>Documento obrante a fojas 0</w:t>
      </w:r>
      <w:r>
        <w:rPr>
          <w:rFonts w:ascii="Bookman Old Style" w:hAnsi="Bookman Old Style"/>
          <w:i/>
          <w:sz w:val="18"/>
          <w:szCs w:val="18"/>
        </w:rPr>
        <w:t>56</w:t>
      </w:r>
      <w:r w:rsidRPr="007F70D9">
        <w:rPr>
          <w:rFonts w:ascii="Bookman Old Style" w:hAnsi="Bookman Old Style"/>
          <w:i/>
          <w:sz w:val="18"/>
          <w:szCs w:val="18"/>
        </w:rPr>
        <w:t xml:space="preserve"> del Expediente Administrativo.</w:t>
      </w:r>
    </w:p>
  </w:footnote>
  <w:footnote w:id="6">
    <w:p w:rsidR="00986F22" w:rsidRPr="00C8432A" w:rsidRDefault="00986F22" w:rsidP="00D137B7">
      <w:pPr>
        <w:pStyle w:val="Textonotapie"/>
        <w:tabs>
          <w:tab w:val="left" w:pos="180"/>
        </w:tabs>
        <w:ind w:left="180" w:hanging="180"/>
        <w:jc w:val="both"/>
        <w:rPr>
          <w:rFonts w:ascii="Bookman Old Style" w:hAnsi="Bookman Old Style"/>
          <w:i/>
          <w:sz w:val="18"/>
          <w:szCs w:val="18"/>
        </w:rPr>
      </w:pPr>
      <w:r w:rsidRPr="00C8432A">
        <w:rPr>
          <w:rStyle w:val="Refdenotaalpie"/>
          <w:rFonts w:ascii="Bookman Old Style" w:hAnsi="Bookman Old Style"/>
          <w:i/>
          <w:sz w:val="18"/>
          <w:szCs w:val="18"/>
        </w:rPr>
        <w:footnoteRef/>
      </w:r>
      <w:r w:rsidRPr="00C8432A">
        <w:rPr>
          <w:rFonts w:ascii="Bookman Old Style" w:hAnsi="Bookman Old Style"/>
          <w:i/>
          <w:sz w:val="18"/>
          <w:szCs w:val="18"/>
        </w:rPr>
        <w:t xml:space="preserve"> </w:t>
      </w:r>
      <w:r w:rsidRPr="00C8432A">
        <w:rPr>
          <w:rFonts w:ascii="Bookman Old Style" w:hAnsi="Bookman Old Style"/>
          <w:i/>
          <w:sz w:val="18"/>
          <w:szCs w:val="18"/>
        </w:rPr>
        <w:tab/>
      </w:r>
      <w:proofErr w:type="spellStart"/>
      <w:r w:rsidRPr="00C8432A">
        <w:rPr>
          <w:rFonts w:ascii="Bookman Old Style" w:hAnsi="Bookman Old Style"/>
          <w:i/>
          <w:sz w:val="18"/>
          <w:szCs w:val="18"/>
        </w:rPr>
        <w:t>Marienhoff</w:t>
      </w:r>
      <w:proofErr w:type="spellEnd"/>
      <w:r w:rsidRPr="00C8432A">
        <w:rPr>
          <w:rFonts w:ascii="Bookman Old Style" w:hAnsi="Bookman Old Style"/>
          <w:i/>
          <w:sz w:val="18"/>
          <w:szCs w:val="18"/>
        </w:rPr>
        <w:t>, Miguel. Tratado de Derecho Administrativo. Tomo III-A, p. 230.  Citado por: Palacio Hincapié, Juan Ángel. La contratación de las Entidades Estatales, p. 168.</w:t>
      </w:r>
    </w:p>
  </w:footnote>
  <w:footnote w:id="7">
    <w:p w:rsidR="00986F22" w:rsidRPr="00C8432A" w:rsidRDefault="00986F22" w:rsidP="00D137B7">
      <w:pPr>
        <w:pStyle w:val="Textonotapie"/>
        <w:tabs>
          <w:tab w:val="left" w:pos="180"/>
        </w:tabs>
        <w:ind w:left="180" w:hanging="180"/>
        <w:jc w:val="both"/>
        <w:rPr>
          <w:rFonts w:ascii="Bookman Old Style" w:hAnsi="Bookman Old Style"/>
          <w:i/>
          <w:sz w:val="18"/>
          <w:szCs w:val="18"/>
        </w:rPr>
      </w:pPr>
      <w:r w:rsidRPr="00C8432A">
        <w:rPr>
          <w:rStyle w:val="Refdenotaalpie"/>
          <w:rFonts w:ascii="Bookman Old Style" w:hAnsi="Bookman Old Style"/>
          <w:i/>
          <w:sz w:val="18"/>
          <w:szCs w:val="18"/>
        </w:rPr>
        <w:footnoteRef/>
      </w:r>
      <w:r w:rsidRPr="00C8432A">
        <w:rPr>
          <w:rFonts w:ascii="Bookman Old Style" w:hAnsi="Bookman Old Style"/>
          <w:i/>
          <w:sz w:val="18"/>
          <w:szCs w:val="18"/>
        </w:rPr>
        <w:t xml:space="preserve"> </w:t>
      </w:r>
      <w:r w:rsidRPr="00C8432A">
        <w:rPr>
          <w:rFonts w:ascii="Bookman Old Style" w:hAnsi="Bookman Old Style"/>
          <w:i/>
          <w:sz w:val="18"/>
          <w:szCs w:val="18"/>
        </w:rPr>
        <w:tab/>
        <w:t>Documento obrante a fojas 071 del Expediente Administrativo.</w:t>
      </w:r>
    </w:p>
  </w:footnote>
  <w:footnote w:id="8">
    <w:p w:rsidR="00986F22" w:rsidRPr="00F868A0" w:rsidRDefault="00986F22" w:rsidP="00D137B7">
      <w:pPr>
        <w:pStyle w:val="Textonotapie"/>
        <w:tabs>
          <w:tab w:val="left" w:pos="360"/>
        </w:tabs>
        <w:ind w:left="180" w:hanging="180"/>
        <w:jc w:val="both"/>
        <w:rPr>
          <w:rFonts w:ascii="Bookman Old Style" w:hAnsi="Bookman Old Style"/>
          <w:i/>
          <w:sz w:val="18"/>
          <w:szCs w:val="18"/>
        </w:rPr>
      </w:pPr>
      <w:r w:rsidRPr="00F868A0">
        <w:rPr>
          <w:rStyle w:val="Refdenotaalpie"/>
          <w:rFonts w:ascii="Bookman Old Style" w:hAnsi="Bookman Old Style"/>
          <w:i/>
          <w:sz w:val="18"/>
          <w:szCs w:val="18"/>
        </w:rPr>
        <w:footnoteRef/>
      </w:r>
      <w:r w:rsidRPr="00F868A0">
        <w:rPr>
          <w:rFonts w:ascii="Bookman Old Style" w:hAnsi="Bookman Old Style"/>
          <w:i/>
          <w:sz w:val="18"/>
          <w:szCs w:val="18"/>
        </w:rPr>
        <w:t xml:space="preserve">  “</w:t>
      </w:r>
      <w:r w:rsidRPr="00F868A0">
        <w:rPr>
          <w:rFonts w:ascii="Bookman Old Style" w:hAnsi="Bookman Old Style"/>
          <w:b/>
          <w:i/>
          <w:sz w:val="18"/>
          <w:szCs w:val="18"/>
        </w:rPr>
        <w:t>Artículo 230.- Principios de la potestad sancionadora</w:t>
      </w:r>
    </w:p>
    <w:p w:rsidR="00986F22" w:rsidRPr="00F868A0" w:rsidRDefault="00986F22" w:rsidP="00D137B7">
      <w:pPr>
        <w:pStyle w:val="Textonotapie"/>
        <w:tabs>
          <w:tab w:val="left" w:pos="360"/>
        </w:tabs>
        <w:ind w:left="180" w:hanging="180"/>
        <w:jc w:val="both"/>
        <w:rPr>
          <w:rFonts w:ascii="Bookman Old Style" w:hAnsi="Bookman Old Style"/>
          <w:i/>
          <w:sz w:val="18"/>
          <w:szCs w:val="18"/>
        </w:rPr>
      </w:pPr>
      <w:r w:rsidRPr="00F868A0">
        <w:rPr>
          <w:rFonts w:ascii="Bookman Old Style" w:hAnsi="Bookman Old Style"/>
          <w:i/>
          <w:sz w:val="18"/>
          <w:szCs w:val="18"/>
        </w:rPr>
        <w:tab/>
        <w:t>(…)</w:t>
      </w:r>
    </w:p>
    <w:p w:rsidR="00986F22" w:rsidRPr="00F868A0" w:rsidRDefault="00986F22" w:rsidP="00D137B7">
      <w:pPr>
        <w:pStyle w:val="Textonotapie"/>
        <w:tabs>
          <w:tab w:val="left" w:pos="360"/>
        </w:tabs>
        <w:ind w:left="180" w:hanging="180"/>
        <w:jc w:val="both"/>
        <w:rPr>
          <w:rFonts w:ascii="Bookman Old Style" w:hAnsi="Bookman Old Style"/>
          <w:i/>
          <w:sz w:val="18"/>
          <w:szCs w:val="18"/>
        </w:rPr>
      </w:pPr>
      <w:r w:rsidRPr="00F868A0">
        <w:rPr>
          <w:rFonts w:ascii="Bookman Old Style" w:hAnsi="Bookman Old Style"/>
          <w:b/>
          <w:i/>
          <w:sz w:val="18"/>
          <w:szCs w:val="18"/>
        </w:rPr>
        <w:tab/>
        <w:t>3. Razonabilidad</w:t>
      </w:r>
      <w:r w:rsidRPr="00F868A0">
        <w:rPr>
          <w:rFonts w:ascii="Bookman Old Style" w:hAnsi="Bookman Old Style"/>
          <w:i/>
          <w:sz w:val="18"/>
          <w:szCs w:val="18"/>
        </w:rPr>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986F22" w:rsidRPr="00F868A0" w:rsidRDefault="00986F22" w:rsidP="00D137B7">
      <w:pPr>
        <w:pStyle w:val="Textonotapie"/>
        <w:tabs>
          <w:tab w:val="left" w:pos="360"/>
        </w:tabs>
        <w:ind w:left="180" w:hanging="180"/>
        <w:jc w:val="both"/>
        <w:rPr>
          <w:rFonts w:ascii="Bookman Old Style" w:hAnsi="Bookman Old Style"/>
          <w:i/>
          <w:sz w:val="18"/>
          <w:szCs w:val="18"/>
        </w:rPr>
      </w:pPr>
      <w:r w:rsidRPr="00F868A0">
        <w:rPr>
          <w:rFonts w:ascii="Bookman Old Style" w:hAnsi="Bookman Old Style"/>
          <w:i/>
          <w:sz w:val="18"/>
          <w:szCs w:val="18"/>
        </w:rPr>
        <w:tab/>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24358"/>
    <w:multiLevelType w:val="hybridMultilevel"/>
    <w:tmpl w:val="38627852"/>
    <w:lvl w:ilvl="0" w:tplc="593EFBF6">
      <w:start w:val="1"/>
      <w:numFmt w:val="decimal"/>
      <w:lvlText w:val="%1."/>
      <w:lvlJc w:val="left"/>
      <w:pPr>
        <w:tabs>
          <w:tab w:val="num" w:pos="720"/>
        </w:tabs>
        <w:ind w:left="720" w:hanging="360"/>
      </w:pPr>
      <w:rPr>
        <w:rFonts w:hint="default"/>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D89661A"/>
    <w:multiLevelType w:val="hybridMultilevel"/>
    <w:tmpl w:val="D00285BC"/>
    <w:lvl w:ilvl="0" w:tplc="1F74F778">
      <w:start w:val="1"/>
      <w:numFmt w:val="decimal"/>
      <w:lvlText w:val="%1."/>
      <w:lvlJc w:val="left"/>
      <w:pPr>
        <w:tabs>
          <w:tab w:val="num" w:pos="454"/>
        </w:tabs>
        <w:ind w:left="454" w:hanging="454"/>
      </w:pPr>
      <w:rPr>
        <w:rFonts w:ascii="Arial Narrow" w:hAnsi="Arial Narrow" w:hint="default"/>
        <w:b/>
        <w:i w:val="0"/>
        <w:shadow w:val="0"/>
        <w:emboss w:val="0"/>
        <w:imprint w:val="0"/>
        <w:color w:val="auto"/>
        <w:sz w:val="24"/>
        <w:szCs w:val="24"/>
        <w:u w:color="FFFFFF"/>
        <w:effect w:val="none"/>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F2C29E6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31D60A9"/>
    <w:multiLevelType w:val="hybridMultilevel"/>
    <w:tmpl w:val="C5D65FC6"/>
    <w:lvl w:ilvl="0" w:tplc="AAC2829A">
      <w:start w:val="1"/>
      <w:numFmt w:val="decimal"/>
      <w:lvlText w:val="%1."/>
      <w:lvlJc w:val="left"/>
      <w:pPr>
        <w:tabs>
          <w:tab w:val="num" w:pos="720"/>
        </w:tabs>
        <w:ind w:left="720" w:hanging="360"/>
      </w:pPr>
      <w:rPr>
        <w:rFonts w:hint="default"/>
        <w:b/>
      </w:rPr>
    </w:lvl>
    <w:lvl w:ilvl="1" w:tplc="64268118">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lowerRoman"/>
      <w:lvlText w:val="%3."/>
      <w:lvlJc w:val="right"/>
      <w:pPr>
        <w:tabs>
          <w:tab w:val="num" w:pos="2160"/>
        </w:tabs>
        <w:ind w:left="2160" w:hanging="180"/>
      </w:pPr>
    </w:lvl>
    <w:lvl w:ilvl="3" w:tplc="852EDCEC">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21184FFD"/>
    <w:multiLevelType w:val="singleLevel"/>
    <w:tmpl w:val="5510ABD8"/>
    <w:lvl w:ilvl="0">
      <w:start w:val="1"/>
      <w:numFmt w:val="decimal"/>
      <w:lvlText w:val="%1."/>
      <w:lvlJc w:val="left"/>
      <w:pPr>
        <w:tabs>
          <w:tab w:val="num" w:pos="360"/>
        </w:tabs>
        <w:ind w:left="360" w:hanging="360"/>
      </w:pPr>
      <w:rPr>
        <w:b/>
      </w:rPr>
    </w:lvl>
  </w:abstractNum>
  <w:abstractNum w:abstractNumId="4">
    <w:nsid w:val="2FF876B2"/>
    <w:multiLevelType w:val="hybridMultilevel"/>
    <w:tmpl w:val="6E809AD6"/>
    <w:lvl w:ilvl="0" w:tplc="B3EC0C9C">
      <w:start w:val="1"/>
      <w:numFmt w:val="decimal"/>
      <w:lvlText w:val="%1."/>
      <w:lvlJc w:val="left"/>
      <w:pPr>
        <w:tabs>
          <w:tab w:val="num" w:pos="454"/>
        </w:tabs>
        <w:ind w:left="454" w:hanging="454"/>
      </w:pPr>
      <w:rPr>
        <w:rFonts w:ascii="Tahoma" w:hAnsi="Tahoma" w:cs="Tahoma" w:hint="default"/>
        <w:b/>
        <w:i w:val="0"/>
        <w:shadow w:val="0"/>
        <w:sz w:val="20"/>
        <w:szCs w:val="20"/>
        <w:u w:color="FFFFFF"/>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77972D51"/>
    <w:multiLevelType w:val="hybridMultilevel"/>
    <w:tmpl w:val="56A42ABA"/>
    <w:lvl w:ilvl="0" w:tplc="59D24F50">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4"/>
  </w:num>
  <w:num w:numId="4">
    <w:abstractNumId w:val="1"/>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D137B7"/>
    <w:rsid w:val="00132621"/>
    <w:rsid w:val="00654324"/>
    <w:rsid w:val="007366DC"/>
    <w:rsid w:val="00986F22"/>
    <w:rsid w:val="00AB0E85"/>
    <w:rsid w:val="00AD050D"/>
    <w:rsid w:val="00CB3797"/>
    <w:rsid w:val="00D137B7"/>
    <w:rsid w:val="00DC11CD"/>
    <w:rsid w:val="00DC58D4"/>
    <w:rsid w:val="00E10D44"/>
    <w:rsid w:val="00ED3295"/>
    <w:rsid w:val="00F96A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7B7"/>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D137B7"/>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D137B7"/>
    <w:rPr>
      <w:rFonts w:ascii="Times New Roman" w:eastAsia="Times New Roman" w:hAnsi="Times New Roman" w:cs="Times New Roman"/>
      <w:sz w:val="24"/>
      <w:szCs w:val="20"/>
      <w:lang w:val="es-ES_tradnl" w:eastAsia="es-ES"/>
    </w:rPr>
  </w:style>
  <w:style w:type="paragraph" w:styleId="Textoindependiente">
    <w:name w:val="Body Text"/>
    <w:basedOn w:val="Normal"/>
    <w:link w:val="TextoindependienteCar"/>
    <w:rsid w:val="00D137B7"/>
    <w:pPr>
      <w:jc w:val="both"/>
    </w:pPr>
    <w:rPr>
      <w:rFonts w:ascii="Arial" w:hAnsi="Arial"/>
      <w:sz w:val="24"/>
      <w:lang w:val="es-PE"/>
    </w:rPr>
  </w:style>
  <w:style w:type="character" w:customStyle="1" w:styleId="TextoindependienteCar">
    <w:name w:val="Texto independiente Car"/>
    <w:basedOn w:val="Fuentedeprrafopredeter"/>
    <w:link w:val="Textoindependiente"/>
    <w:rsid w:val="00D137B7"/>
    <w:rPr>
      <w:rFonts w:ascii="Arial" w:eastAsia="Times New Roman" w:hAnsi="Arial" w:cs="Times New Roman"/>
      <w:sz w:val="24"/>
      <w:szCs w:val="20"/>
      <w:lang w:val="es-PE" w:eastAsia="es-ES"/>
    </w:rPr>
  </w:style>
  <w:style w:type="paragraph" w:styleId="Textonotapie">
    <w:name w:val="footnote text"/>
    <w:basedOn w:val="Normal"/>
    <w:link w:val="TextonotapieCar"/>
    <w:semiHidden/>
    <w:rsid w:val="00D137B7"/>
  </w:style>
  <w:style w:type="character" w:customStyle="1" w:styleId="TextonotapieCar">
    <w:name w:val="Texto nota pie Car"/>
    <w:basedOn w:val="Fuentedeprrafopredeter"/>
    <w:link w:val="Textonotapie"/>
    <w:semiHidden/>
    <w:rsid w:val="00D137B7"/>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D137B7"/>
    <w:rPr>
      <w:vertAlign w:val="superscript"/>
    </w:rPr>
  </w:style>
  <w:style w:type="character" w:styleId="Nmerodepgina">
    <w:name w:val="page number"/>
    <w:basedOn w:val="Fuentedeprrafopredeter"/>
    <w:rsid w:val="00D137B7"/>
  </w:style>
</w:styles>
</file>

<file path=word/webSettings.xml><?xml version="1.0" encoding="utf-8"?>
<w:webSettings xmlns:r="http://schemas.openxmlformats.org/officeDocument/2006/relationships" xmlns:w="http://schemas.openxmlformats.org/wordprocessingml/2006/main">
  <w:divs>
    <w:div w:id="96778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2310</Words>
  <Characters>12709</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1996-2007/TC-S3</dc:title>
  <dc:subject>APLICACIÓN DE SANCION</dc:subject>
  <dc:creator>TRIBUNAL</dc:creator>
  <cp:keywords>NO MANTENGAN SU OFERTA HASTA EL OTORGAMIENTO</cp:keywords>
  <dc:description/>
  <cp:lastModifiedBy>erueda</cp:lastModifiedBy>
  <cp:revision>2</cp:revision>
  <cp:lastPrinted>2007-11-20T21:14:00Z</cp:lastPrinted>
  <dcterms:created xsi:type="dcterms:W3CDTF">2007-12-14T15:42:00Z</dcterms:created>
  <dcterms:modified xsi:type="dcterms:W3CDTF">2007-12-14T15:42:00Z</dcterms:modified>
  <cp:category>RESOLUCIÓN - TRIBUNAL</cp:category>
</cp:coreProperties>
</file>