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B03" w:rsidRDefault="00E57B03" w:rsidP="00E57B03">
      <w:pPr>
        <w:tabs>
          <w:tab w:val="left" w:pos="2520"/>
        </w:tabs>
        <w:ind w:left="2520" w:right="765" w:hanging="1102"/>
        <w:jc w:val="both"/>
        <w:rPr>
          <w:rFonts w:ascii="Tahoma" w:hAnsi="Tahoma" w:cs="Tahoma"/>
          <w:b/>
        </w:rPr>
      </w:pPr>
    </w:p>
    <w:p w:rsidR="00A321A9" w:rsidRDefault="001313A3" w:rsidP="00A321A9">
      <w:pPr>
        <w:tabs>
          <w:tab w:val="left" w:pos="2520"/>
        </w:tabs>
        <w:ind w:left="2520" w:right="765" w:hanging="1102"/>
        <w:jc w:val="center"/>
        <w:rPr>
          <w:rFonts w:ascii="Tahoma" w:hAnsi="Tahoma" w:cs="Tahoma"/>
          <w:b/>
          <w:sz w:val="24"/>
          <w:szCs w:val="24"/>
        </w:rPr>
      </w:pPr>
      <w:r>
        <w:rPr>
          <w:rFonts w:ascii="Tahoma" w:hAnsi="Tahoma" w:cs="Tahoma"/>
          <w:b/>
          <w:sz w:val="24"/>
          <w:szCs w:val="24"/>
        </w:rPr>
        <w:t>Resolución N</w:t>
      </w:r>
      <w:proofErr w:type="gramStart"/>
      <w:r>
        <w:rPr>
          <w:rFonts w:ascii="Tahoma" w:hAnsi="Tahoma" w:cs="Tahoma"/>
          <w:b/>
          <w:sz w:val="24"/>
          <w:szCs w:val="24"/>
        </w:rPr>
        <w:t>.º</w:t>
      </w:r>
      <w:proofErr w:type="gramEnd"/>
      <w:r>
        <w:rPr>
          <w:rFonts w:ascii="Tahoma" w:hAnsi="Tahoma" w:cs="Tahoma"/>
          <w:b/>
          <w:sz w:val="24"/>
          <w:szCs w:val="24"/>
        </w:rPr>
        <w:t xml:space="preserve"> 1995</w:t>
      </w:r>
      <w:r w:rsidR="00A321A9">
        <w:rPr>
          <w:rFonts w:ascii="Tahoma" w:hAnsi="Tahoma" w:cs="Tahoma"/>
          <w:b/>
          <w:sz w:val="24"/>
          <w:szCs w:val="24"/>
        </w:rPr>
        <w:t>-2007/TC-S3</w:t>
      </w:r>
    </w:p>
    <w:p w:rsidR="00A321A9" w:rsidRDefault="00A321A9" w:rsidP="00A321A9">
      <w:pPr>
        <w:tabs>
          <w:tab w:val="left" w:pos="2520"/>
        </w:tabs>
        <w:ind w:left="2520" w:right="765" w:hanging="1102"/>
        <w:jc w:val="center"/>
        <w:rPr>
          <w:rFonts w:ascii="Tahoma" w:hAnsi="Tahoma" w:cs="Tahoma"/>
          <w:b/>
        </w:rPr>
      </w:pPr>
    </w:p>
    <w:p w:rsidR="00E57B03" w:rsidRPr="00E57B03" w:rsidRDefault="00E57B03" w:rsidP="00E57B03">
      <w:pPr>
        <w:tabs>
          <w:tab w:val="left" w:pos="2520"/>
        </w:tabs>
        <w:ind w:left="2520" w:right="765" w:hanging="1102"/>
        <w:jc w:val="both"/>
        <w:rPr>
          <w:rFonts w:ascii="Tahoma" w:hAnsi="Tahoma" w:cs="Tahoma"/>
          <w:lang w:val="es-PE"/>
        </w:rPr>
      </w:pPr>
      <w:r w:rsidRPr="00E57B03">
        <w:rPr>
          <w:rFonts w:ascii="Tahoma" w:hAnsi="Tahoma" w:cs="Tahoma"/>
          <w:b/>
        </w:rPr>
        <w:t>Sumilla</w:t>
      </w:r>
      <w:r w:rsidRPr="00E57B03">
        <w:rPr>
          <w:rFonts w:ascii="Tahoma" w:hAnsi="Tahoma" w:cs="Tahoma"/>
        </w:rPr>
        <w:t xml:space="preserve">:  </w:t>
      </w:r>
      <w:r w:rsidRPr="00E57B03">
        <w:rPr>
          <w:rFonts w:ascii="Tahoma" w:hAnsi="Tahoma" w:cs="Tahoma"/>
        </w:rPr>
        <w:tab/>
      </w:r>
      <w:r>
        <w:rPr>
          <w:rFonts w:ascii="Tahoma" w:hAnsi="Tahoma" w:cs="Tahoma"/>
        </w:rPr>
        <w:t>Corresponde d</w:t>
      </w:r>
      <w:r w:rsidRPr="00E57B03">
        <w:rPr>
          <w:rFonts w:ascii="Tahoma" w:hAnsi="Tahoma" w:cs="Tahoma"/>
        </w:rPr>
        <w:t xml:space="preserve">eclarar infundado el recurso de reconsideración interpuesto por la </w:t>
      </w:r>
      <w:proofErr w:type="spellStart"/>
      <w:r w:rsidRPr="00E57B03">
        <w:rPr>
          <w:rFonts w:ascii="Tahoma" w:hAnsi="Tahoma" w:cs="Tahoma"/>
        </w:rPr>
        <w:t>Jolmm’s</w:t>
      </w:r>
      <w:proofErr w:type="spellEnd"/>
      <w:r w:rsidRPr="00E57B03">
        <w:rPr>
          <w:rFonts w:ascii="Tahoma" w:hAnsi="Tahoma" w:cs="Tahoma"/>
        </w:rPr>
        <w:t xml:space="preserve"> </w:t>
      </w:r>
      <w:proofErr w:type="spellStart"/>
      <w:r w:rsidRPr="00E57B03">
        <w:rPr>
          <w:rFonts w:ascii="Tahoma" w:hAnsi="Tahoma" w:cs="Tahoma"/>
        </w:rPr>
        <w:t>Computer</w:t>
      </w:r>
      <w:proofErr w:type="spellEnd"/>
      <w:r w:rsidRPr="00E57B03">
        <w:rPr>
          <w:rFonts w:ascii="Tahoma" w:hAnsi="Tahoma" w:cs="Tahoma"/>
        </w:rPr>
        <w:t xml:space="preserve"> </w:t>
      </w:r>
      <w:proofErr w:type="spellStart"/>
      <w:r w:rsidRPr="00E57B03">
        <w:rPr>
          <w:rFonts w:ascii="Tahoma" w:hAnsi="Tahoma" w:cs="Tahoma"/>
        </w:rPr>
        <w:t>Supplies</w:t>
      </w:r>
      <w:proofErr w:type="spellEnd"/>
      <w:r w:rsidRPr="00E57B03">
        <w:rPr>
          <w:rFonts w:ascii="Tahoma" w:hAnsi="Tahoma" w:cs="Tahoma"/>
        </w:rPr>
        <w:t xml:space="preserve"> &amp; </w:t>
      </w:r>
      <w:proofErr w:type="spellStart"/>
      <w:r w:rsidRPr="00E57B03">
        <w:rPr>
          <w:rFonts w:ascii="Tahoma" w:hAnsi="Tahoma" w:cs="Tahoma"/>
        </w:rPr>
        <w:t>Services</w:t>
      </w:r>
      <w:proofErr w:type="spellEnd"/>
      <w:r w:rsidRPr="00E57B03">
        <w:rPr>
          <w:rFonts w:ascii="Tahoma" w:hAnsi="Tahoma" w:cs="Tahoma"/>
        </w:rPr>
        <w:t xml:space="preserve"> S.A.</w:t>
      </w:r>
    </w:p>
    <w:p w:rsidR="00E57B03" w:rsidRPr="00E57B03" w:rsidRDefault="00E57B03" w:rsidP="00E57B03">
      <w:pPr>
        <w:ind w:left="3540" w:firstLine="708"/>
        <w:jc w:val="center"/>
        <w:rPr>
          <w:rFonts w:ascii="Tahoma" w:hAnsi="Tahoma" w:cs="Tahoma"/>
          <w:lang w:val="es-PE"/>
        </w:rPr>
      </w:pPr>
    </w:p>
    <w:p w:rsidR="00E57B03" w:rsidRPr="00E57B03" w:rsidRDefault="00E57B03" w:rsidP="00E57B03">
      <w:pPr>
        <w:ind w:left="3540" w:firstLine="708"/>
        <w:jc w:val="center"/>
        <w:rPr>
          <w:rFonts w:ascii="Tahoma" w:hAnsi="Tahoma" w:cs="Tahoma"/>
          <w:lang w:val="es-PE"/>
        </w:rPr>
      </w:pPr>
    </w:p>
    <w:p w:rsidR="00E57B03" w:rsidRPr="00E57B03" w:rsidRDefault="00E57B03" w:rsidP="00E57B03">
      <w:pPr>
        <w:ind w:left="3540" w:firstLine="708"/>
        <w:jc w:val="center"/>
        <w:rPr>
          <w:rFonts w:ascii="Tahoma" w:hAnsi="Tahoma" w:cs="Tahoma"/>
          <w:lang w:val="es-PE"/>
        </w:rPr>
      </w:pPr>
      <w:r w:rsidRPr="00E57B03">
        <w:rPr>
          <w:rFonts w:ascii="Tahoma" w:hAnsi="Tahoma" w:cs="Tahoma"/>
          <w:lang w:val="es-PE"/>
        </w:rPr>
        <w:t xml:space="preserve">Lima,   </w:t>
      </w:r>
      <w:r w:rsidR="001313A3">
        <w:rPr>
          <w:rFonts w:ascii="Tahoma" w:hAnsi="Tahoma" w:cs="Tahoma"/>
          <w:lang w:val="es-PE"/>
        </w:rPr>
        <w:t>22 de noviembre de 2007</w:t>
      </w:r>
      <w:r w:rsidRPr="00E57B03">
        <w:rPr>
          <w:rFonts w:ascii="Tahoma" w:hAnsi="Tahoma" w:cs="Tahoma"/>
          <w:lang w:val="es-PE"/>
        </w:rPr>
        <w:t xml:space="preserve">                       </w:t>
      </w:r>
    </w:p>
    <w:p w:rsidR="00E57B03" w:rsidRPr="00E57B03" w:rsidRDefault="00E57B03" w:rsidP="00E57B03">
      <w:pPr>
        <w:ind w:right="-136"/>
        <w:jc w:val="both"/>
        <w:rPr>
          <w:rFonts w:ascii="Tahoma" w:hAnsi="Tahoma" w:cs="Tahoma"/>
          <w:lang w:val="es-PE"/>
        </w:rPr>
      </w:pPr>
    </w:p>
    <w:p w:rsidR="00E57B03" w:rsidRPr="00E57B03" w:rsidRDefault="00E57B03" w:rsidP="00E57B03">
      <w:pPr>
        <w:pStyle w:val="Textoindependiente"/>
        <w:tabs>
          <w:tab w:val="left" w:pos="5400"/>
        </w:tabs>
        <w:rPr>
          <w:rFonts w:ascii="Tahoma" w:hAnsi="Tahoma" w:cs="Tahoma"/>
          <w:sz w:val="20"/>
        </w:rPr>
      </w:pPr>
    </w:p>
    <w:p w:rsidR="00E57B03" w:rsidRPr="00E57B03" w:rsidRDefault="00E57B03" w:rsidP="00E57B03">
      <w:pPr>
        <w:pStyle w:val="Textoindependiente"/>
        <w:tabs>
          <w:tab w:val="left" w:pos="5400"/>
        </w:tabs>
        <w:rPr>
          <w:rFonts w:ascii="Tahoma" w:hAnsi="Tahoma" w:cs="Tahoma"/>
          <w:sz w:val="20"/>
        </w:rPr>
      </w:pPr>
      <w:r w:rsidRPr="00E57B03">
        <w:rPr>
          <w:rFonts w:ascii="Tahoma" w:hAnsi="Tahoma" w:cs="Tahoma"/>
          <w:sz w:val="20"/>
        </w:rPr>
        <w:t xml:space="preserve">Visto, en sesión de fecha 20.11.2007 de la Tercera Sala del Tribunal de Contrataciones y Adquisiciones del Estado el Expediente N.º 1577/2007.TC sobre el recurso de reconsideración interpuesto por la empresa </w:t>
      </w:r>
      <w:proofErr w:type="spellStart"/>
      <w:r w:rsidRPr="00E57B03">
        <w:rPr>
          <w:rFonts w:ascii="Tahoma" w:hAnsi="Tahoma" w:cs="Tahoma"/>
          <w:sz w:val="20"/>
        </w:rPr>
        <w:t>Jolmm’s</w:t>
      </w:r>
      <w:proofErr w:type="spellEnd"/>
      <w:r w:rsidRPr="00E57B03">
        <w:rPr>
          <w:rFonts w:ascii="Tahoma" w:hAnsi="Tahoma" w:cs="Tahoma"/>
          <w:sz w:val="20"/>
        </w:rPr>
        <w:t xml:space="preserve"> contra la Resolución N.° 1730/2007.TC-S3 expedida el 26.10.2007 que dispuso sancionarla con catorce (14) meses </w:t>
      </w:r>
      <w:r w:rsidRPr="00E57B03">
        <w:rPr>
          <w:rFonts w:ascii="Tahoma" w:hAnsi="Tahoma" w:cs="Tahoma"/>
          <w:sz w:val="20"/>
          <w:lang w:val="es-ES_tradnl"/>
        </w:rPr>
        <w:t xml:space="preserve">de inhabilitación temporal para participar en procesos de selección y contratar con el Estado, por haber incurrido en la causal de infracción administrativa tipificada en el numeral 02) del artículo 294 del Reglamento de la Ley de Contrataciones y Adquisiciones del Estado, aprobado mediante Decreto Supremo N.º 084-2004-PCM; y, atendiendo a los siguientes:  </w:t>
      </w:r>
      <w:r w:rsidRPr="00E57B03">
        <w:rPr>
          <w:rFonts w:ascii="Tahoma" w:hAnsi="Tahoma" w:cs="Tahoma"/>
          <w:bCs/>
          <w:shadow/>
          <w:sz w:val="20"/>
        </w:rPr>
        <w:t> </w:t>
      </w:r>
      <w:r w:rsidRPr="00E57B03">
        <w:rPr>
          <w:rFonts w:ascii="Tahoma" w:hAnsi="Tahoma" w:cs="Tahoma"/>
          <w:sz w:val="20"/>
        </w:rPr>
        <w:t xml:space="preserve">   </w:t>
      </w:r>
      <w:r w:rsidRPr="00E57B03">
        <w:rPr>
          <w:rFonts w:ascii="Tahoma" w:hAnsi="Tahoma" w:cs="Tahoma"/>
          <w:sz w:val="20"/>
        </w:rPr>
        <w:tab/>
      </w:r>
    </w:p>
    <w:p w:rsidR="00E57B03" w:rsidRPr="00E57B03" w:rsidRDefault="00E57B03" w:rsidP="00E57B03">
      <w:pPr>
        <w:rPr>
          <w:rFonts w:ascii="Tahoma" w:hAnsi="Tahoma" w:cs="Tahoma"/>
          <w:shadow/>
        </w:rPr>
      </w:pPr>
    </w:p>
    <w:p w:rsidR="00E57B03" w:rsidRPr="00E57B03" w:rsidRDefault="00E57B03" w:rsidP="00E57B03">
      <w:pPr>
        <w:rPr>
          <w:rFonts w:ascii="Tahoma" w:hAnsi="Tahoma" w:cs="Tahoma"/>
          <w:shadow/>
        </w:rPr>
      </w:pPr>
    </w:p>
    <w:p w:rsidR="00E57B03" w:rsidRPr="00E57B03" w:rsidRDefault="00E57B03" w:rsidP="00E57B03">
      <w:pPr>
        <w:jc w:val="both"/>
        <w:rPr>
          <w:rFonts w:ascii="Tahoma" w:hAnsi="Tahoma" w:cs="Tahoma"/>
          <w:b/>
          <w:shadow/>
        </w:rPr>
      </w:pPr>
      <w:r w:rsidRPr="00E57B03">
        <w:rPr>
          <w:rFonts w:ascii="Tahoma" w:hAnsi="Tahoma" w:cs="Tahoma"/>
          <w:b/>
          <w:shadow/>
        </w:rPr>
        <w:t>ANTECEDENTES</w:t>
      </w:r>
    </w:p>
    <w:p w:rsidR="00E57B03" w:rsidRPr="00E57B03" w:rsidRDefault="00E57B03" w:rsidP="00E57B03">
      <w:pPr>
        <w:jc w:val="both"/>
        <w:rPr>
          <w:rFonts w:ascii="Tahoma" w:hAnsi="Tahoma" w:cs="Tahoma"/>
          <w:b/>
          <w:shadow/>
        </w:rPr>
      </w:pPr>
    </w:p>
    <w:p w:rsidR="00E57B03" w:rsidRPr="00E57B03" w:rsidRDefault="00E57B03" w:rsidP="00E57B03">
      <w:pPr>
        <w:numPr>
          <w:ilvl w:val="0"/>
          <w:numId w:val="4"/>
        </w:numPr>
        <w:tabs>
          <w:tab w:val="clear" w:pos="454"/>
          <w:tab w:val="num" w:pos="540"/>
        </w:tabs>
        <w:ind w:left="540" w:hanging="540"/>
        <w:jc w:val="both"/>
        <w:rPr>
          <w:rFonts w:ascii="Tahoma" w:hAnsi="Tahoma" w:cs="Tahoma"/>
          <w:lang w:val="es-PE"/>
        </w:rPr>
      </w:pPr>
      <w:r w:rsidRPr="00E57B03">
        <w:rPr>
          <w:rFonts w:ascii="Tahoma" w:hAnsi="Tahoma" w:cs="Tahoma"/>
        </w:rPr>
        <w:t xml:space="preserve">El 17 de julio de 2006, la </w:t>
      </w:r>
      <w:r w:rsidRPr="00E57B03">
        <w:rPr>
          <w:rFonts w:ascii="Tahoma" w:hAnsi="Tahoma" w:cs="Tahoma"/>
          <w:shadow/>
        </w:rPr>
        <w:t>Dirección Nacional de Inteligencia</w:t>
      </w:r>
      <w:r w:rsidRPr="00E57B03">
        <w:rPr>
          <w:rFonts w:ascii="Tahoma" w:hAnsi="Tahoma" w:cs="Tahoma"/>
        </w:rPr>
        <w:t>, en lo sucesivo la Entidad, convocó la Adjudicación de Menor Cuantía N</w:t>
      </w:r>
      <w:proofErr w:type="gramStart"/>
      <w:r w:rsidRPr="00E57B03">
        <w:rPr>
          <w:rFonts w:ascii="Tahoma" w:hAnsi="Tahoma" w:cs="Tahoma"/>
        </w:rPr>
        <w:t>.º</w:t>
      </w:r>
      <w:proofErr w:type="gramEnd"/>
      <w:r w:rsidRPr="00E57B03">
        <w:rPr>
          <w:rFonts w:ascii="Tahoma" w:hAnsi="Tahoma" w:cs="Tahoma"/>
        </w:rPr>
        <w:t xml:space="preserve"> 027-2006-DINI (Segunda Convocatoria), para la adquisición de equipos de computo, obteniendo la buena pro la empresa </w:t>
      </w:r>
      <w:proofErr w:type="spellStart"/>
      <w:r w:rsidRPr="00E57B03">
        <w:rPr>
          <w:rFonts w:ascii="Tahoma" w:hAnsi="Tahoma" w:cs="Tahoma"/>
        </w:rPr>
        <w:t>Jolmm’s</w:t>
      </w:r>
      <w:proofErr w:type="spellEnd"/>
      <w:r w:rsidRPr="00E57B03">
        <w:rPr>
          <w:rFonts w:ascii="Tahoma" w:hAnsi="Tahoma" w:cs="Tahoma"/>
        </w:rPr>
        <w:t xml:space="preserve"> </w:t>
      </w:r>
      <w:proofErr w:type="spellStart"/>
      <w:r w:rsidRPr="00E57B03">
        <w:rPr>
          <w:rFonts w:ascii="Tahoma" w:hAnsi="Tahoma" w:cs="Tahoma"/>
        </w:rPr>
        <w:t>Computer</w:t>
      </w:r>
      <w:proofErr w:type="spellEnd"/>
      <w:r w:rsidRPr="00E57B03">
        <w:rPr>
          <w:rFonts w:ascii="Tahoma" w:hAnsi="Tahoma" w:cs="Tahoma"/>
        </w:rPr>
        <w:t xml:space="preserve"> </w:t>
      </w:r>
      <w:proofErr w:type="spellStart"/>
      <w:r w:rsidRPr="00E57B03">
        <w:rPr>
          <w:rFonts w:ascii="Tahoma" w:hAnsi="Tahoma" w:cs="Tahoma"/>
        </w:rPr>
        <w:t>Supplies</w:t>
      </w:r>
      <w:proofErr w:type="spellEnd"/>
      <w:r w:rsidRPr="00E57B03">
        <w:rPr>
          <w:rFonts w:ascii="Tahoma" w:hAnsi="Tahoma" w:cs="Tahoma"/>
        </w:rPr>
        <w:t xml:space="preserve"> &amp; </w:t>
      </w:r>
      <w:proofErr w:type="spellStart"/>
      <w:r w:rsidRPr="00E57B03">
        <w:rPr>
          <w:rFonts w:ascii="Tahoma" w:hAnsi="Tahoma" w:cs="Tahoma"/>
        </w:rPr>
        <w:t>Services</w:t>
      </w:r>
      <w:proofErr w:type="spellEnd"/>
      <w:r w:rsidRPr="00E57B03">
        <w:rPr>
          <w:rFonts w:ascii="Tahoma" w:hAnsi="Tahoma" w:cs="Tahoma"/>
        </w:rPr>
        <w:t xml:space="preserve"> S.A., en lo sucesivo la Contratista.</w:t>
      </w:r>
    </w:p>
    <w:p w:rsidR="00E57B03" w:rsidRPr="00E57B03" w:rsidRDefault="00E57B03" w:rsidP="00E57B03">
      <w:pPr>
        <w:jc w:val="both"/>
        <w:rPr>
          <w:rFonts w:ascii="Tahoma" w:hAnsi="Tahoma" w:cs="Tahoma"/>
          <w:lang w:val="es-PE"/>
        </w:rPr>
      </w:pPr>
    </w:p>
    <w:p w:rsidR="00E57B03" w:rsidRPr="00E57B03" w:rsidRDefault="00E57B03" w:rsidP="00E57B03">
      <w:pPr>
        <w:numPr>
          <w:ilvl w:val="0"/>
          <w:numId w:val="4"/>
        </w:numPr>
        <w:tabs>
          <w:tab w:val="clear" w:pos="454"/>
          <w:tab w:val="num" w:pos="540"/>
        </w:tabs>
        <w:ind w:left="540" w:hanging="540"/>
        <w:jc w:val="both"/>
        <w:rPr>
          <w:rFonts w:ascii="Tahoma" w:hAnsi="Tahoma" w:cs="Tahoma"/>
          <w:lang w:val="es-PE"/>
        </w:rPr>
      </w:pPr>
      <w:r w:rsidRPr="00E57B03">
        <w:rPr>
          <w:rFonts w:ascii="Tahoma" w:hAnsi="Tahoma" w:cs="Tahoma"/>
        </w:rPr>
        <w:t xml:space="preserve">Con fecha 31 de julio de 2006, la Contratista </w:t>
      </w:r>
      <w:proofErr w:type="spellStart"/>
      <w:r w:rsidRPr="00E57B03">
        <w:rPr>
          <w:rFonts w:ascii="Tahoma" w:hAnsi="Tahoma" w:cs="Tahoma"/>
        </w:rPr>
        <w:t>recepcionó</w:t>
      </w:r>
      <w:proofErr w:type="spellEnd"/>
      <w:r w:rsidRPr="00E57B03">
        <w:rPr>
          <w:rFonts w:ascii="Tahoma" w:hAnsi="Tahoma" w:cs="Tahoma"/>
        </w:rPr>
        <w:t xml:space="preserve"> la Orden de Compra – Guía de Internamiento N</w:t>
      </w:r>
      <w:proofErr w:type="gramStart"/>
      <w:r w:rsidRPr="00E57B03">
        <w:rPr>
          <w:rFonts w:ascii="Tahoma" w:hAnsi="Tahoma" w:cs="Tahoma"/>
        </w:rPr>
        <w:t>.º</w:t>
      </w:r>
      <w:proofErr w:type="gramEnd"/>
      <w:r w:rsidRPr="00E57B03">
        <w:rPr>
          <w:rFonts w:ascii="Tahoma" w:hAnsi="Tahoma" w:cs="Tahoma"/>
        </w:rPr>
        <w:t xml:space="preserve"> 0000300</w:t>
      </w:r>
      <w:r w:rsidRPr="00E57B03">
        <w:rPr>
          <w:rStyle w:val="Refdenotaalpie"/>
          <w:rFonts w:ascii="Tahoma" w:hAnsi="Tahoma" w:cs="Tahoma"/>
        </w:rPr>
        <w:footnoteReference w:id="2"/>
      </w:r>
      <w:r w:rsidRPr="00E57B03">
        <w:rPr>
          <w:rFonts w:ascii="Tahoma" w:hAnsi="Tahoma" w:cs="Tahoma"/>
        </w:rPr>
        <w:t>, remitida por la Entidad, la cual consignaba el plazo de un (01) día para que remita los bienes adjudicados.</w:t>
      </w:r>
    </w:p>
    <w:p w:rsidR="00E57B03" w:rsidRPr="00E57B03" w:rsidRDefault="00E57B03" w:rsidP="00E57B03">
      <w:pPr>
        <w:jc w:val="both"/>
        <w:rPr>
          <w:rFonts w:ascii="Tahoma" w:hAnsi="Tahoma" w:cs="Tahoma"/>
          <w:lang w:val="es-PE"/>
        </w:rPr>
      </w:pPr>
    </w:p>
    <w:p w:rsidR="00E57B03" w:rsidRPr="00E57B03" w:rsidRDefault="00E57B03" w:rsidP="00E57B03">
      <w:pPr>
        <w:numPr>
          <w:ilvl w:val="0"/>
          <w:numId w:val="4"/>
        </w:numPr>
        <w:tabs>
          <w:tab w:val="clear" w:pos="454"/>
          <w:tab w:val="num" w:pos="540"/>
        </w:tabs>
        <w:ind w:left="540" w:hanging="540"/>
        <w:jc w:val="both"/>
        <w:rPr>
          <w:rFonts w:ascii="Tahoma" w:hAnsi="Tahoma" w:cs="Tahoma"/>
          <w:lang w:val="es-PE"/>
        </w:rPr>
      </w:pPr>
      <w:r w:rsidRPr="00E57B03">
        <w:rPr>
          <w:rFonts w:ascii="Tahoma" w:hAnsi="Tahoma" w:cs="Tahoma"/>
          <w:lang w:val="es-PE"/>
        </w:rPr>
        <w:t xml:space="preserve">El 01 de agosto de 2006 la Contratista entregó tres monitores a color </w:t>
      </w:r>
      <w:r w:rsidRPr="00E57B03">
        <w:rPr>
          <w:rFonts w:ascii="Tahoma" w:hAnsi="Tahoma" w:cs="Tahoma"/>
        </w:rPr>
        <w:t>LG LCD 19” modelo L193 SA</w:t>
      </w:r>
      <w:r w:rsidRPr="00E57B03">
        <w:rPr>
          <w:rFonts w:ascii="Tahoma" w:hAnsi="Tahoma" w:cs="Tahoma"/>
          <w:lang w:val="es-PE"/>
        </w:rPr>
        <w:t xml:space="preserve"> a la Entidad. </w:t>
      </w:r>
    </w:p>
    <w:p w:rsidR="00E57B03" w:rsidRPr="00E57B03" w:rsidRDefault="00E57B03" w:rsidP="00E57B03">
      <w:pPr>
        <w:jc w:val="both"/>
        <w:rPr>
          <w:rFonts w:ascii="Tahoma" w:hAnsi="Tahoma" w:cs="Tahoma"/>
          <w:lang w:val="es-PE"/>
        </w:rPr>
      </w:pPr>
    </w:p>
    <w:p w:rsidR="00E57B03" w:rsidRPr="00E57B03" w:rsidRDefault="00E57B03" w:rsidP="00E57B03">
      <w:pPr>
        <w:ind w:left="540"/>
        <w:jc w:val="both"/>
        <w:rPr>
          <w:rFonts w:ascii="Tahoma" w:hAnsi="Tahoma" w:cs="Tahoma"/>
          <w:lang w:val="es-PE"/>
        </w:rPr>
      </w:pPr>
      <w:r w:rsidRPr="00E57B03">
        <w:rPr>
          <w:rFonts w:ascii="Tahoma" w:hAnsi="Tahoma" w:cs="Tahoma"/>
          <w:lang w:val="es-PE"/>
        </w:rPr>
        <w:t>En la misma fecha la Entidad elaboró el Acta de Devolución de Bienes</w:t>
      </w:r>
      <w:r w:rsidRPr="00E57B03">
        <w:rPr>
          <w:rStyle w:val="Refdenotaalpie"/>
          <w:rFonts w:ascii="Tahoma" w:hAnsi="Tahoma" w:cs="Tahoma"/>
          <w:lang w:val="es-PE"/>
        </w:rPr>
        <w:footnoteReference w:id="3"/>
      </w:r>
      <w:r w:rsidRPr="00E57B03">
        <w:rPr>
          <w:rFonts w:ascii="Tahoma" w:hAnsi="Tahoma" w:cs="Tahoma"/>
          <w:lang w:val="es-PE"/>
        </w:rPr>
        <w:t xml:space="preserve"> dejándose constancia que los monitores enviados por la empresa contratista no cumplen con las características establecidas en su propuesta técnica y en la Orden de Compra - </w:t>
      </w:r>
      <w:r w:rsidRPr="00E57B03">
        <w:rPr>
          <w:rFonts w:ascii="Tahoma" w:hAnsi="Tahoma" w:cs="Tahoma"/>
        </w:rPr>
        <w:t>Guía de Internamiento N</w:t>
      </w:r>
      <w:proofErr w:type="gramStart"/>
      <w:r w:rsidRPr="00E57B03">
        <w:rPr>
          <w:rFonts w:ascii="Tahoma" w:hAnsi="Tahoma" w:cs="Tahoma"/>
        </w:rPr>
        <w:t>.º</w:t>
      </w:r>
      <w:proofErr w:type="gramEnd"/>
      <w:r w:rsidRPr="00E57B03">
        <w:rPr>
          <w:rFonts w:ascii="Tahoma" w:hAnsi="Tahoma" w:cs="Tahoma"/>
        </w:rPr>
        <w:t xml:space="preserve"> 0000300, toda vez que los mismos no cuentan con entrada de video BNC y en consecuencia no pueden ser utilizados en Circuito Cerrado de Televisión (CCTV).</w:t>
      </w:r>
    </w:p>
    <w:p w:rsidR="00E57B03" w:rsidRPr="00E57B03" w:rsidRDefault="00E57B03" w:rsidP="00E57B03">
      <w:pPr>
        <w:jc w:val="both"/>
        <w:rPr>
          <w:rFonts w:ascii="Tahoma" w:hAnsi="Tahoma" w:cs="Tahoma"/>
          <w:lang w:val="es-PE"/>
        </w:rPr>
      </w:pPr>
    </w:p>
    <w:p w:rsidR="00E57B03" w:rsidRPr="00E57B03" w:rsidRDefault="00E57B03" w:rsidP="00E57B03">
      <w:pPr>
        <w:numPr>
          <w:ilvl w:val="0"/>
          <w:numId w:val="4"/>
        </w:numPr>
        <w:tabs>
          <w:tab w:val="clear" w:pos="454"/>
          <w:tab w:val="num" w:pos="540"/>
        </w:tabs>
        <w:ind w:left="540" w:hanging="540"/>
        <w:jc w:val="both"/>
        <w:rPr>
          <w:rFonts w:ascii="Tahoma" w:hAnsi="Tahoma" w:cs="Tahoma"/>
          <w:lang w:val="es-PE"/>
        </w:rPr>
      </w:pPr>
      <w:r w:rsidRPr="00E57B03">
        <w:rPr>
          <w:rFonts w:ascii="Tahoma" w:hAnsi="Tahoma" w:cs="Tahoma"/>
          <w:lang w:val="es-PE"/>
        </w:rPr>
        <w:lastRenderedPageBreak/>
        <w:t>Mediante Carta recibida el 08 de agosto de 2006</w:t>
      </w:r>
      <w:r w:rsidRPr="00E57B03">
        <w:rPr>
          <w:rStyle w:val="Refdenotaalpie"/>
          <w:rFonts w:ascii="Tahoma" w:hAnsi="Tahoma" w:cs="Tahoma"/>
          <w:lang w:val="es-PE"/>
        </w:rPr>
        <w:footnoteReference w:id="4"/>
      </w:r>
      <w:r w:rsidRPr="00E57B03">
        <w:rPr>
          <w:rFonts w:ascii="Tahoma" w:hAnsi="Tahoma" w:cs="Tahoma"/>
          <w:lang w:val="es-PE"/>
        </w:rPr>
        <w:t xml:space="preserve"> la Contratista manifestó </w:t>
      </w:r>
      <w:r w:rsidRPr="00E57B03">
        <w:rPr>
          <w:rFonts w:ascii="Tahoma" w:hAnsi="Tahoma" w:cs="Tahoma"/>
        </w:rPr>
        <w:t xml:space="preserve">que la entrada de Video Compuesto CVBS puede tener conectores de tipo BNC o RCA, lo cual resulta irrelevante ya que en ambos caso se puede acoplar los adaptadores correspondientes, pudiéndose de esa manera usar con los equipos de Circuito Cerrado de Televisión (CCTV) que tengan indistintamente </w:t>
      </w:r>
      <w:proofErr w:type="spellStart"/>
      <w:r w:rsidRPr="00E57B03">
        <w:rPr>
          <w:rFonts w:ascii="Tahoma" w:hAnsi="Tahoma" w:cs="Tahoma"/>
        </w:rPr>
        <w:t>interfases</w:t>
      </w:r>
      <w:proofErr w:type="spellEnd"/>
      <w:r w:rsidRPr="00E57B03">
        <w:rPr>
          <w:rFonts w:ascii="Tahoma" w:hAnsi="Tahoma" w:cs="Tahoma"/>
        </w:rPr>
        <w:t xml:space="preserve"> con conectores de tipo BNC o RCA. Asimismo, señaló que el monitor cotizado fue el LG LCD 19” modelo L193 SA, el cual es componente de un equipo de cómputo, de conformidad con el objeto del proceso de selección convocado, sin embargo, este monitor tiene la ventaja de tener entradas de video adicionales a la D-SUB VGA a través de las cuales también puede ser utilizado para otras aplicaciones, entre ellas para Circuito Cerrado de Televisión.</w:t>
      </w:r>
    </w:p>
    <w:p w:rsidR="00E57B03" w:rsidRPr="00E57B03" w:rsidRDefault="00E57B03" w:rsidP="00E57B03">
      <w:pPr>
        <w:jc w:val="both"/>
        <w:rPr>
          <w:rFonts w:ascii="Tahoma" w:hAnsi="Tahoma" w:cs="Tahoma"/>
          <w:lang w:val="es-PE"/>
        </w:rPr>
      </w:pPr>
    </w:p>
    <w:p w:rsidR="00E57B03" w:rsidRPr="00E57B03" w:rsidRDefault="00E57B03" w:rsidP="00E57B03">
      <w:pPr>
        <w:numPr>
          <w:ilvl w:val="0"/>
          <w:numId w:val="4"/>
        </w:numPr>
        <w:tabs>
          <w:tab w:val="clear" w:pos="454"/>
          <w:tab w:val="num" w:pos="540"/>
        </w:tabs>
        <w:ind w:left="540" w:hanging="540"/>
        <w:jc w:val="both"/>
        <w:rPr>
          <w:rFonts w:ascii="Tahoma" w:hAnsi="Tahoma" w:cs="Tahoma"/>
          <w:lang w:val="es-PE"/>
        </w:rPr>
      </w:pPr>
      <w:r w:rsidRPr="00E57B03">
        <w:rPr>
          <w:rFonts w:ascii="Tahoma" w:hAnsi="Tahoma" w:cs="Tahoma"/>
          <w:lang w:val="es-PE"/>
        </w:rPr>
        <w:t>Mediante Carta Notarial N</w:t>
      </w:r>
      <w:proofErr w:type="gramStart"/>
      <w:r w:rsidRPr="00E57B03">
        <w:rPr>
          <w:rFonts w:ascii="Tahoma" w:hAnsi="Tahoma" w:cs="Tahoma"/>
          <w:lang w:val="es-PE"/>
        </w:rPr>
        <w:t>.º</w:t>
      </w:r>
      <w:proofErr w:type="gramEnd"/>
      <w:r w:rsidRPr="00E57B03">
        <w:rPr>
          <w:rFonts w:ascii="Tahoma" w:hAnsi="Tahoma" w:cs="Tahoma"/>
          <w:lang w:val="es-PE"/>
        </w:rPr>
        <w:t xml:space="preserve"> </w:t>
      </w:r>
      <w:r w:rsidRPr="00E57B03">
        <w:rPr>
          <w:rFonts w:ascii="Tahoma" w:hAnsi="Tahoma" w:cs="Tahoma"/>
        </w:rPr>
        <w:t>189-2006-OA-DINI</w:t>
      </w:r>
      <w:r w:rsidRPr="00E57B03">
        <w:rPr>
          <w:rStyle w:val="Refdenotaalpie"/>
          <w:rFonts w:ascii="Tahoma" w:hAnsi="Tahoma" w:cs="Tahoma"/>
        </w:rPr>
        <w:footnoteReference w:id="5"/>
      </w:r>
      <w:r w:rsidRPr="00E57B03">
        <w:rPr>
          <w:rFonts w:ascii="Tahoma" w:hAnsi="Tahoma" w:cs="Tahoma"/>
        </w:rPr>
        <w:t xml:space="preserve"> recibida </w:t>
      </w:r>
      <w:r w:rsidRPr="00E57B03">
        <w:rPr>
          <w:rFonts w:ascii="Tahoma" w:hAnsi="Tahoma" w:cs="Tahoma"/>
          <w:lang w:val="es-PE"/>
        </w:rPr>
        <w:t xml:space="preserve">el 28 de agosto de 2006, la Entidad comunicó a la Contratista </w:t>
      </w:r>
      <w:r w:rsidRPr="00E57B03">
        <w:rPr>
          <w:rFonts w:ascii="Tahoma" w:hAnsi="Tahoma" w:cs="Tahoma"/>
        </w:rPr>
        <w:t xml:space="preserve">que su Oficina de Soporte Técnico ha concluido que el Contratista ha pretendido entregar tres (03) monitores LCD LG Modelo L193 SA, denominándolos en el detalle de su propuesta técnica y económica como monitores para CCTV, cuando debió decir monitores que pueden trabajar para CCTV, bienes que no fueron solicitados por la Entidad. Asimismo, le requirió la entrega de tres (03) monitores a color para CCTV de 19” en un plazo de diez (10) días, bajo apercibimiento de resolver la Orden de Compra. </w:t>
      </w:r>
    </w:p>
    <w:p w:rsidR="00E57B03" w:rsidRPr="00E57B03" w:rsidRDefault="00E57B03" w:rsidP="00E57B03">
      <w:pPr>
        <w:jc w:val="both"/>
        <w:rPr>
          <w:rFonts w:ascii="Tahoma" w:hAnsi="Tahoma" w:cs="Tahoma"/>
          <w:lang w:val="es-PE"/>
        </w:rPr>
      </w:pPr>
    </w:p>
    <w:p w:rsidR="00E57B03" w:rsidRPr="00E57B03" w:rsidRDefault="00E57B03" w:rsidP="00E57B03">
      <w:pPr>
        <w:numPr>
          <w:ilvl w:val="0"/>
          <w:numId w:val="4"/>
        </w:numPr>
        <w:tabs>
          <w:tab w:val="clear" w:pos="454"/>
          <w:tab w:val="num" w:pos="540"/>
        </w:tabs>
        <w:ind w:left="540" w:hanging="540"/>
        <w:jc w:val="both"/>
        <w:rPr>
          <w:rFonts w:ascii="Tahoma" w:hAnsi="Tahoma" w:cs="Tahoma"/>
          <w:lang w:val="es-PE"/>
        </w:rPr>
      </w:pPr>
      <w:r w:rsidRPr="00E57B03">
        <w:rPr>
          <w:rFonts w:ascii="Tahoma" w:hAnsi="Tahoma" w:cs="Tahoma"/>
        </w:rPr>
        <w:t>Con Carta Notarial N</w:t>
      </w:r>
      <w:proofErr w:type="gramStart"/>
      <w:r w:rsidRPr="00E57B03">
        <w:rPr>
          <w:rFonts w:ascii="Tahoma" w:hAnsi="Tahoma" w:cs="Tahoma"/>
        </w:rPr>
        <w:t>.º</w:t>
      </w:r>
      <w:proofErr w:type="gramEnd"/>
      <w:r w:rsidRPr="00E57B03">
        <w:rPr>
          <w:rFonts w:ascii="Tahoma" w:hAnsi="Tahoma" w:cs="Tahoma"/>
        </w:rPr>
        <w:t xml:space="preserve"> CARTA 2K60829-JOLMM’S</w:t>
      </w:r>
      <w:r w:rsidRPr="00E57B03">
        <w:rPr>
          <w:rStyle w:val="Refdenotaalpie"/>
          <w:rFonts w:ascii="Tahoma" w:hAnsi="Tahoma" w:cs="Tahoma"/>
        </w:rPr>
        <w:footnoteReference w:id="6"/>
      </w:r>
      <w:r w:rsidRPr="00E57B03">
        <w:rPr>
          <w:rFonts w:ascii="Tahoma" w:hAnsi="Tahoma" w:cs="Tahoma"/>
        </w:rPr>
        <w:t xml:space="preserve"> debidamente recibida el 06 de setiembre de 2006 la Contratista manifestó que no es exacto afirmar que los monitores entregados no sean monitores para circuito cerrado de televisión (CCTV) y que no cuentan con entrada de video BNC ya que al realizar las pruebas correspondientes con la entrada de video compuesto CVBS con conector tipo BNC los resultados fueron positivos. Asimismo, indicó que no existe incumplimiento de contrato por su parte, toda vez que han entregado los monitores que cumplen con las características detalladas la Orden de Compra – Guía de Internamiento N.º 0000300.</w:t>
      </w:r>
    </w:p>
    <w:p w:rsidR="00E57B03" w:rsidRPr="00E57B03" w:rsidRDefault="00E57B03" w:rsidP="00E57B03">
      <w:pPr>
        <w:jc w:val="both"/>
        <w:rPr>
          <w:rFonts w:ascii="Tahoma" w:hAnsi="Tahoma" w:cs="Tahoma"/>
          <w:lang w:val="es-PE"/>
        </w:rPr>
      </w:pPr>
    </w:p>
    <w:p w:rsidR="00E57B03" w:rsidRPr="00E57B03" w:rsidRDefault="00E57B03" w:rsidP="00E57B03">
      <w:pPr>
        <w:numPr>
          <w:ilvl w:val="0"/>
          <w:numId w:val="4"/>
        </w:numPr>
        <w:tabs>
          <w:tab w:val="clear" w:pos="454"/>
          <w:tab w:val="num" w:pos="540"/>
        </w:tabs>
        <w:ind w:left="540" w:hanging="540"/>
        <w:jc w:val="both"/>
        <w:rPr>
          <w:rFonts w:ascii="Tahoma" w:hAnsi="Tahoma" w:cs="Tahoma"/>
          <w:lang w:val="es-PE"/>
        </w:rPr>
      </w:pPr>
      <w:r w:rsidRPr="00E57B03">
        <w:rPr>
          <w:rFonts w:ascii="Tahoma" w:hAnsi="Tahoma" w:cs="Tahoma"/>
        </w:rPr>
        <w:t>La Entidad, a través de la Carta Notarial N</w:t>
      </w:r>
      <w:proofErr w:type="gramStart"/>
      <w:r w:rsidRPr="00E57B03">
        <w:rPr>
          <w:rFonts w:ascii="Tahoma" w:hAnsi="Tahoma" w:cs="Tahoma"/>
        </w:rPr>
        <w:t>.º</w:t>
      </w:r>
      <w:proofErr w:type="gramEnd"/>
      <w:r w:rsidRPr="00E57B03">
        <w:rPr>
          <w:rFonts w:ascii="Tahoma" w:hAnsi="Tahoma" w:cs="Tahoma"/>
        </w:rPr>
        <w:t xml:space="preserve"> 217-2006-OA-DINI</w:t>
      </w:r>
      <w:r w:rsidRPr="00E57B03">
        <w:rPr>
          <w:rStyle w:val="Refdenotaalpie"/>
          <w:rFonts w:ascii="Tahoma" w:hAnsi="Tahoma" w:cs="Tahoma"/>
        </w:rPr>
        <w:footnoteReference w:id="7"/>
      </w:r>
      <w:r w:rsidRPr="00E57B03">
        <w:rPr>
          <w:rFonts w:ascii="Tahoma" w:hAnsi="Tahoma" w:cs="Tahoma"/>
        </w:rPr>
        <w:t>, recibida el 15 de setiembre de 2006, resolvió la Orden de Compra – Guía de Internamiento N.º 0000300.</w:t>
      </w:r>
    </w:p>
    <w:p w:rsidR="00E57B03" w:rsidRPr="00E57B03" w:rsidRDefault="00E57B03" w:rsidP="00E57B03">
      <w:pPr>
        <w:jc w:val="both"/>
        <w:rPr>
          <w:rFonts w:ascii="Tahoma" w:hAnsi="Tahoma" w:cs="Tahoma"/>
          <w:lang w:val="es-PE"/>
        </w:rPr>
      </w:pPr>
    </w:p>
    <w:p w:rsidR="00E57B03" w:rsidRPr="00E57B03" w:rsidRDefault="00E57B03" w:rsidP="00E57B03">
      <w:pPr>
        <w:numPr>
          <w:ilvl w:val="0"/>
          <w:numId w:val="4"/>
        </w:numPr>
        <w:tabs>
          <w:tab w:val="clear" w:pos="454"/>
          <w:tab w:val="num" w:pos="540"/>
        </w:tabs>
        <w:ind w:left="540" w:hanging="540"/>
        <w:jc w:val="both"/>
        <w:rPr>
          <w:rFonts w:ascii="Tahoma" w:hAnsi="Tahoma" w:cs="Tahoma"/>
          <w:lang w:val="es-PE"/>
        </w:rPr>
      </w:pPr>
      <w:r w:rsidRPr="00E57B03">
        <w:rPr>
          <w:rFonts w:ascii="Tahoma" w:hAnsi="Tahoma" w:cs="Tahoma"/>
          <w:lang w:val="es-PE"/>
        </w:rPr>
        <w:t xml:space="preserve">El 03 de noviembre de 2006, la Entidad </w:t>
      </w:r>
      <w:r w:rsidRPr="00E57B03">
        <w:rPr>
          <w:rFonts w:ascii="Tahoma" w:hAnsi="Tahoma" w:cs="Tahoma"/>
        </w:rPr>
        <w:t>puso en conocimiento del Tribunal de Contrataciones y Adquisiciones del Estado que la Contratista habría incurrido en supuesta responsabilidad por la resolución de la referida Orden de Compra, por causal atribuible a su parte.</w:t>
      </w:r>
    </w:p>
    <w:p w:rsidR="00E57B03" w:rsidRPr="00E57B03" w:rsidRDefault="00E57B03" w:rsidP="00E57B03">
      <w:pPr>
        <w:jc w:val="both"/>
        <w:rPr>
          <w:rFonts w:ascii="Tahoma" w:hAnsi="Tahoma" w:cs="Tahoma"/>
          <w:lang w:val="es-PE"/>
        </w:rPr>
      </w:pPr>
    </w:p>
    <w:p w:rsidR="00E57B03" w:rsidRPr="00E57B03" w:rsidRDefault="00E57B03" w:rsidP="00E57B03">
      <w:pPr>
        <w:numPr>
          <w:ilvl w:val="0"/>
          <w:numId w:val="4"/>
        </w:numPr>
        <w:tabs>
          <w:tab w:val="clear" w:pos="454"/>
          <w:tab w:val="num" w:pos="540"/>
        </w:tabs>
        <w:ind w:left="540" w:hanging="540"/>
        <w:jc w:val="both"/>
        <w:rPr>
          <w:rFonts w:ascii="Tahoma" w:hAnsi="Tahoma" w:cs="Tahoma"/>
        </w:rPr>
      </w:pPr>
      <w:r w:rsidRPr="00E57B03">
        <w:rPr>
          <w:rFonts w:ascii="Tahoma" w:hAnsi="Tahoma" w:cs="Tahoma"/>
        </w:rPr>
        <w:t xml:space="preserve">Con decreto de fecha 06 de noviembre de 2006 el Tribunal inició procedimiento administrativo sancionador contra la empresa </w:t>
      </w:r>
      <w:proofErr w:type="spellStart"/>
      <w:r w:rsidRPr="00E57B03">
        <w:rPr>
          <w:rFonts w:ascii="Tahoma" w:hAnsi="Tahoma" w:cs="Tahoma"/>
        </w:rPr>
        <w:t>Jolmm’s</w:t>
      </w:r>
      <w:proofErr w:type="spellEnd"/>
      <w:r w:rsidRPr="00E57B03">
        <w:rPr>
          <w:rFonts w:ascii="Tahoma" w:hAnsi="Tahoma" w:cs="Tahoma"/>
        </w:rPr>
        <w:t xml:space="preserve"> </w:t>
      </w:r>
      <w:proofErr w:type="spellStart"/>
      <w:r w:rsidRPr="00E57B03">
        <w:rPr>
          <w:rFonts w:ascii="Tahoma" w:hAnsi="Tahoma" w:cs="Tahoma"/>
        </w:rPr>
        <w:t>Computer</w:t>
      </w:r>
      <w:proofErr w:type="spellEnd"/>
      <w:r w:rsidRPr="00E57B03">
        <w:rPr>
          <w:rFonts w:ascii="Tahoma" w:hAnsi="Tahoma" w:cs="Tahoma"/>
        </w:rPr>
        <w:t xml:space="preserve"> </w:t>
      </w:r>
      <w:proofErr w:type="spellStart"/>
      <w:r w:rsidRPr="00E57B03">
        <w:rPr>
          <w:rFonts w:ascii="Tahoma" w:hAnsi="Tahoma" w:cs="Tahoma"/>
        </w:rPr>
        <w:t>Supplies</w:t>
      </w:r>
      <w:proofErr w:type="spellEnd"/>
      <w:r w:rsidRPr="00E57B03">
        <w:rPr>
          <w:rFonts w:ascii="Tahoma" w:hAnsi="Tahoma" w:cs="Tahoma"/>
        </w:rPr>
        <w:t xml:space="preserve"> &amp; </w:t>
      </w:r>
      <w:proofErr w:type="spellStart"/>
      <w:r w:rsidRPr="00E57B03">
        <w:rPr>
          <w:rFonts w:ascii="Tahoma" w:hAnsi="Tahoma" w:cs="Tahoma"/>
        </w:rPr>
        <w:t>Services</w:t>
      </w:r>
      <w:proofErr w:type="spellEnd"/>
      <w:r w:rsidRPr="00E57B03">
        <w:rPr>
          <w:rFonts w:ascii="Tahoma" w:hAnsi="Tahoma" w:cs="Tahoma"/>
        </w:rPr>
        <w:t xml:space="preserve"> S.A. por su supuesta responsabilidad en la resolución de la Orden de Compra – Guía de Internamiento N</w:t>
      </w:r>
      <w:proofErr w:type="gramStart"/>
      <w:r w:rsidRPr="00E57B03">
        <w:rPr>
          <w:rFonts w:ascii="Tahoma" w:hAnsi="Tahoma" w:cs="Tahoma"/>
        </w:rPr>
        <w:t>.º</w:t>
      </w:r>
      <w:proofErr w:type="gramEnd"/>
      <w:r w:rsidRPr="00E57B03">
        <w:rPr>
          <w:rFonts w:ascii="Tahoma" w:hAnsi="Tahoma" w:cs="Tahoma"/>
        </w:rPr>
        <w:t xml:space="preserve"> 0000300 derivada de la Adjudicación de Menor Cuantía N.º 027-2006-</w:t>
      </w:r>
      <w:r w:rsidRPr="00E57B03">
        <w:rPr>
          <w:rFonts w:ascii="Tahoma" w:hAnsi="Tahoma" w:cs="Tahoma"/>
        </w:rPr>
        <w:lastRenderedPageBreak/>
        <w:t>DINI (Segunda Convocatoria) por causa atribuible a su parte. Asimismo se le emplazó para la presentación de sus descargos.</w:t>
      </w:r>
    </w:p>
    <w:p w:rsidR="00E57B03" w:rsidRPr="00E57B03" w:rsidRDefault="00E57B03" w:rsidP="00E57B03">
      <w:pPr>
        <w:jc w:val="both"/>
        <w:rPr>
          <w:rFonts w:ascii="Tahoma" w:hAnsi="Tahoma" w:cs="Tahoma"/>
        </w:rPr>
      </w:pPr>
    </w:p>
    <w:p w:rsidR="00E57B03" w:rsidRPr="00E57B03" w:rsidRDefault="00E57B03" w:rsidP="00E57B03">
      <w:pPr>
        <w:numPr>
          <w:ilvl w:val="0"/>
          <w:numId w:val="4"/>
        </w:numPr>
        <w:tabs>
          <w:tab w:val="clear" w:pos="454"/>
          <w:tab w:val="num" w:pos="540"/>
        </w:tabs>
        <w:ind w:left="540" w:hanging="540"/>
        <w:jc w:val="both"/>
        <w:rPr>
          <w:rFonts w:ascii="Tahoma" w:hAnsi="Tahoma" w:cs="Tahoma"/>
        </w:rPr>
      </w:pPr>
      <w:r w:rsidRPr="00E57B03">
        <w:rPr>
          <w:rFonts w:ascii="Tahoma" w:hAnsi="Tahoma" w:cs="Tahoma"/>
        </w:rPr>
        <w:t xml:space="preserve">Mediante escritos presentados el 30 de noviembre y 01 de diciembre de 2006, la Gerente General de la empresa </w:t>
      </w:r>
      <w:proofErr w:type="spellStart"/>
      <w:r w:rsidRPr="00E57B03">
        <w:rPr>
          <w:rFonts w:ascii="Tahoma" w:hAnsi="Tahoma" w:cs="Tahoma"/>
        </w:rPr>
        <w:t>Jolmm’s</w:t>
      </w:r>
      <w:proofErr w:type="spellEnd"/>
      <w:r w:rsidRPr="00E57B03">
        <w:rPr>
          <w:rFonts w:ascii="Tahoma" w:hAnsi="Tahoma" w:cs="Tahoma"/>
        </w:rPr>
        <w:t xml:space="preserve"> </w:t>
      </w:r>
      <w:proofErr w:type="spellStart"/>
      <w:r w:rsidRPr="00E57B03">
        <w:rPr>
          <w:rFonts w:ascii="Tahoma" w:hAnsi="Tahoma" w:cs="Tahoma"/>
        </w:rPr>
        <w:t>Computer</w:t>
      </w:r>
      <w:proofErr w:type="spellEnd"/>
      <w:r w:rsidRPr="00E57B03">
        <w:rPr>
          <w:rFonts w:ascii="Tahoma" w:hAnsi="Tahoma" w:cs="Tahoma"/>
        </w:rPr>
        <w:t xml:space="preserve"> </w:t>
      </w:r>
      <w:proofErr w:type="spellStart"/>
      <w:r w:rsidRPr="00E57B03">
        <w:rPr>
          <w:rFonts w:ascii="Tahoma" w:hAnsi="Tahoma" w:cs="Tahoma"/>
        </w:rPr>
        <w:t>Supplies</w:t>
      </w:r>
      <w:proofErr w:type="spellEnd"/>
      <w:r w:rsidRPr="00E57B03">
        <w:rPr>
          <w:rFonts w:ascii="Tahoma" w:hAnsi="Tahoma" w:cs="Tahoma"/>
        </w:rPr>
        <w:t xml:space="preserve"> &amp; </w:t>
      </w:r>
      <w:proofErr w:type="spellStart"/>
      <w:r w:rsidRPr="00E57B03">
        <w:rPr>
          <w:rFonts w:ascii="Tahoma" w:hAnsi="Tahoma" w:cs="Tahoma"/>
        </w:rPr>
        <w:t>Services</w:t>
      </w:r>
      <w:proofErr w:type="spellEnd"/>
      <w:r w:rsidRPr="00E57B03">
        <w:rPr>
          <w:rFonts w:ascii="Tahoma" w:hAnsi="Tahoma" w:cs="Tahoma"/>
        </w:rPr>
        <w:t xml:space="preserve"> S.A. presentó sus descargos en los siguientes términos:</w:t>
      </w:r>
    </w:p>
    <w:p w:rsidR="00E57B03" w:rsidRPr="00E57B03" w:rsidRDefault="00E57B03" w:rsidP="00E57B03">
      <w:pPr>
        <w:jc w:val="both"/>
        <w:rPr>
          <w:rFonts w:ascii="Tahoma" w:hAnsi="Tahoma" w:cs="Tahoma"/>
        </w:rPr>
      </w:pPr>
    </w:p>
    <w:p w:rsidR="00E57B03" w:rsidRPr="00E57B03" w:rsidRDefault="00E57B03" w:rsidP="00E57B03">
      <w:pPr>
        <w:numPr>
          <w:ilvl w:val="3"/>
          <w:numId w:val="4"/>
        </w:numPr>
        <w:tabs>
          <w:tab w:val="clear" w:pos="3240"/>
          <w:tab w:val="num" w:pos="900"/>
          <w:tab w:val="num" w:pos="1260"/>
        </w:tabs>
        <w:ind w:left="900" w:hanging="360"/>
        <w:jc w:val="both"/>
        <w:rPr>
          <w:rFonts w:ascii="Tahoma" w:hAnsi="Tahoma" w:cs="Tahoma"/>
        </w:rPr>
      </w:pPr>
      <w:r w:rsidRPr="00E57B03">
        <w:rPr>
          <w:rFonts w:ascii="Tahoma" w:hAnsi="Tahoma" w:cs="Tahoma"/>
        </w:rPr>
        <w:t xml:space="preserve">El objeto del proceso de selección convocado consistía en la adquisición de equipos de </w:t>
      </w:r>
      <w:r w:rsidRPr="00E57B03">
        <w:rPr>
          <w:rFonts w:ascii="Tahoma" w:hAnsi="Tahoma" w:cs="Tahoma"/>
          <w:u w:val="single"/>
        </w:rPr>
        <w:t>cómputo</w:t>
      </w:r>
      <w:r w:rsidRPr="00E57B03">
        <w:rPr>
          <w:rFonts w:ascii="Tahoma" w:hAnsi="Tahoma" w:cs="Tahoma"/>
        </w:rPr>
        <w:t>.</w:t>
      </w:r>
    </w:p>
    <w:p w:rsidR="00E57B03" w:rsidRPr="00E57B03" w:rsidRDefault="00E57B03" w:rsidP="00E57B03">
      <w:pPr>
        <w:tabs>
          <w:tab w:val="num" w:pos="1260"/>
        </w:tabs>
        <w:ind w:left="540"/>
        <w:jc w:val="both"/>
        <w:rPr>
          <w:rFonts w:ascii="Tahoma" w:hAnsi="Tahoma" w:cs="Tahoma"/>
        </w:rPr>
      </w:pPr>
    </w:p>
    <w:p w:rsidR="00E57B03" w:rsidRPr="00E57B03" w:rsidRDefault="00E57B03" w:rsidP="00E57B03">
      <w:pPr>
        <w:numPr>
          <w:ilvl w:val="3"/>
          <w:numId w:val="4"/>
        </w:numPr>
        <w:tabs>
          <w:tab w:val="clear" w:pos="3240"/>
          <w:tab w:val="num" w:pos="900"/>
          <w:tab w:val="num" w:pos="1260"/>
        </w:tabs>
        <w:ind w:left="900" w:hanging="360"/>
        <w:jc w:val="both"/>
        <w:rPr>
          <w:rFonts w:ascii="Tahoma" w:hAnsi="Tahoma" w:cs="Tahoma"/>
        </w:rPr>
      </w:pPr>
      <w:r w:rsidRPr="00E57B03">
        <w:rPr>
          <w:rFonts w:ascii="Tahoma" w:hAnsi="Tahoma" w:cs="Tahoma"/>
        </w:rPr>
        <w:t>Mediante Acta de Sesión N.º 04 el Comité Especial acordó por unanimidad que la propuesta presentada por su representada cumplía con las especificaciones técnicas exigidas por las bases administrativas, en otras palabras, aceptaron la entrega de tres (03) Monitor LG modelo L 193 SA, los cuales contaban con una Resolución mayor a 800x600 y con las siguientes entradas:</w:t>
      </w:r>
    </w:p>
    <w:p w:rsidR="00E57B03" w:rsidRPr="00E57B03" w:rsidRDefault="00E57B03" w:rsidP="00E57B03">
      <w:pPr>
        <w:tabs>
          <w:tab w:val="num" w:pos="1260"/>
        </w:tabs>
        <w:ind w:left="540"/>
        <w:jc w:val="both"/>
        <w:rPr>
          <w:rFonts w:ascii="Tahoma" w:hAnsi="Tahoma" w:cs="Tahoma"/>
        </w:rPr>
      </w:pPr>
    </w:p>
    <w:p w:rsidR="00E57B03" w:rsidRPr="00E57B03" w:rsidRDefault="00E57B03" w:rsidP="00E57B03">
      <w:pPr>
        <w:numPr>
          <w:ilvl w:val="4"/>
          <w:numId w:val="4"/>
        </w:numPr>
        <w:tabs>
          <w:tab w:val="clear" w:pos="3600"/>
          <w:tab w:val="num" w:pos="1440"/>
        </w:tabs>
        <w:ind w:left="1440"/>
        <w:jc w:val="both"/>
        <w:rPr>
          <w:rFonts w:ascii="Tahoma" w:hAnsi="Tahoma" w:cs="Tahoma"/>
        </w:rPr>
      </w:pPr>
      <w:r w:rsidRPr="00E57B03">
        <w:rPr>
          <w:rFonts w:ascii="Tahoma" w:hAnsi="Tahoma" w:cs="Tahoma"/>
        </w:rPr>
        <w:t xml:space="preserve">Entrada VGA de 15 pines </w:t>
      </w:r>
    </w:p>
    <w:p w:rsidR="00E57B03" w:rsidRPr="00E57B03" w:rsidRDefault="00E57B03" w:rsidP="00E57B03">
      <w:pPr>
        <w:numPr>
          <w:ilvl w:val="4"/>
          <w:numId w:val="4"/>
        </w:numPr>
        <w:tabs>
          <w:tab w:val="clear" w:pos="3600"/>
          <w:tab w:val="num" w:pos="1440"/>
        </w:tabs>
        <w:ind w:left="1440"/>
        <w:jc w:val="both"/>
        <w:rPr>
          <w:rFonts w:ascii="Tahoma" w:hAnsi="Tahoma" w:cs="Tahoma"/>
        </w:rPr>
      </w:pPr>
      <w:r w:rsidRPr="00E57B03">
        <w:rPr>
          <w:rFonts w:ascii="Tahoma" w:hAnsi="Tahoma" w:cs="Tahoma"/>
        </w:rPr>
        <w:t>Entrada de video: RCA con adaptados a BNC que funcionalmente es lo mismo que BNC con adaptador a RCA, este tipo de entrada técnicamente se denomina Entrada de video Compuesto CVBS, el cual puede tener conectores de tipo BNC o RCA.</w:t>
      </w:r>
    </w:p>
    <w:p w:rsidR="00E57B03" w:rsidRPr="00E57B03" w:rsidRDefault="00E57B03" w:rsidP="00E57B03">
      <w:pPr>
        <w:numPr>
          <w:ilvl w:val="4"/>
          <w:numId w:val="4"/>
        </w:numPr>
        <w:tabs>
          <w:tab w:val="clear" w:pos="3600"/>
          <w:tab w:val="num" w:pos="1440"/>
        </w:tabs>
        <w:ind w:left="1440"/>
        <w:jc w:val="both"/>
        <w:rPr>
          <w:rFonts w:ascii="Tahoma" w:hAnsi="Tahoma" w:cs="Tahoma"/>
        </w:rPr>
      </w:pPr>
      <w:r w:rsidRPr="00E57B03">
        <w:rPr>
          <w:rFonts w:ascii="Tahoma" w:hAnsi="Tahoma" w:cs="Tahoma"/>
        </w:rPr>
        <w:t>Entrada de S- Video</w:t>
      </w:r>
    </w:p>
    <w:p w:rsidR="00E57B03" w:rsidRPr="00E57B03" w:rsidRDefault="00E57B03" w:rsidP="00E57B03">
      <w:pPr>
        <w:tabs>
          <w:tab w:val="num" w:pos="1260"/>
        </w:tabs>
        <w:ind w:left="540"/>
        <w:jc w:val="both"/>
        <w:rPr>
          <w:rFonts w:ascii="Tahoma" w:hAnsi="Tahoma" w:cs="Tahoma"/>
        </w:rPr>
      </w:pPr>
      <w:r w:rsidRPr="00E57B03">
        <w:rPr>
          <w:rFonts w:ascii="Tahoma" w:hAnsi="Tahoma" w:cs="Tahoma"/>
        </w:rPr>
        <w:tab/>
      </w:r>
    </w:p>
    <w:p w:rsidR="00E57B03" w:rsidRPr="00E57B03" w:rsidRDefault="00E57B03" w:rsidP="00E57B03">
      <w:pPr>
        <w:tabs>
          <w:tab w:val="num" w:pos="1260"/>
        </w:tabs>
        <w:ind w:left="900"/>
        <w:jc w:val="both"/>
        <w:rPr>
          <w:rFonts w:ascii="Tahoma" w:hAnsi="Tahoma" w:cs="Tahoma"/>
        </w:rPr>
      </w:pPr>
      <w:r w:rsidRPr="00E57B03">
        <w:rPr>
          <w:rFonts w:ascii="Tahoma" w:hAnsi="Tahoma" w:cs="Tahoma"/>
        </w:rPr>
        <w:t xml:space="preserve">Nuestra empresa cumplió en el plazo otorgado con entregar los tres equipos ofertados. </w:t>
      </w:r>
    </w:p>
    <w:p w:rsidR="00E57B03" w:rsidRPr="00E57B03" w:rsidRDefault="00E57B03" w:rsidP="00E57B03">
      <w:pPr>
        <w:tabs>
          <w:tab w:val="num" w:pos="1260"/>
        </w:tabs>
        <w:ind w:left="540"/>
        <w:jc w:val="both"/>
        <w:rPr>
          <w:rFonts w:ascii="Tahoma" w:hAnsi="Tahoma" w:cs="Tahoma"/>
        </w:rPr>
      </w:pPr>
    </w:p>
    <w:p w:rsidR="00E57B03" w:rsidRPr="00E57B03" w:rsidRDefault="00E57B03" w:rsidP="00E57B03">
      <w:pPr>
        <w:numPr>
          <w:ilvl w:val="3"/>
          <w:numId w:val="4"/>
        </w:numPr>
        <w:tabs>
          <w:tab w:val="clear" w:pos="3240"/>
          <w:tab w:val="num" w:pos="900"/>
          <w:tab w:val="num" w:pos="1260"/>
        </w:tabs>
        <w:ind w:left="900" w:hanging="360"/>
        <w:jc w:val="both"/>
        <w:rPr>
          <w:rFonts w:ascii="Tahoma" w:hAnsi="Tahoma" w:cs="Tahoma"/>
        </w:rPr>
      </w:pPr>
      <w:r w:rsidRPr="00E57B03">
        <w:rPr>
          <w:rFonts w:ascii="Tahoma" w:hAnsi="Tahoma" w:cs="Tahoma"/>
        </w:rPr>
        <w:t xml:space="preserve">La propuesta técnica y económica presentada mostró en forma transparente la marca y el modelo del monitor ofertado con fotos frontal y posterior en las que se observan con meridiana claridad los tipos de las entradas de video con que contaban dichos monitores. </w:t>
      </w:r>
    </w:p>
    <w:p w:rsidR="00E57B03" w:rsidRPr="00E57B03" w:rsidRDefault="00E57B03" w:rsidP="00E57B03">
      <w:pPr>
        <w:tabs>
          <w:tab w:val="num" w:pos="1260"/>
        </w:tabs>
        <w:jc w:val="both"/>
        <w:rPr>
          <w:rFonts w:ascii="Tahoma" w:hAnsi="Tahoma" w:cs="Tahoma"/>
        </w:rPr>
      </w:pPr>
    </w:p>
    <w:p w:rsidR="00E57B03" w:rsidRPr="00E57B03" w:rsidRDefault="00E57B03" w:rsidP="00E57B03">
      <w:pPr>
        <w:pStyle w:val="Textoindependiente"/>
        <w:numPr>
          <w:ilvl w:val="0"/>
          <w:numId w:val="4"/>
        </w:numPr>
        <w:tabs>
          <w:tab w:val="left" w:pos="5400"/>
        </w:tabs>
        <w:rPr>
          <w:rFonts w:ascii="Tahoma" w:hAnsi="Tahoma" w:cs="Tahoma"/>
          <w:sz w:val="20"/>
        </w:rPr>
      </w:pPr>
      <w:r w:rsidRPr="00E57B03">
        <w:rPr>
          <w:rFonts w:ascii="Tahoma" w:hAnsi="Tahoma" w:cs="Tahoma"/>
          <w:sz w:val="20"/>
          <w:lang w:val="es-ES_tradnl"/>
        </w:rPr>
        <w:t>Mediante decreto de</w:t>
      </w:r>
      <w:r w:rsidRPr="00E57B03">
        <w:rPr>
          <w:rFonts w:ascii="Tahoma" w:hAnsi="Tahoma" w:cs="Tahoma"/>
          <w:sz w:val="20"/>
        </w:rPr>
        <w:t>l 01 de diciembre de 2006 se remitió el expediente a la Sala Única del Tribunal para que resuelva.</w:t>
      </w:r>
    </w:p>
    <w:p w:rsidR="00E57B03" w:rsidRPr="00E57B03" w:rsidRDefault="00E57B03" w:rsidP="00E57B03">
      <w:pPr>
        <w:pStyle w:val="Textoindependiente"/>
        <w:tabs>
          <w:tab w:val="left" w:pos="5400"/>
        </w:tabs>
        <w:rPr>
          <w:rFonts w:ascii="Tahoma" w:hAnsi="Tahoma" w:cs="Tahoma"/>
          <w:sz w:val="20"/>
        </w:rPr>
      </w:pPr>
    </w:p>
    <w:p w:rsidR="00E57B03" w:rsidRPr="00E57B03" w:rsidRDefault="00E57B03" w:rsidP="00E57B03">
      <w:pPr>
        <w:pStyle w:val="Textoindependiente"/>
        <w:numPr>
          <w:ilvl w:val="0"/>
          <w:numId w:val="4"/>
        </w:numPr>
        <w:tabs>
          <w:tab w:val="left" w:pos="5400"/>
        </w:tabs>
        <w:rPr>
          <w:rFonts w:ascii="Tahoma" w:hAnsi="Tahoma" w:cs="Tahoma"/>
          <w:sz w:val="20"/>
        </w:rPr>
      </w:pPr>
      <w:r w:rsidRPr="00E57B03">
        <w:rPr>
          <w:rFonts w:ascii="Tahoma" w:hAnsi="Tahoma" w:cs="Tahoma"/>
          <w:sz w:val="20"/>
        </w:rPr>
        <w:t>El Acuerdo Nº 007/2007 expedido en sesión de Sala Plena del Tribunal el 12 de abril de 2007, estableció que la Tercera Sala del Tribunal conocerá los procedimientos administrativos sancionadores y determinó los criterios de asignación de expedientes de aplicación de sanción, motivo por el cual, mediante decreto de fecha 04 de junio de 2007 se remitió el presente expediente administrativo a la Tercera Sala del Tribunal.</w:t>
      </w:r>
    </w:p>
    <w:p w:rsidR="00E57B03" w:rsidRPr="00E57B03" w:rsidRDefault="00E57B03" w:rsidP="00E57B03">
      <w:pPr>
        <w:pStyle w:val="Prrafodelista"/>
        <w:rPr>
          <w:rFonts w:ascii="Tahoma" w:hAnsi="Tahoma" w:cs="Tahoma"/>
          <w:sz w:val="20"/>
        </w:rPr>
      </w:pPr>
    </w:p>
    <w:p w:rsidR="00E57B03" w:rsidRPr="00E57B03" w:rsidRDefault="00E57B03" w:rsidP="00E57B03">
      <w:pPr>
        <w:pStyle w:val="Textoindependiente"/>
        <w:numPr>
          <w:ilvl w:val="0"/>
          <w:numId w:val="4"/>
        </w:numPr>
        <w:tabs>
          <w:tab w:val="left" w:pos="5400"/>
        </w:tabs>
        <w:rPr>
          <w:rFonts w:ascii="Tahoma" w:hAnsi="Tahoma" w:cs="Tahoma"/>
          <w:sz w:val="20"/>
        </w:rPr>
      </w:pPr>
      <w:r w:rsidRPr="00E57B03">
        <w:rPr>
          <w:rFonts w:ascii="Tahoma" w:hAnsi="Tahoma" w:cs="Tahoma"/>
          <w:sz w:val="20"/>
        </w:rPr>
        <w:t xml:space="preserve">Mediante Resolución Nº 1730-2007-TC-S3 expedida el 26 de octubre de 2007, la Tercera Sala del Tribunal, resolvió sancionar a la empresa </w:t>
      </w:r>
      <w:proofErr w:type="spellStart"/>
      <w:r w:rsidRPr="00E57B03">
        <w:rPr>
          <w:rFonts w:ascii="Tahoma" w:hAnsi="Tahoma" w:cs="Tahoma"/>
          <w:sz w:val="20"/>
        </w:rPr>
        <w:t>Jolmm’s</w:t>
      </w:r>
      <w:proofErr w:type="spellEnd"/>
      <w:r w:rsidRPr="00E57B03">
        <w:rPr>
          <w:rFonts w:ascii="Tahoma" w:hAnsi="Tahoma" w:cs="Tahoma"/>
          <w:sz w:val="20"/>
        </w:rPr>
        <w:t xml:space="preserve"> </w:t>
      </w:r>
      <w:proofErr w:type="spellStart"/>
      <w:r w:rsidRPr="00E57B03">
        <w:rPr>
          <w:rFonts w:ascii="Tahoma" w:hAnsi="Tahoma" w:cs="Tahoma"/>
          <w:sz w:val="20"/>
        </w:rPr>
        <w:t>Computer</w:t>
      </w:r>
      <w:proofErr w:type="spellEnd"/>
      <w:r w:rsidRPr="00E57B03">
        <w:rPr>
          <w:rFonts w:ascii="Tahoma" w:hAnsi="Tahoma" w:cs="Tahoma"/>
          <w:sz w:val="20"/>
        </w:rPr>
        <w:t xml:space="preserve"> </w:t>
      </w:r>
      <w:proofErr w:type="spellStart"/>
      <w:r w:rsidRPr="00E57B03">
        <w:rPr>
          <w:rFonts w:ascii="Tahoma" w:hAnsi="Tahoma" w:cs="Tahoma"/>
          <w:sz w:val="20"/>
        </w:rPr>
        <w:t>Supplies</w:t>
      </w:r>
      <w:proofErr w:type="spellEnd"/>
      <w:r w:rsidRPr="00E57B03">
        <w:rPr>
          <w:rFonts w:ascii="Tahoma" w:hAnsi="Tahoma" w:cs="Tahoma"/>
          <w:sz w:val="20"/>
        </w:rPr>
        <w:t xml:space="preserve"> &amp; </w:t>
      </w:r>
      <w:proofErr w:type="spellStart"/>
      <w:r w:rsidRPr="00E57B03">
        <w:rPr>
          <w:rFonts w:ascii="Tahoma" w:hAnsi="Tahoma" w:cs="Tahoma"/>
          <w:sz w:val="20"/>
        </w:rPr>
        <w:t>Services</w:t>
      </w:r>
      <w:proofErr w:type="spellEnd"/>
      <w:r w:rsidRPr="00E57B03">
        <w:rPr>
          <w:rFonts w:ascii="Tahoma" w:hAnsi="Tahoma" w:cs="Tahoma"/>
          <w:sz w:val="20"/>
        </w:rPr>
        <w:t xml:space="preserve"> S.A. con catorce (14) meses de inhabilitación temporal para participar en procesos de </w:t>
      </w:r>
      <w:r w:rsidRPr="00E57B03">
        <w:rPr>
          <w:rFonts w:ascii="Tahoma" w:hAnsi="Tahoma" w:cs="Tahoma"/>
          <w:sz w:val="20"/>
        </w:rPr>
        <w:lastRenderedPageBreak/>
        <w:t>selección y contratar con el Estado. Se precisa que dicha Resolución fue notificada el 29 de octubre de 2007</w:t>
      </w:r>
      <w:r w:rsidRPr="00E57B03">
        <w:rPr>
          <w:rStyle w:val="Refdenotaalpie"/>
          <w:rFonts w:ascii="Tahoma" w:hAnsi="Tahoma" w:cs="Tahoma"/>
          <w:sz w:val="20"/>
        </w:rPr>
        <w:footnoteReference w:id="8"/>
      </w:r>
      <w:r w:rsidRPr="00E57B03">
        <w:rPr>
          <w:rFonts w:ascii="Tahoma" w:hAnsi="Tahoma" w:cs="Tahoma"/>
          <w:sz w:val="20"/>
        </w:rPr>
        <w:t>.</w:t>
      </w:r>
    </w:p>
    <w:p w:rsidR="00E57B03" w:rsidRPr="00E57B03" w:rsidRDefault="00E57B03" w:rsidP="00E57B03">
      <w:pPr>
        <w:pStyle w:val="Prrafodelista"/>
        <w:rPr>
          <w:rFonts w:ascii="Tahoma" w:hAnsi="Tahoma" w:cs="Tahoma"/>
          <w:sz w:val="20"/>
          <w:lang w:val="es-ES"/>
        </w:rPr>
      </w:pPr>
    </w:p>
    <w:p w:rsidR="00E57B03" w:rsidRPr="00E57B03" w:rsidRDefault="00E57B03" w:rsidP="00E57B03">
      <w:pPr>
        <w:pStyle w:val="Textoindependiente"/>
        <w:numPr>
          <w:ilvl w:val="0"/>
          <w:numId w:val="4"/>
        </w:numPr>
        <w:tabs>
          <w:tab w:val="left" w:pos="5400"/>
        </w:tabs>
        <w:rPr>
          <w:rFonts w:ascii="Tahoma" w:hAnsi="Tahoma" w:cs="Tahoma"/>
          <w:sz w:val="20"/>
        </w:rPr>
      </w:pPr>
      <w:r w:rsidRPr="00E57B03">
        <w:rPr>
          <w:rFonts w:ascii="Tahoma" w:hAnsi="Tahoma" w:cs="Tahoma"/>
          <w:sz w:val="20"/>
        </w:rPr>
        <w:t>El 31 de octubre de 2007 la Contratista interpuso recurso de reconsideración contra la decisión del Tribunal descrita en el numeral anterior, solicitando se revoque lo dispuesto por la Resolución N</w:t>
      </w:r>
      <w:proofErr w:type="gramStart"/>
      <w:r w:rsidRPr="00E57B03">
        <w:rPr>
          <w:rFonts w:ascii="Tahoma" w:hAnsi="Tahoma" w:cs="Tahoma"/>
          <w:sz w:val="20"/>
        </w:rPr>
        <w:t>.º</w:t>
      </w:r>
      <w:proofErr w:type="gramEnd"/>
      <w:r w:rsidRPr="00E57B03">
        <w:rPr>
          <w:rFonts w:ascii="Tahoma" w:hAnsi="Tahoma" w:cs="Tahoma"/>
          <w:sz w:val="20"/>
        </w:rPr>
        <w:t xml:space="preserve"> 1730-2007-TC-S3, y en consecuencia se declare no ha lugar a la imposición de sanción.</w:t>
      </w:r>
    </w:p>
    <w:p w:rsidR="00E57B03" w:rsidRPr="00E57B03" w:rsidRDefault="00E57B03" w:rsidP="00E57B03">
      <w:pPr>
        <w:pStyle w:val="Prrafodelista"/>
        <w:rPr>
          <w:rFonts w:ascii="Tahoma" w:hAnsi="Tahoma" w:cs="Tahoma"/>
          <w:sz w:val="20"/>
        </w:rPr>
      </w:pPr>
    </w:p>
    <w:p w:rsidR="00E57B03" w:rsidRPr="00E57B03" w:rsidRDefault="00E57B03" w:rsidP="00E57B03">
      <w:pPr>
        <w:pStyle w:val="Textoindependiente"/>
        <w:tabs>
          <w:tab w:val="left" w:pos="5400"/>
        </w:tabs>
        <w:ind w:left="454"/>
        <w:rPr>
          <w:rFonts w:ascii="Tahoma" w:hAnsi="Tahoma" w:cs="Tahoma"/>
          <w:sz w:val="20"/>
        </w:rPr>
      </w:pPr>
      <w:r w:rsidRPr="00E57B03">
        <w:rPr>
          <w:rFonts w:ascii="Tahoma" w:hAnsi="Tahoma" w:cs="Tahoma"/>
          <w:sz w:val="20"/>
        </w:rPr>
        <w:t>La Contratista fundamentó su recurso sobre la base de las siguientes consideraciones:</w:t>
      </w:r>
    </w:p>
    <w:p w:rsidR="00E57B03" w:rsidRPr="00E57B03" w:rsidRDefault="00E57B03" w:rsidP="00E57B03">
      <w:pPr>
        <w:pStyle w:val="Prrafodelista"/>
        <w:rPr>
          <w:rFonts w:ascii="Tahoma" w:hAnsi="Tahoma" w:cs="Tahoma"/>
          <w:sz w:val="20"/>
          <w:lang w:val="es-ES"/>
        </w:rPr>
      </w:pPr>
    </w:p>
    <w:p w:rsidR="00E57B03" w:rsidRPr="00E57B03" w:rsidRDefault="00E57B03" w:rsidP="00E57B03">
      <w:pPr>
        <w:pStyle w:val="Textoindependiente"/>
        <w:numPr>
          <w:ilvl w:val="3"/>
          <w:numId w:val="4"/>
        </w:numPr>
        <w:tabs>
          <w:tab w:val="clear" w:pos="3240"/>
          <w:tab w:val="num" w:pos="1134"/>
          <w:tab w:val="left" w:pos="5400"/>
        </w:tabs>
        <w:ind w:left="1134"/>
        <w:rPr>
          <w:rFonts w:ascii="Tahoma" w:hAnsi="Tahoma" w:cs="Tahoma"/>
          <w:sz w:val="20"/>
        </w:rPr>
      </w:pPr>
      <w:r w:rsidRPr="00E57B03">
        <w:rPr>
          <w:rFonts w:ascii="Tahoma" w:hAnsi="Tahoma" w:cs="Tahoma"/>
          <w:sz w:val="20"/>
        </w:rPr>
        <w:t xml:space="preserve">El problema se originó por una confusión del Área de Logística de la Entidad al encargar la compra de los monitores al CIUU 7200-INFORMATICA Y ACTIVIDADES CONEXAS cuando le correspondía al CIUU-6420-TELECOMUNICACIONES. Dicha confusión ocasionó que durante el proceso de selección convocado no se indicará de manera precisa que los monitores eran especialmente para Circuito Cerrado de Televisión (CCTV), así como tampoco se hizo referencia a las características especiales de los CCTV en las especificaciones técnicas. </w:t>
      </w:r>
    </w:p>
    <w:p w:rsidR="00E57B03" w:rsidRPr="00E57B03" w:rsidRDefault="00E57B03" w:rsidP="00E57B03">
      <w:pPr>
        <w:pStyle w:val="Textoindependiente"/>
        <w:tabs>
          <w:tab w:val="left" w:pos="5400"/>
        </w:tabs>
        <w:ind w:left="1134"/>
        <w:rPr>
          <w:rFonts w:ascii="Tahoma" w:hAnsi="Tahoma" w:cs="Tahoma"/>
          <w:sz w:val="20"/>
        </w:rPr>
      </w:pPr>
    </w:p>
    <w:p w:rsidR="00E57B03" w:rsidRPr="00E57B03" w:rsidRDefault="00E57B03" w:rsidP="00E57B03">
      <w:pPr>
        <w:pStyle w:val="Textoindependiente"/>
        <w:numPr>
          <w:ilvl w:val="3"/>
          <w:numId w:val="4"/>
        </w:numPr>
        <w:tabs>
          <w:tab w:val="clear" w:pos="3240"/>
          <w:tab w:val="num" w:pos="1134"/>
          <w:tab w:val="left" w:pos="5400"/>
        </w:tabs>
        <w:ind w:left="1134"/>
        <w:rPr>
          <w:rFonts w:ascii="Tahoma" w:hAnsi="Tahoma" w:cs="Tahoma"/>
          <w:sz w:val="20"/>
        </w:rPr>
      </w:pPr>
      <w:r w:rsidRPr="00E57B03">
        <w:rPr>
          <w:rFonts w:ascii="Tahoma" w:hAnsi="Tahoma" w:cs="Tahoma"/>
          <w:sz w:val="20"/>
        </w:rPr>
        <w:t>Las características especiales de los CCTV recién han sido incluidas en la Adjudicación Directa Selectiva Nº 010-2007/DINI convocado para la adquisición de sistema de CCTV.  En este nuevo proceso de selección la Entidad ha reconocido implícitamente su error, ya que en esta oportunidad no menciona la entrada de video : BNC, debe incluir RCA, sino que requieren monitores con entradas de video compuesto (CVBS), S-Video y VGA, las cuales son características de los monitores LG L193SA que rechazaron injustamente.</w:t>
      </w:r>
    </w:p>
    <w:p w:rsidR="00E57B03" w:rsidRPr="00E57B03" w:rsidRDefault="00E57B03" w:rsidP="00E57B03">
      <w:pPr>
        <w:pStyle w:val="Textoindependiente"/>
        <w:tabs>
          <w:tab w:val="left" w:pos="5400"/>
        </w:tabs>
        <w:ind w:left="1134"/>
        <w:rPr>
          <w:rFonts w:ascii="Tahoma" w:hAnsi="Tahoma" w:cs="Tahoma"/>
          <w:sz w:val="20"/>
        </w:rPr>
      </w:pPr>
    </w:p>
    <w:p w:rsidR="00E57B03" w:rsidRPr="00E57B03" w:rsidRDefault="00E57B03" w:rsidP="00E57B03">
      <w:pPr>
        <w:pStyle w:val="Textoindependiente"/>
        <w:numPr>
          <w:ilvl w:val="0"/>
          <w:numId w:val="4"/>
        </w:numPr>
        <w:tabs>
          <w:tab w:val="left" w:pos="5400"/>
        </w:tabs>
        <w:rPr>
          <w:rFonts w:ascii="Tahoma" w:hAnsi="Tahoma" w:cs="Tahoma"/>
          <w:sz w:val="20"/>
        </w:rPr>
      </w:pPr>
      <w:r w:rsidRPr="00E57B03">
        <w:rPr>
          <w:rFonts w:ascii="Tahoma" w:hAnsi="Tahoma" w:cs="Tahoma"/>
          <w:sz w:val="20"/>
        </w:rPr>
        <w:t>Mediante decreto de fecha 05 de noviembre de 2007 se remitió el expediente a la Tercera Sala del Tribunal para el pronunciamiento correspondiente.</w:t>
      </w:r>
    </w:p>
    <w:p w:rsidR="00E57B03" w:rsidRPr="00E57B03" w:rsidRDefault="00E57B03" w:rsidP="00E57B03">
      <w:pPr>
        <w:rPr>
          <w:rFonts w:ascii="Tahoma" w:hAnsi="Tahoma" w:cs="Tahoma"/>
          <w:b/>
          <w:shadow/>
          <w:lang w:val="es-PE"/>
        </w:rPr>
      </w:pPr>
    </w:p>
    <w:p w:rsidR="00E57B03" w:rsidRPr="00E57B03" w:rsidRDefault="00E57B03" w:rsidP="00E57B03">
      <w:pPr>
        <w:rPr>
          <w:rFonts w:ascii="Tahoma" w:hAnsi="Tahoma" w:cs="Tahoma"/>
          <w:b/>
          <w:shadow/>
        </w:rPr>
      </w:pPr>
      <w:r w:rsidRPr="00E57B03">
        <w:rPr>
          <w:rFonts w:ascii="Tahoma" w:hAnsi="Tahoma" w:cs="Tahoma"/>
          <w:b/>
          <w:shadow/>
        </w:rPr>
        <w:t>FUNDAMENTOS</w:t>
      </w:r>
    </w:p>
    <w:p w:rsidR="00E57B03" w:rsidRPr="00E57B03" w:rsidRDefault="00E57B03" w:rsidP="00E57B03">
      <w:pPr>
        <w:tabs>
          <w:tab w:val="left" w:pos="540"/>
        </w:tabs>
        <w:ind w:left="360"/>
        <w:jc w:val="both"/>
        <w:rPr>
          <w:rFonts w:ascii="Tahoma" w:hAnsi="Tahoma" w:cs="Tahoma"/>
        </w:rPr>
      </w:pPr>
    </w:p>
    <w:p w:rsidR="00E57B03" w:rsidRPr="00E57B03" w:rsidRDefault="00E57B03" w:rsidP="00E57B03">
      <w:pPr>
        <w:numPr>
          <w:ilvl w:val="0"/>
          <w:numId w:val="2"/>
        </w:numPr>
        <w:tabs>
          <w:tab w:val="clear" w:pos="900"/>
          <w:tab w:val="num" w:pos="426"/>
          <w:tab w:val="num" w:pos="540"/>
        </w:tabs>
        <w:ind w:left="426" w:hanging="426"/>
        <w:jc w:val="both"/>
        <w:rPr>
          <w:rFonts w:ascii="Tahoma" w:hAnsi="Tahoma" w:cs="Tahoma"/>
        </w:rPr>
      </w:pPr>
      <w:r w:rsidRPr="00E57B03">
        <w:rPr>
          <w:rFonts w:ascii="Tahoma" w:hAnsi="Tahoma" w:cs="Tahoma"/>
          <w:lang w:val="es-PE"/>
        </w:rPr>
        <w:t>El recurso de reconsideración en los procedimientos administrativos sancionadores a cargo del Tribunal se encuentra regulado en el artículo 306</w:t>
      </w:r>
      <w:r w:rsidRPr="00E57B03">
        <w:rPr>
          <w:rStyle w:val="Refdenotaalpie"/>
          <w:rFonts w:ascii="Tahoma" w:hAnsi="Tahoma" w:cs="Tahoma"/>
          <w:lang w:val="es-PE"/>
        </w:rPr>
        <w:footnoteReference w:id="9"/>
      </w:r>
      <w:r w:rsidRPr="00E57B03">
        <w:rPr>
          <w:rFonts w:ascii="Tahoma" w:hAnsi="Tahoma" w:cs="Tahoma"/>
          <w:lang w:val="es-PE"/>
        </w:rPr>
        <w:t xml:space="preserve"> del Reglamento de </w:t>
      </w:r>
      <w:r w:rsidRPr="00E57B03">
        <w:rPr>
          <w:rFonts w:ascii="Tahoma" w:hAnsi="Tahoma" w:cs="Tahoma"/>
        </w:rPr>
        <w:t xml:space="preserve"> la Ley de Contrataciones y Adquisiciones del Estado, aprobado por Decreto Supremo N.° 084-2004-PCM, en lo sucesivo el Reglamento</w:t>
      </w:r>
      <w:r w:rsidRPr="00E57B03">
        <w:rPr>
          <w:rFonts w:ascii="Tahoma" w:hAnsi="Tahoma" w:cs="Tahoma"/>
          <w:lang w:val="es-PE"/>
        </w:rPr>
        <w:t xml:space="preserve">, a cuyo tenor aquél debe ser interpuesto dentro de los tres (3) días siguientes a la notificación de la resolución que impone la sanción y resuelto en el término de quince (15) días hábiles desde su presentación. </w:t>
      </w:r>
    </w:p>
    <w:p w:rsidR="00E57B03" w:rsidRPr="00E57B03" w:rsidRDefault="00E57B03" w:rsidP="00E57B03">
      <w:pPr>
        <w:tabs>
          <w:tab w:val="num" w:pos="426"/>
        </w:tabs>
        <w:ind w:left="426" w:hanging="426"/>
        <w:jc w:val="both"/>
        <w:rPr>
          <w:rFonts w:ascii="Tahoma" w:hAnsi="Tahoma" w:cs="Tahoma"/>
        </w:rPr>
      </w:pPr>
    </w:p>
    <w:p w:rsidR="00E57B03" w:rsidRPr="00E57B03" w:rsidRDefault="00E57B03" w:rsidP="00E57B03">
      <w:pPr>
        <w:numPr>
          <w:ilvl w:val="0"/>
          <w:numId w:val="2"/>
        </w:numPr>
        <w:tabs>
          <w:tab w:val="clear" w:pos="900"/>
          <w:tab w:val="num" w:pos="426"/>
          <w:tab w:val="num" w:pos="540"/>
        </w:tabs>
        <w:ind w:left="426" w:hanging="426"/>
        <w:jc w:val="both"/>
        <w:rPr>
          <w:rFonts w:ascii="Tahoma" w:hAnsi="Tahoma" w:cs="Tahoma"/>
        </w:rPr>
      </w:pPr>
      <w:r w:rsidRPr="00E57B03">
        <w:rPr>
          <w:rFonts w:ascii="Tahoma" w:hAnsi="Tahoma" w:cs="Tahoma"/>
        </w:rPr>
        <w:lastRenderedPageBreak/>
        <w:t xml:space="preserve">En el caso bajo análisis, la empresa </w:t>
      </w:r>
      <w:proofErr w:type="spellStart"/>
      <w:r w:rsidRPr="00E57B03">
        <w:rPr>
          <w:rFonts w:ascii="Tahoma" w:hAnsi="Tahoma" w:cs="Tahoma"/>
        </w:rPr>
        <w:t>Jolmm’s</w:t>
      </w:r>
      <w:proofErr w:type="spellEnd"/>
      <w:r w:rsidRPr="00E57B03">
        <w:rPr>
          <w:rFonts w:ascii="Tahoma" w:hAnsi="Tahoma" w:cs="Tahoma"/>
        </w:rPr>
        <w:t xml:space="preserve"> </w:t>
      </w:r>
      <w:proofErr w:type="spellStart"/>
      <w:r w:rsidRPr="00E57B03">
        <w:rPr>
          <w:rFonts w:ascii="Tahoma" w:hAnsi="Tahoma" w:cs="Tahoma"/>
        </w:rPr>
        <w:t>Computer</w:t>
      </w:r>
      <w:proofErr w:type="spellEnd"/>
      <w:r w:rsidRPr="00E57B03">
        <w:rPr>
          <w:rFonts w:ascii="Tahoma" w:hAnsi="Tahoma" w:cs="Tahoma"/>
        </w:rPr>
        <w:t xml:space="preserve"> </w:t>
      </w:r>
      <w:proofErr w:type="spellStart"/>
      <w:r w:rsidRPr="00E57B03">
        <w:rPr>
          <w:rFonts w:ascii="Tahoma" w:hAnsi="Tahoma" w:cs="Tahoma"/>
        </w:rPr>
        <w:t>Supplies</w:t>
      </w:r>
      <w:proofErr w:type="spellEnd"/>
      <w:r w:rsidRPr="00E57B03">
        <w:rPr>
          <w:rFonts w:ascii="Tahoma" w:hAnsi="Tahoma" w:cs="Tahoma"/>
        </w:rPr>
        <w:t xml:space="preserve"> &amp; </w:t>
      </w:r>
      <w:proofErr w:type="spellStart"/>
      <w:r w:rsidRPr="00E57B03">
        <w:rPr>
          <w:rFonts w:ascii="Tahoma" w:hAnsi="Tahoma" w:cs="Tahoma"/>
        </w:rPr>
        <w:t>Services</w:t>
      </w:r>
      <w:proofErr w:type="spellEnd"/>
      <w:r w:rsidRPr="00E57B03">
        <w:rPr>
          <w:rFonts w:ascii="Tahoma" w:hAnsi="Tahoma" w:cs="Tahoma"/>
        </w:rPr>
        <w:t xml:space="preserve"> S.A. ha interpuesto recurso de reconsideración el 31 de octubre de 2007 en contra de la sanción impuesta por la Tercera Sala del Tribunal mediante Resolución N.° 1730/2007.TC-S3.</w:t>
      </w:r>
    </w:p>
    <w:p w:rsidR="00E57B03" w:rsidRPr="00E57B03" w:rsidRDefault="00E57B03" w:rsidP="00E57B03">
      <w:pPr>
        <w:tabs>
          <w:tab w:val="num" w:pos="426"/>
          <w:tab w:val="num" w:pos="540"/>
        </w:tabs>
        <w:ind w:left="426" w:hanging="426"/>
        <w:jc w:val="both"/>
        <w:rPr>
          <w:rFonts w:ascii="Tahoma" w:hAnsi="Tahoma" w:cs="Tahoma"/>
        </w:rPr>
      </w:pPr>
    </w:p>
    <w:p w:rsidR="00E57B03" w:rsidRPr="00E57B03" w:rsidRDefault="00E57B03" w:rsidP="00E57B03">
      <w:pPr>
        <w:tabs>
          <w:tab w:val="num" w:pos="426"/>
          <w:tab w:val="num" w:pos="540"/>
        </w:tabs>
        <w:ind w:left="426" w:hanging="426"/>
        <w:jc w:val="both"/>
        <w:rPr>
          <w:rFonts w:ascii="Tahoma" w:hAnsi="Tahoma" w:cs="Tahoma"/>
        </w:rPr>
      </w:pPr>
      <w:r w:rsidRPr="00E57B03">
        <w:rPr>
          <w:rFonts w:ascii="Tahoma" w:hAnsi="Tahoma" w:cs="Tahoma"/>
        </w:rPr>
        <w:tab/>
        <w:t xml:space="preserve">Al respecto, se ha verificado que con fecha 29 de octubre de 2007 se notificó a </w:t>
      </w:r>
      <w:proofErr w:type="spellStart"/>
      <w:r w:rsidRPr="00E57B03">
        <w:rPr>
          <w:rFonts w:ascii="Tahoma" w:hAnsi="Tahoma" w:cs="Tahoma"/>
        </w:rPr>
        <w:t>Jolmm’s</w:t>
      </w:r>
      <w:proofErr w:type="spellEnd"/>
      <w:r w:rsidRPr="00E57B03">
        <w:rPr>
          <w:rFonts w:ascii="Tahoma" w:hAnsi="Tahoma" w:cs="Tahoma"/>
        </w:rPr>
        <w:t xml:space="preserve"> </w:t>
      </w:r>
      <w:proofErr w:type="spellStart"/>
      <w:r w:rsidRPr="00E57B03">
        <w:rPr>
          <w:rFonts w:ascii="Tahoma" w:hAnsi="Tahoma" w:cs="Tahoma"/>
        </w:rPr>
        <w:t>Computer</w:t>
      </w:r>
      <w:proofErr w:type="spellEnd"/>
      <w:r w:rsidRPr="00E57B03">
        <w:rPr>
          <w:rFonts w:ascii="Tahoma" w:hAnsi="Tahoma" w:cs="Tahoma"/>
        </w:rPr>
        <w:t xml:space="preserve"> </w:t>
      </w:r>
      <w:proofErr w:type="spellStart"/>
      <w:r w:rsidRPr="00E57B03">
        <w:rPr>
          <w:rFonts w:ascii="Tahoma" w:hAnsi="Tahoma" w:cs="Tahoma"/>
        </w:rPr>
        <w:t>Supplies</w:t>
      </w:r>
      <w:proofErr w:type="spellEnd"/>
      <w:r w:rsidRPr="00E57B03">
        <w:rPr>
          <w:rFonts w:ascii="Tahoma" w:hAnsi="Tahoma" w:cs="Tahoma"/>
        </w:rPr>
        <w:t xml:space="preserve"> &amp; </w:t>
      </w:r>
      <w:proofErr w:type="spellStart"/>
      <w:r w:rsidRPr="00E57B03">
        <w:rPr>
          <w:rFonts w:ascii="Tahoma" w:hAnsi="Tahoma" w:cs="Tahoma"/>
        </w:rPr>
        <w:t>Services</w:t>
      </w:r>
      <w:proofErr w:type="spellEnd"/>
      <w:r w:rsidRPr="00E57B03">
        <w:rPr>
          <w:rFonts w:ascii="Tahoma" w:hAnsi="Tahoma" w:cs="Tahoma"/>
        </w:rPr>
        <w:t xml:space="preserve"> S.A. la Resolución Nº 1730/2007.TC-S3 expedida el 26 de octubre de 2007, por lo que la interposición del recurso de reconsideración por las empresas se realizó dentro del plazo establecido en el artículo 306 del Decreto Supremo N</w:t>
      </w:r>
      <w:proofErr w:type="gramStart"/>
      <w:r w:rsidRPr="00E57B03">
        <w:rPr>
          <w:rFonts w:ascii="Tahoma" w:hAnsi="Tahoma" w:cs="Tahoma"/>
        </w:rPr>
        <w:t>.º</w:t>
      </w:r>
      <w:proofErr w:type="gramEnd"/>
      <w:r w:rsidRPr="00E57B03">
        <w:rPr>
          <w:rFonts w:ascii="Tahoma" w:hAnsi="Tahoma" w:cs="Tahoma"/>
        </w:rPr>
        <w:t xml:space="preserve"> 084-2004-PCM.</w:t>
      </w:r>
    </w:p>
    <w:p w:rsidR="00E57B03" w:rsidRPr="00E57B03" w:rsidRDefault="00E57B03" w:rsidP="00E57B03">
      <w:pPr>
        <w:tabs>
          <w:tab w:val="num" w:pos="426"/>
        </w:tabs>
        <w:ind w:left="426" w:hanging="426"/>
        <w:jc w:val="both"/>
        <w:rPr>
          <w:rFonts w:ascii="Tahoma" w:hAnsi="Tahoma" w:cs="Tahoma"/>
        </w:rPr>
      </w:pPr>
    </w:p>
    <w:p w:rsidR="00E57B03" w:rsidRPr="00E57B03" w:rsidRDefault="00E57B03" w:rsidP="00E57B03">
      <w:pPr>
        <w:numPr>
          <w:ilvl w:val="0"/>
          <w:numId w:val="2"/>
        </w:numPr>
        <w:tabs>
          <w:tab w:val="clear" w:pos="900"/>
          <w:tab w:val="num" w:pos="426"/>
          <w:tab w:val="num" w:pos="540"/>
        </w:tabs>
        <w:ind w:left="426" w:hanging="426"/>
        <w:jc w:val="both"/>
        <w:rPr>
          <w:rFonts w:ascii="Tahoma" w:hAnsi="Tahoma" w:cs="Tahoma"/>
        </w:rPr>
      </w:pPr>
      <w:r w:rsidRPr="00E57B03">
        <w:rPr>
          <w:rFonts w:ascii="Tahoma" w:hAnsi="Tahoma" w:cs="Tahoma"/>
        </w:rPr>
        <w:t xml:space="preserve">El artículo 208 de la Ley del Procedimiento Administrativo General, Ley Nº 27444 establece que el recurso de reconsideración se interpondrá ante </w:t>
      </w:r>
      <w:proofErr w:type="spellStart"/>
      <w:r w:rsidRPr="00E57B03">
        <w:rPr>
          <w:rFonts w:ascii="Tahoma" w:hAnsi="Tahoma" w:cs="Tahoma"/>
        </w:rPr>
        <w:t>eal</w:t>
      </w:r>
      <w:proofErr w:type="spellEnd"/>
      <w:r w:rsidRPr="00E57B03">
        <w:rPr>
          <w:rFonts w:ascii="Tahoma" w:hAnsi="Tahoma" w:cs="Tahoma"/>
        </w:rPr>
        <w:t xml:space="preserve"> mismo órgano que dictó el primer acto que es materia de la impugnación y deberá sustentarse en nueva prueba. En los casos que los actos administrativos emitidos por órgano que constituyen </w:t>
      </w:r>
      <w:r w:rsidRPr="00E57B03">
        <w:rPr>
          <w:rFonts w:ascii="Tahoma" w:hAnsi="Tahoma" w:cs="Tahoma"/>
          <w:u w:val="single"/>
        </w:rPr>
        <w:t>única instancia</w:t>
      </w:r>
      <w:r w:rsidRPr="00E57B03">
        <w:rPr>
          <w:rFonts w:ascii="Tahoma" w:hAnsi="Tahoma" w:cs="Tahoma"/>
        </w:rPr>
        <w:t xml:space="preserve"> no se requiere nueva prueba.</w:t>
      </w:r>
    </w:p>
    <w:p w:rsidR="00E57B03" w:rsidRPr="00E57B03" w:rsidRDefault="00E57B03" w:rsidP="00E57B03">
      <w:pPr>
        <w:tabs>
          <w:tab w:val="num" w:pos="426"/>
          <w:tab w:val="num" w:pos="900"/>
        </w:tabs>
        <w:ind w:left="426" w:hanging="426"/>
        <w:jc w:val="both"/>
        <w:rPr>
          <w:rFonts w:ascii="Tahoma" w:hAnsi="Tahoma" w:cs="Tahoma"/>
        </w:rPr>
      </w:pPr>
    </w:p>
    <w:p w:rsidR="00E57B03" w:rsidRPr="00E57B03" w:rsidRDefault="00E57B03" w:rsidP="00E57B03">
      <w:pPr>
        <w:tabs>
          <w:tab w:val="num" w:pos="426"/>
          <w:tab w:val="num" w:pos="900"/>
        </w:tabs>
        <w:ind w:left="426" w:hanging="426"/>
        <w:jc w:val="both"/>
        <w:rPr>
          <w:rFonts w:ascii="Tahoma" w:hAnsi="Tahoma" w:cs="Tahoma"/>
        </w:rPr>
      </w:pPr>
      <w:r w:rsidRPr="00E57B03">
        <w:rPr>
          <w:rFonts w:ascii="Tahoma" w:hAnsi="Tahoma" w:cs="Tahoma"/>
        </w:rPr>
        <w:tab/>
        <w:t>Por su lado, el artículo 293 del Reglamento de la Ley de Contrataciones y Adquisiciones del Estado establece que “</w:t>
      </w:r>
      <w:r w:rsidRPr="00E57B03">
        <w:rPr>
          <w:rFonts w:ascii="Tahoma" w:hAnsi="Tahoma" w:cs="Tahoma"/>
          <w:i/>
        </w:rPr>
        <w:t xml:space="preserve">La facultad de imponer sanción administrativa de inhabilitación temporal o definitiva a que se contraen los incisos a) y b) del Artículo 52 de la Ley, a proveedores, participantes, postores, contratistas, expertos independientes y entidades por infracción de las disposiciones contenidas en la Ley y el presente Reglamento, así como de las estipulaciones contractuales, reside en exclusividad en el Tribunal”. </w:t>
      </w:r>
      <w:r w:rsidRPr="00E57B03">
        <w:rPr>
          <w:rFonts w:ascii="Tahoma" w:hAnsi="Tahoma" w:cs="Tahoma"/>
        </w:rPr>
        <w:t>En consecuencia, constituyendo este Tribunal instancia única no se requiere que los impugnantes hayan presentado prueba nueva, sino que para resolver tendrá en cuenta los argumentos vertidos por éstos en su recurso.</w:t>
      </w:r>
    </w:p>
    <w:p w:rsidR="00E57B03" w:rsidRPr="00E57B03" w:rsidRDefault="00E57B03" w:rsidP="00E57B03">
      <w:pPr>
        <w:tabs>
          <w:tab w:val="num" w:pos="426"/>
          <w:tab w:val="num" w:pos="900"/>
        </w:tabs>
        <w:ind w:left="426" w:hanging="426"/>
        <w:jc w:val="both"/>
        <w:rPr>
          <w:rFonts w:ascii="Tahoma" w:hAnsi="Tahoma" w:cs="Tahoma"/>
        </w:rPr>
      </w:pPr>
    </w:p>
    <w:p w:rsidR="00E57B03" w:rsidRPr="00E57B03" w:rsidRDefault="00E57B03" w:rsidP="00E57B03">
      <w:pPr>
        <w:numPr>
          <w:ilvl w:val="0"/>
          <w:numId w:val="2"/>
        </w:numPr>
        <w:tabs>
          <w:tab w:val="clear" w:pos="900"/>
          <w:tab w:val="num" w:pos="426"/>
          <w:tab w:val="num" w:pos="540"/>
        </w:tabs>
        <w:ind w:left="426" w:hanging="426"/>
        <w:jc w:val="both"/>
        <w:rPr>
          <w:rFonts w:ascii="Tahoma" w:hAnsi="Tahoma" w:cs="Tahoma"/>
        </w:rPr>
      </w:pPr>
      <w:r w:rsidRPr="00E57B03">
        <w:rPr>
          <w:rFonts w:ascii="Tahoma" w:hAnsi="Tahoma" w:cs="Tahoma"/>
        </w:rPr>
        <w:t>En el presente recurso de reconsideración, el consorcio ha reiterado algunos argumentos vertidos en su inicial escrito de descargos y a su vez señala otros, haciendo alusión a que se disminuya la sanción impuesta. En tal medida, resulta conveniente emitir pronunciamiento respecto de cada uno de los cuestionamientos planteados en el recurso que nos ocupa</w:t>
      </w:r>
      <w:r w:rsidRPr="00E57B03">
        <w:rPr>
          <w:rStyle w:val="Refdenotaalpie"/>
          <w:rFonts w:ascii="Tahoma" w:hAnsi="Tahoma" w:cs="Tahoma"/>
        </w:rPr>
        <w:footnoteReference w:id="10"/>
      </w:r>
      <w:r w:rsidRPr="00E57B03">
        <w:rPr>
          <w:rFonts w:ascii="Tahoma" w:hAnsi="Tahoma" w:cs="Tahoma"/>
        </w:rPr>
        <w:t xml:space="preserve"> y verificar si se han aportado nuevos elementos de juicio que permitan al Tribunal modificar la decisión que adoptó en la resolución recurrida. </w:t>
      </w:r>
    </w:p>
    <w:p w:rsidR="00E57B03" w:rsidRPr="00E57B03" w:rsidRDefault="00E57B03" w:rsidP="00E57B03">
      <w:pPr>
        <w:tabs>
          <w:tab w:val="num" w:pos="426"/>
          <w:tab w:val="num" w:pos="900"/>
        </w:tabs>
        <w:ind w:left="426" w:hanging="426"/>
        <w:jc w:val="both"/>
        <w:rPr>
          <w:rFonts w:ascii="Tahoma" w:hAnsi="Tahoma" w:cs="Tahoma"/>
        </w:rPr>
      </w:pPr>
    </w:p>
    <w:p w:rsidR="00E57B03" w:rsidRPr="00E57B03" w:rsidRDefault="00E57B03" w:rsidP="00E57B03">
      <w:pPr>
        <w:numPr>
          <w:ilvl w:val="0"/>
          <w:numId w:val="2"/>
        </w:numPr>
        <w:tabs>
          <w:tab w:val="clear" w:pos="900"/>
          <w:tab w:val="num" w:pos="426"/>
          <w:tab w:val="num" w:pos="540"/>
        </w:tabs>
        <w:ind w:left="426" w:hanging="426"/>
        <w:jc w:val="both"/>
        <w:rPr>
          <w:rFonts w:ascii="Tahoma" w:hAnsi="Tahoma" w:cs="Tahoma"/>
        </w:rPr>
      </w:pPr>
      <w:r w:rsidRPr="00E57B03">
        <w:rPr>
          <w:rFonts w:ascii="Tahoma" w:hAnsi="Tahoma" w:cs="Tahoma"/>
        </w:rPr>
        <w:t xml:space="preserve">Del recurso presentado por la Contratista, éste fundamenta su recurso exponiendo los siguientes puntos : </w:t>
      </w:r>
    </w:p>
    <w:p w:rsidR="00E57B03" w:rsidRPr="00E57B03" w:rsidRDefault="00E57B03" w:rsidP="00E57B03">
      <w:pPr>
        <w:tabs>
          <w:tab w:val="num" w:pos="426"/>
        </w:tabs>
        <w:ind w:left="426" w:hanging="426"/>
        <w:jc w:val="both"/>
        <w:rPr>
          <w:rFonts w:ascii="Tahoma" w:hAnsi="Tahoma" w:cs="Tahoma"/>
        </w:rPr>
      </w:pPr>
    </w:p>
    <w:p w:rsidR="00E57B03" w:rsidRPr="00E57B03" w:rsidRDefault="00E57B03" w:rsidP="00E57B03">
      <w:pPr>
        <w:pStyle w:val="Textoindependiente"/>
        <w:numPr>
          <w:ilvl w:val="0"/>
          <w:numId w:val="5"/>
        </w:numPr>
        <w:tabs>
          <w:tab w:val="left" w:pos="5400"/>
        </w:tabs>
        <w:rPr>
          <w:rFonts w:ascii="Tahoma" w:hAnsi="Tahoma" w:cs="Tahoma"/>
          <w:sz w:val="20"/>
        </w:rPr>
      </w:pPr>
      <w:r w:rsidRPr="00E57B03">
        <w:rPr>
          <w:rFonts w:ascii="Tahoma" w:hAnsi="Tahoma" w:cs="Tahoma"/>
          <w:sz w:val="20"/>
        </w:rPr>
        <w:t>El problema se originó por una confusión del Área de Logística de la Entidad al encargar la compra de los monitores al CIUU 7200-INFORMATICA Y ACTIVIDADES CONEXAS cuando le correspondía al CIUU-6420-</w:t>
      </w:r>
      <w:r w:rsidRPr="00E57B03">
        <w:rPr>
          <w:rFonts w:ascii="Tahoma" w:hAnsi="Tahoma" w:cs="Tahoma"/>
          <w:sz w:val="20"/>
        </w:rPr>
        <w:lastRenderedPageBreak/>
        <w:t xml:space="preserve">TELECOMUNICACIONES. Dicha confusión ocasionó que durante el proceso de selección convocado no se indicará de manera precisa que los monitores eran especialmente para Circuito Cerrado de Televisión (CCTV), así como tampoco se hizo referencia a las características especiales de los CCTV en las especificaciones técnicas. </w:t>
      </w:r>
    </w:p>
    <w:p w:rsidR="00E57B03" w:rsidRPr="00E57B03" w:rsidRDefault="00E57B03" w:rsidP="00E57B03">
      <w:pPr>
        <w:pStyle w:val="Textoindependiente"/>
        <w:tabs>
          <w:tab w:val="left" w:pos="5400"/>
        </w:tabs>
        <w:ind w:left="1494"/>
        <w:rPr>
          <w:rFonts w:ascii="Tahoma" w:hAnsi="Tahoma" w:cs="Tahoma"/>
          <w:sz w:val="20"/>
        </w:rPr>
      </w:pPr>
    </w:p>
    <w:p w:rsidR="00E57B03" w:rsidRPr="00E57B03" w:rsidRDefault="00E57B03" w:rsidP="00E57B03">
      <w:pPr>
        <w:pStyle w:val="Textoindependiente"/>
        <w:numPr>
          <w:ilvl w:val="0"/>
          <w:numId w:val="5"/>
        </w:numPr>
        <w:tabs>
          <w:tab w:val="left" w:pos="5400"/>
        </w:tabs>
        <w:rPr>
          <w:rFonts w:ascii="Tahoma" w:hAnsi="Tahoma" w:cs="Tahoma"/>
          <w:sz w:val="20"/>
        </w:rPr>
      </w:pPr>
      <w:r w:rsidRPr="00E57B03">
        <w:rPr>
          <w:rFonts w:ascii="Tahoma" w:hAnsi="Tahoma" w:cs="Tahoma"/>
          <w:sz w:val="20"/>
        </w:rPr>
        <w:t>Las características especiales de los CCTV recién han sido incluidas en la Adjudicación Directa Selectiva Nº 010-2007/DINI convocado para la adquisición de sistema de CCTV.  En este nuevo proceso de selección la Entidad ha reconocido implícitamente su error, ya que en esta oportunidad no menciona la entrada de video : BNC, debe incluir RCA, sino que requieren monitores con entradas de video compuesto (CVBS), S-Video y VGA, las cuales son características de los monitores LG L193SA que rechazaron injustamente.</w:t>
      </w:r>
    </w:p>
    <w:p w:rsidR="00E57B03" w:rsidRPr="00E57B03" w:rsidRDefault="00E57B03" w:rsidP="00E57B03">
      <w:pPr>
        <w:tabs>
          <w:tab w:val="num" w:pos="426"/>
        </w:tabs>
        <w:ind w:left="426" w:hanging="426"/>
        <w:jc w:val="both"/>
        <w:rPr>
          <w:rFonts w:ascii="Tahoma" w:hAnsi="Tahoma" w:cs="Tahoma"/>
        </w:rPr>
      </w:pPr>
    </w:p>
    <w:p w:rsidR="00E57B03" w:rsidRPr="00E57B03" w:rsidRDefault="00E57B03" w:rsidP="00E57B03">
      <w:pPr>
        <w:numPr>
          <w:ilvl w:val="0"/>
          <w:numId w:val="2"/>
        </w:numPr>
        <w:tabs>
          <w:tab w:val="num" w:pos="426"/>
        </w:tabs>
        <w:ind w:left="426" w:hanging="426"/>
        <w:jc w:val="both"/>
        <w:rPr>
          <w:rFonts w:ascii="Tahoma" w:hAnsi="Tahoma" w:cs="Tahoma"/>
        </w:rPr>
      </w:pPr>
      <w:r w:rsidRPr="00E57B03">
        <w:rPr>
          <w:rFonts w:ascii="Tahoma" w:hAnsi="Tahoma" w:cs="Tahoma"/>
        </w:rPr>
        <w:t xml:space="preserve">Respecto a lo anterior, se observa que lo alegado por la Contratista en el literal </w:t>
      </w:r>
      <w:r w:rsidRPr="00E57B03">
        <w:rPr>
          <w:rFonts w:ascii="Tahoma" w:hAnsi="Tahoma" w:cs="Tahoma"/>
          <w:b/>
        </w:rPr>
        <w:t>a)</w:t>
      </w:r>
      <w:r w:rsidRPr="00E57B03">
        <w:rPr>
          <w:rFonts w:ascii="Tahoma" w:hAnsi="Tahoma" w:cs="Tahoma"/>
        </w:rPr>
        <w:t xml:space="preserve"> del numeral precedente, respecto a que la Entidad no señaló de manera precisa que los monitores objeto de la convocatoria debían ser para Circuito Cerrado de Televisión (CCTV), ya fue tomado en cuenta en el numeral 07, 08 y 09 de la Fundamentación de la Resolución N.º 1730-2007/TC-S3, en el que se señaló lo siguiente: </w:t>
      </w:r>
    </w:p>
    <w:p w:rsidR="00E57B03" w:rsidRPr="00E57B03" w:rsidRDefault="00E57B03" w:rsidP="00E57B03">
      <w:pPr>
        <w:pStyle w:val="Textoindependiente"/>
        <w:widowControl w:val="0"/>
        <w:suppressAutoHyphens/>
        <w:ind w:left="1418" w:hanging="425"/>
        <w:rPr>
          <w:rFonts w:ascii="Tahoma" w:hAnsi="Tahoma" w:cs="Tahoma"/>
          <w:i/>
          <w:sz w:val="20"/>
        </w:rPr>
      </w:pPr>
      <w:r w:rsidRPr="00E57B03">
        <w:rPr>
          <w:rFonts w:ascii="Tahoma" w:hAnsi="Tahoma" w:cs="Tahoma"/>
          <w:i/>
          <w:sz w:val="20"/>
        </w:rPr>
        <w:t>“(…)</w:t>
      </w:r>
    </w:p>
    <w:p w:rsidR="00E57B03" w:rsidRPr="00E57B03" w:rsidRDefault="00E57B03" w:rsidP="00E57B03">
      <w:pPr>
        <w:pStyle w:val="Textoindependiente"/>
        <w:widowControl w:val="0"/>
        <w:numPr>
          <w:ilvl w:val="0"/>
          <w:numId w:val="2"/>
        </w:numPr>
        <w:suppressAutoHyphens/>
        <w:ind w:left="1418" w:hanging="425"/>
        <w:rPr>
          <w:rFonts w:ascii="Tahoma" w:hAnsi="Tahoma" w:cs="Tahoma"/>
          <w:i/>
          <w:sz w:val="20"/>
        </w:rPr>
      </w:pPr>
      <w:r w:rsidRPr="00E57B03">
        <w:rPr>
          <w:rFonts w:ascii="Tahoma" w:hAnsi="Tahoma" w:cs="Tahoma"/>
          <w:i/>
          <w:sz w:val="20"/>
        </w:rPr>
        <w:t>Al respecto, obra en autos copia de las bases administrativas correspondientes a la Adjudicación de Menor Cuantía N.º 027-2006-DINI (Segunda Convocatoria)</w:t>
      </w:r>
      <w:r w:rsidRPr="00E57B03">
        <w:rPr>
          <w:rStyle w:val="Refdenotaalpie"/>
          <w:rFonts w:ascii="Tahoma" w:hAnsi="Tahoma" w:cs="Tahoma"/>
          <w:i/>
          <w:sz w:val="20"/>
        </w:rPr>
        <w:footnoteReference w:id="11"/>
      </w:r>
      <w:r w:rsidRPr="00E57B03">
        <w:rPr>
          <w:rFonts w:ascii="Tahoma" w:hAnsi="Tahoma" w:cs="Tahoma"/>
          <w:i/>
          <w:sz w:val="20"/>
        </w:rPr>
        <w:t xml:space="preserve"> en cuyo Anexo 02 se detallaron las siguientes especificaciones técnicas:</w:t>
      </w:r>
    </w:p>
    <w:p w:rsidR="00E57B03" w:rsidRPr="00E57B03" w:rsidRDefault="00E57B03" w:rsidP="00E57B03">
      <w:pPr>
        <w:pStyle w:val="Textoindependiente"/>
        <w:widowControl w:val="0"/>
        <w:suppressAutoHyphens/>
        <w:rPr>
          <w:rFonts w:ascii="Tahoma" w:hAnsi="Tahoma" w:cs="Tahoma"/>
          <w:i/>
          <w:sz w:val="20"/>
        </w:rPr>
      </w:pPr>
    </w:p>
    <w:tbl>
      <w:tblPr>
        <w:tblW w:w="7020" w:type="dxa"/>
        <w:tblInd w:w="1630" w:type="dxa"/>
        <w:tblCellMar>
          <w:left w:w="70" w:type="dxa"/>
          <w:right w:w="70" w:type="dxa"/>
        </w:tblCellMar>
        <w:tblLook w:val="0000"/>
      </w:tblPr>
      <w:tblGrid>
        <w:gridCol w:w="850"/>
        <w:gridCol w:w="4111"/>
        <w:gridCol w:w="1276"/>
        <w:gridCol w:w="783"/>
      </w:tblGrid>
      <w:tr w:rsidR="00E57B03" w:rsidRPr="00E57B03" w:rsidTr="004B3EFA">
        <w:trPr>
          <w:trHeight w:val="615"/>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b/>
                <w:bCs/>
                <w:i/>
              </w:rPr>
            </w:pPr>
            <w:r w:rsidRPr="00E57B03">
              <w:rPr>
                <w:rFonts w:ascii="Tahoma" w:hAnsi="Tahoma" w:cs="Tahoma"/>
                <w:b/>
                <w:bCs/>
                <w:i/>
              </w:rPr>
              <w:t xml:space="preserve">ITEM N.º </w:t>
            </w:r>
          </w:p>
        </w:tc>
        <w:tc>
          <w:tcPr>
            <w:tcW w:w="4111" w:type="dxa"/>
            <w:tcBorders>
              <w:top w:val="single" w:sz="4" w:space="0" w:color="auto"/>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b/>
                <w:bCs/>
                <w:i/>
              </w:rPr>
            </w:pPr>
            <w:r w:rsidRPr="00E57B03">
              <w:rPr>
                <w:rFonts w:ascii="Tahoma" w:hAnsi="Tahoma" w:cs="Tahoma"/>
                <w:b/>
                <w:bCs/>
                <w:i/>
              </w:rPr>
              <w:t>DETALLE</w:t>
            </w:r>
          </w:p>
        </w:tc>
        <w:tc>
          <w:tcPr>
            <w:tcW w:w="1276" w:type="dxa"/>
            <w:tcBorders>
              <w:top w:val="single" w:sz="4" w:space="0" w:color="auto"/>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b/>
                <w:bCs/>
                <w:i/>
              </w:rPr>
            </w:pPr>
            <w:r w:rsidRPr="00E57B03">
              <w:rPr>
                <w:rFonts w:ascii="Tahoma" w:hAnsi="Tahoma" w:cs="Tahoma"/>
                <w:b/>
                <w:bCs/>
                <w:i/>
              </w:rPr>
              <w:t>UNIDAD MEDIDA</w:t>
            </w:r>
          </w:p>
        </w:tc>
        <w:tc>
          <w:tcPr>
            <w:tcW w:w="783" w:type="dxa"/>
            <w:tcBorders>
              <w:top w:val="single" w:sz="4" w:space="0" w:color="auto"/>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b/>
                <w:bCs/>
                <w:i/>
              </w:rPr>
            </w:pPr>
            <w:r w:rsidRPr="00E57B03">
              <w:rPr>
                <w:rFonts w:ascii="Tahoma" w:hAnsi="Tahoma" w:cs="Tahoma"/>
                <w:b/>
                <w:bCs/>
                <w:i/>
              </w:rPr>
              <w:t>CANT.</w:t>
            </w:r>
          </w:p>
        </w:tc>
      </w:tr>
      <w:tr w:rsidR="00E57B03" w:rsidRPr="00E57B03" w:rsidTr="004B3EFA">
        <w:trPr>
          <w:trHeight w:val="255"/>
        </w:trPr>
        <w:tc>
          <w:tcPr>
            <w:tcW w:w="850"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1</w:t>
            </w:r>
          </w:p>
        </w:tc>
        <w:tc>
          <w:tcPr>
            <w:tcW w:w="4111"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MONITORES PARA CCTV DE 19" O SUPERIOR</w:t>
            </w:r>
          </w:p>
        </w:tc>
        <w:tc>
          <w:tcPr>
            <w:tcW w:w="1276"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UNIDAD</w:t>
            </w:r>
          </w:p>
        </w:tc>
        <w:tc>
          <w:tcPr>
            <w:tcW w:w="783"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3</w:t>
            </w:r>
          </w:p>
        </w:tc>
      </w:tr>
      <w:tr w:rsidR="00E57B03" w:rsidRPr="00E57B03" w:rsidTr="004B3EFA">
        <w:trPr>
          <w:trHeight w:val="255"/>
        </w:trPr>
        <w:tc>
          <w:tcPr>
            <w:tcW w:w="850"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111"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Monitor a color</w:t>
            </w:r>
          </w:p>
        </w:tc>
        <w:tc>
          <w:tcPr>
            <w:tcW w:w="1276"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783"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850"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111"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Pantalla LCD TFT</w:t>
            </w:r>
          </w:p>
        </w:tc>
        <w:tc>
          <w:tcPr>
            <w:tcW w:w="1276"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783"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850"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111"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Tamaño de 19" o superior (Máximo 21")</w:t>
            </w:r>
          </w:p>
        </w:tc>
        <w:tc>
          <w:tcPr>
            <w:tcW w:w="1276"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783"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850"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111"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Resolución de 800x600 o superior</w:t>
            </w:r>
          </w:p>
        </w:tc>
        <w:tc>
          <w:tcPr>
            <w:tcW w:w="1276"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783"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850"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111"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Entrada de VGA 15 Pines</w:t>
            </w:r>
          </w:p>
        </w:tc>
        <w:tc>
          <w:tcPr>
            <w:tcW w:w="1276"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783"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850"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111"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 xml:space="preserve">Entrada de Video: </w:t>
            </w:r>
            <w:r w:rsidRPr="00E57B03">
              <w:rPr>
                <w:rFonts w:ascii="Tahoma" w:hAnsi="Tahoma" w:cs="Tahoma"/>
                <w:b/>
                <w:i/>
              </w:rPr>
              <w:t>BNC, debe incluir adaptador a RCA</w:t>
            </w:r>
          </w:p>
        </w:tc>
        <w:tc>
          <w:tcPr>
            <w:tcW w:w="1276"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783"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850"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111"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Entrada de S-Video</w:t>
            </w:r>
          </w:p>
        </w:tc>
        <w:tc>
          <w:tcPr>
            <w:tcW w:w="1276"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783"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850"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111"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 xml:space="preserve">Auto Voltaje 110/220V, 60 </w:t>
            </w:r>
            <w:proofErr w:type="spellStart"/>
            <w:r w:rsidRPr="00E57B03">
              <w:rPr>
                <w:rFonts w:ascii="Tahoma" w:hAnsi="Tahoma" w:cs="Tahoma"/>
                <w:i/>
              </w:rPr>
              <w:t>Hz.</w:t>
            </w:r>
            <w:proofErr w:type="spellEnd"/>
          </w:p>
        </w:tc>
        <w:tc>
          <w:tcPr>
            <w:tcW w:w="1276"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783"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850"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111"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Para empleo en Sistema de circuito cerrado de televisión</w:t>
            </w:r>
          </w:p>
        </w:tc>
        <w:tc>
          <w:tcPr>
            <w:tcW w:w="1276"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783"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850"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111"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Garantía mínimo (01) año</w:t>
            </w:r>
          </w:p>
        </w:tc>
        <w:tc>
          <w:tcPr>
            <w:tcW w:w="1276"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783"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bl>
    <w:p w:rsidR="00E57B03" w:rsidRPr="00E57B03" w:rsidRDefault="00E57B03" w:rsidP="00E57B03">
      <w:pPr>
        <w:pStyle w:val="Textoindependiente"/>
        <w:widowControl w:val="0"/>
        <w:suppressAutoHyphens/>
        <w:ind w:firstLine="540"/>
        <w:rPr>
          <w:rFonts w:ascii="Tahoma" w:hAnsi="Tahoma" w:cs="Tahoma"/>
          <w:i/>
          <w:sz w:val="20"/>
        </w:rPr>
      </w:pPr>
    </w:p>
    <w:p w:rsidR="00E57B03" w:rsidRPr="00E57B03" w:rsidRDefault="00E57B03" w:rsidP="00E57B03">
      <w:pPr>
        <w:pStyle w:val="Textoindependiente"/>
        <w:widowControl w:val="0"/>
        <w:suppressAutoHyphens/>
        <w:ind w:left="1418" w:hanging="2"/>
        <w:rPr>
          <w:rFonts w:ascii="Tahoma" w:hAnsi="Tahoma" w:cs="Tahoma"/>
          <w:i/>
          <w:sz w:val="20"/>
        </w:rPr>
      </w:pPr>
      <w:r w:rsidRPr="00E57B03">
        <w:rPr>
          <w:rFonts w:ascii="Tahoma" w:hAnsi="Tahoma" w:cs="Tahoma"/>
          <w:i/>
          <w:sz w:val="20"/>
        </w:rPr>
        <w:t xml:space="preserve">De la lectura del texto transcrito, se observa que las Bases han sido enfáticas al disponer que la entrada de video </w:t>
      </w:r>
      <w:proofErr w:type="gramStart"/>
      <w:r w:rsidRPr="00E57B03">
        <w:rPr>
          <w:rFonts w:ascii="Tahoma" w:hAnsi="Tahoma" w:cs="Tahoma"/>
          <w:i/>
          <w:sz w:val="20"/>
        </w:rPr>
        <w:t>debía</w:t>
      </w:r>
      <w:proofErr w:type="gramEnd"/>
      <w:r w:rsidRPr="00E57B03">
        <w:rPr>
          <w:rFonts w:ascii="Tahoma" w:hAnsi="Tahoma" w:cs="Tahoma"/>
          <w:i/>
          <w:sz w:val="20"/>
        </w:rPr>
        <w:t xml:space="preserve"> ser de tipo BNC, e incluir adaptador a </w:t>
      </w:r>
      <w:r w:rsidRPr="00E57B03">
        <w:rPr>
          <w:rFonts w:ascii="Tahoma" w:hAnsi="Tahoma" w:cs="Tahoma"/>
          <w:i/>
          <w:sz w:val="20"/>
        </w:rPr>
        <w:lastRenderedPageBreak/>
        <w:t xml:space="preserve">RCA. </w:t>
      </w:r>
    </w:p>
    <w:p w:rsidR="00E57B03" w:rsidRPr="00E57B03" w:rsidRDefault="00E57B03" w:rsidP="00E57B03">
      <w:pPr>
        <w:pStyle w:val="Textoindependiente"/>
        <w:widowControl w:val="0"/>
        <w:suppressAutoHyphens/>
        <w:ind w:left="1418" w:hanging="2"/>
        <w:rPr>
          <w:rFonts w:ascii="Tahoma" w:hAnsi="Tahoma" w:cs="Tahoma"/>
          <w:i/>
          <w:sz w:val="20"/>
        </w:rPr>
      </w:pPr>
      <w:r w:rsidRPr="00E57B03">
        <w:rPr>
          <w:rFonts w:ascii="Tahoma" w:hAnsi="Tahoma" w:cs="Tahoma"/>
          <w:i/>
          <w:sz w:val="20"/>
        </w:rPr>
        <w:t>Cabe recordar en este punto que, conforme a reiterados pronunciamientos de este Tribunal, las Bases Administrativas constituyen las reglas del proceso de selección y es en función a ellas que se efectúa la calificación y evaluación de las propuestas, conforme a lo dispuesto en el artículo 25 del Texto Único de la Ley de Contrataciones y Adquisiciones del Estado, aprobado mediante Decreto Supremo № 083-2004-PCM, y al artículo 117 de su Reglamento, aprobado por Decreto Supremo № 084-2004-PCM, que dispone que una vez absueltas todas las consultas y/u observaciones, o si éstas no se hubieren presentado, las Bases quedarán integradas como reglas definitivas</w:t>
      </w:r>
    </w:p>
    <w:p w:rsidR="00E57B03" w:rsidRPr="00E57B03" w:rsidRDefault="00E57B03" w:rsidP="00E57B03">
      <w:pPr>
        <w:pStyle w:val="Textoindependiente"/>
        <w:widowControl w:val="0"/>
        <w:numPr>
          <w:ilvl w:val="0"/>
          <w:numId w:val="2"/>
        </w:numPr>
        <w:tabs>
          <w:tab w:val="clear" w:pos="900"/>
          <w:tab w:val="num" w:pos="851"/>
        </w:tabs>
        <w:suppressAutoHyphens/>
        <w:ind w:left="1418" w:hanging="425"/>
        <w:rPr>
          <w:rFonts w:ascii="Tahoma" w:hAnsi="Tahoma" w:cs="Tahoma"/>
          <w:i/>
          <w:sz w:val="20"/>
        </w:rPr>
      </w:pPr>
      <w:r w:rsidRPr="00E57B03">
        <w:rPr>
          <w:rFonts w:ascii="Tahoma" w:hAnsi="Tahoma" w:cs="Tahoma"/>
          <w:i/>
          <w:sz w:val="20"/>
        </w:rPr>
        <w:t xml:space="preserve">Ahora bien, </w:t>
      </w:r>
      <w:r w:rsidRPr="00E57B03">
        <w:rPr>
          <w:rFonts w:ascii="Tahoma" w:hAnsi="Tahoma" w:cs="Tahoma"/>
          <w:b/>
          <w:i/>
          <w:sz w:val="20"/>
        </w:rPr>
        <w:t>obra además en el expediente administrativo copia de la propuesta técnica presentada por la Contratista el 19 de julio de 2006</w:t>
      </w:r>
      <w:r w:rsidRPr="00E57B03">
        <w:rPr>
          <w:rStyle w:val="Refdenotaalpie"/>
          <w:rFonts w:ascii="Tahoma" w:hAnsi="Tahoma" w:cs="Tahoma"/>
          <w:b/>
          <w:i/>
          <w:sz w:val="20"/>
        </w:rPr>
        <w:footnoteReference w:id="12"/>
      </w:r>
      <w:r w:rsidRPr="00E57B03">
        <w:rPr>
          <w:rFonts w:ascii="Tahoma" w:hAnsi="Tahoma" w:cs="Tahoma"/>
          <w:b/>
          <w:i/>
          <w:sz w:val="20"/>
        </w:rPr>
        <w:t xml:space="preserve"> en la cual ofertó a la Entidad tres (03) monitores para CCTV de 19” modelo LG L193 SA con las siguientes características</w:t>
      </w:r>
      <w:r w:rsidRPr="00E57B03">
        <w:rPr>
          <w:rFonts w:ascii="Tahoma" w:hAnsi="Tahoma" w:cs="Tahoma"/>
          <w:i/>
          <w:sz w:val="20"/>
          <w:u w:val="single"/>
        </w:rPr>
        <w:t>:</w:t>
      </w:r>
    </w:p>
    <w:p w:rsidR="00E57B03" w:rsidRPr="00E57B03" w:rsidRDefault="00E57B03" w:rsidP="00E57B03">
      <w:pPr>
        <w:pStyle w:val="Textoindependiente"/>
        <w:widowControl w:val="0"/>
        <w:suppressAutoHyphens/>
        <w:ind w:left="1418" w:hanging="425"/>
        <w:rPr>
          <w:rFonts w:ascii="Tahoma" w:hAnsi="Tahoma" w:cs="Tahoma"/>
          <w:i/>
          <w:sz w:val="20"/>
        </w:rPr>
      </w:pPr>
    </w:p>
    <w:tbl>
      <w:tblPr>
        <w:tblW w:w="7042" w:type="dxa"/>
        <w:tblInd w:w="1488" w:type="dxa"/>
        <w:tblLayout w:type="fixed"/>
        <w:tblCellMar>
          <w:left w:w="70" w:type="dxa"/>
          <w:right w:w="70" w:type="dxa"/>
        </w:tblCellMar>
        <w:tblLook w:val="0000"/>
      </w:tblPr>
      <w:tblGrid>
        <w:gridCol w:w="709"/>
        <w:gridCol w:w="4394"/>
        <w:gridCol w:w="1134"/>
        <w:gridCol w:w="805"/>
      </w:tblGrid>
      <w:tr w:rsidR="00E57B03" w:rsidRPr="00E57B03" w:rsidTr="004B3EFA">
        <w:trPr>
          <w:trHeight w:val="6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b/>
                <w:bCs/>
                <w:i/>
              </w:rPr>
            </w:pPr>
            <w:r w:rsidRPr="00E57B03">
              <w:rPr>
                <w:rFonts w:ascii="Tahoma" w:hAnsi="Tahoma" w:cs="Tahoma"/>
                <w:b/>
                <w:bCs/>
                <w:i/>
              </w:rPr>
              <w:t xml:space="preserve">ITEM Nº </w:t>
            </w:r>
          </w:p>
        </w:tc>
        <w:tc>
          <w:tcPr>
            <w:tcW w:w="4394" w:type="dxa"/>
            <w:tcBorders>
              <w:top w:val="single" w:sz="4" w:space="0" w:color="auto"/>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b/>
                <w:bCs/>
                <w:i/>
              </w:rPr>
            </w:pPr>
            <w:r w:rsidRPr="00E57B03">
              <w:rPr>
                <w:rFonts w:ascii="Tahoma" w:hAnsi="Tahoma" w:cs="Tahoma"/>
                <w:b/>
                <w:bCs/>
                <w:i/>
              </w:rPr>
              <w:t>DETALLE</w:t>
            </w:r>
          </w:p>
        </w:tc>
        <w:tc>
          <w:tcPr>
            <w:tcW w:w="1134" w:type="dxa"/>
            <w:tcBorders>
              <w:top w:val="single" w:sz="4" w:space="0" w:color="auto"/>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b/>
                <w:bCs/>
                <w:i/>
              </w:rPr>
            </w:pPr>
            <w:r w:rsidRPr="00E57B03">
              <w:rPr>
                <w:rFonts w:ascii="Tahoma" w:hAnsi="Tahoma" w:cs="Tahoma"/>
                <w:b/>
                <w:bCs/>
                <w:i/>
              </w:rPr>
              <w:t>UINIDAD MEDIDA</w:t>
            </w:r>
          </w:p>
        </w:tc>
        <w:tc>
          <w:tcPr>
            <w:tcW w:w="805" w:type="dxa"/>
            <w:tcBorders>
              <w:top w:val="single" w:sz="4" w:space="0" w:color="auto"/>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b/>
                <w:bCs/>
                <w:i/>
              </w:rPr>
            </w:pPr>
            <w:r w:rsidRPr="00E57B03">
              <w:rPr>
                <w:rFonts w:ascii="Tahoma" w:hAnsi="Tahoma" w:cs="Tahoma"/>
                <w:b/>
                <w:bCs/>
                <w:i/>
              </w:rPr>
              <w:t>CANT.</w:t>
            </w:r>
          </w:p>
        </w:tc>
      </w:tr>
      <w:tr w:rsidR="00E57B03" w:rsidRPr="00E57B03" w:rsidTr="004B3EFA">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1</w:t>
            </w:r>
          </w:p>
        </w:tc>
        <w:tc>
          <w:tcPr>
            <w:tcW w:w="439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b/>
                <w:i/>
              </w:rPr>
            </w:pPr>
            <w:r w:rsidRPr="00E57B03">
              <w:rPr>
                <w:rFonts w:ascii="Tahoma" w:hAnsi="Tahoma" w:cs="Tahoma"/>
                <w:b/>
                <w:i/>
              </w:rPr>
              <w:t>MONITORES PARA CCTV DE 19" LG L193 SA</w:t>
            </w:r>
          </w:p>
        </w:tc>
        <w:tc>
          <w:tcPr>
            <w:tcW w:w="113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UNIDAD</w:t>
            </w:r>
          </w:p>
        </w:tc>
        <w:tc>
          <w:tcPr>
            <w:tcW w:w="805"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3</w:t>
            </w:r>
          </w:p>
        </w:tc>
      </w:tr>
      <w:tr w:rsidR="00E57B03" w:rsidRPr="00E57B03" w:rsidTr="004B3EFA">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39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Monitor a color</w:t>
            </w:r>
          </w:p>
        </w:tc>
        <w:tc>
          <w:tcPr>
            <w:tcW w:w="113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805"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39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Pantalla LCD TFT</w:t>
            </w:r>
          </w:p>
        </w:tc>
        <w:tc>
          <w:tcPr>
            <w:tcW w:w="113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805"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39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 xml:space="preserve">Tamaño de 19" </w:t>
            </w:r>
          </w:p>
        </w:tc>
        <w:tc>
          <w:tcPr>
            <w:tcW w:w="113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805"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39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Resolución de 1280x1024</w:t>
            </w:r>
          </w:p>
        </w:tc>
        <w:tc>
          <w:tcPr>
            <w:tcW w:w="113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805"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39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Entrada de VGA 15 Pines</w:t>
            </w:r>
          </w:p>
        </w:tc>
        <w:tc>
          <w:tcPr>
            <w:tcW w:w="113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805"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39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 xml:space="preserve">Entrada de video: </w:t>
            </w:r>
            <w:r w:rsidRPr="00E57B03">
              <w:rPr>
                <w:rFonts w:ascii="Tahoma" w:hAnsi="Tahoma" w:cs="Tahoma"/>
                <w:b/>
                <w:i/>
              </w:rPr>
              <w:t>BNC, debe incluir adaptador a RCA</w:t>
            </w:r>
          </w:p>
        </w:tc>
        <w:tc>
          <w:tcPr>
            <w:tcW w:w="113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805"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39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Entrada de S-Video</w:t>
            </w:r>
          </w:p>
        </w:tc>
        <w:tc>
          <w:tcPr>
            <w:tcW w:w="113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805"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39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 xml:space="preserve">Auto Voltaje 110/220V, 60 </w:t>
            </w:r>
            <w:proofErr w:type="spellStart"/>
            <w:r w:rsidRPr="00E57B03">
              <w:rPr>
                <w:rFonts w:ascii="Tahoma" w:hAnsi="Tahoma" w:cs="Tahoma"/>
                <w:i/>
              </w:rPr>
              <w:t>Hz.</w:t>
            </w:r>
            <w:proofErr w:type="spellEnd"/>
          </w:p>
        </w:tc>
        <w:tc>
          <w:tcPr>
            <w:tcW w:w="113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805"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39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Para empleo en Sistema de circuito cerrado de televisión</w:t>
            </w:r>
          </w:p>
        </w:tc>
        <w:tc>
          <w:tcPr>
            <w:tcW w:w="113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805"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r w:rsidR="00E57B03" w:rsidRPr="00E57B03" w:rsidTr="004B3EFA">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439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rPr>
                <w:rFonts w:ascii="Tahoma" w:hAnsi="Tahoma" w:cs="Tahoma"/>
                <w:i/>
              </w:rPr>
            </w:pPr>
            <w:r w:rsidRPr="00E57B03">
              <w:rPr>
                <w:rFonts w:ascii="Tahoma" w:hAnsi="Tahoma" w:cs="Tahoma"/>
                <w:i/>
              </w:rPr>
              <w:t>Garantía: 36 años (36 meses)</w:t>
            </w:r>
          </w:p>
        </w:tc>
        <w:tc>
          <w:tcPr>
            <w:tcW w:w="1134"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c>
          <w:tcPr>
            <w:tcW w:w="805" w:type="dxa"/>
            <w:tcBorders>
              <w:top w:val="nil"/>
              <w:left w:val="nil"/>
              <w:bottom w:val="single" w:sz="4" w:space="0" w:color="auto"/>
              <w:right w:val="single" w:sz="4" w:space="0" w:color="auto"/>
            </w:tcBorders>
            <w:shd w:val="clear" w:color="auto" w:fill="auto"/>
            <w:vAlign w:val="center"/>
          </w:tcPr>
          <w:p w:rsidR="00E57B03" w:rsidRPr="00E57B03" w:rsidRDefault="00E57B03" w:rsidP="004B3EFA">
            <w:pPr>
              <w:jc w:val="center"/>
              <w:rPr>
                <w:rFonts w:ascii="Tahoma" w:hAnsi="Tahoma" w:cs="Tahoma"/>
                <w:i/>
              </w:rPr>
            </w:pPr>
            <w:r w:rsidRPr="00E57B03">
              <w:rPr>
                <w:rFonts w:ascii="Tahoma" w:hAnsi="Tahoma" w:cs="Tahoma"/>
                <w:i/>
              </w:rPr>
              <w:t> </w:t>
            </w:r>
          </w:p>
        </w:tc>
      </w:tr>
    </w:tbl>
    <w:p w:rsidR="00E57B03" w:rsidRPr="00E57B03" w:rsidRDefault="00E57B03" w:rsidP="00E57B03">
      <w:pPr>
        <w:pStyle w:val="Textoindependiente"/>
        <w:widowControl w:val="0"/>
        <w:suppressAutoHyphens/>
        <w:ind w:left="540"/>
        <w:rPr>
          <w:rFonts w:ascii="Tahoma" w:hAnsi="Tahoma" w:cs="Tahoma"/>
          <w:i/>
          <w:sz w:val="20"/>
        </w:rPr>
      </w:pPr>
    </w:p>
    <w:p w:rsidR="00E57B03" w:rsidRPr="00E57B03" w:rsidRDefault="00E57B03" w:rsidP="00E57B03">
      <w:pPr>
        <w:pStyle w:val="Textoindependiente"/>
        <w:widowControl w:val="0"/>
        <w:suppressAutoHyphens/>
        <w:ind w:left="1418" w:hanging="425"/>
        <w:rPr>
          <w:rFonts w:ascii="Tahoma" w:hAnsi="Tahoma" w:cs="Tahoma"/>
          <w:i/>
          <w:sz w:val="20"/>
        </w:rPr>
      </w:pPr>
      <w:r w:rsidRPr="00E57B03">
        <w:rPr>
          <w:rFonts w:ascii="Tahoma" w:hAnsi="Tahoma" w:cs="Tahoma"/>
          <w:i/>
          <w:sz w:val="20"/>
        </w:rPr>
        <w:t xml:space="preserve"> </w:t>
      </w:r>
    </w:p>
    <w:p w:rsidR="00E57B03" w:rsidRPr="00E57B03" w:rsidRDefault="00E57B03" w:rsidP="00E57B03">
      <w:pPr>
        <w:pStyle w:val="Textoindependiente"/>
        <w:widowControl w:val="0"/>
        <w:numPr>
          <w:ilvl w:val="0"/>
          <w:numId w:val="2"/>
        </w:numPr>
        <w:suppressAutoHyphens/>
        <w:ind w:left="1418" w:hanging="425"/>
        <w:rPr>
          <w:rFonts w:ascii="Tahoma" w:hAnsi="Tahoma" w:cs="Tahoma"/>
          <w:i/>
          <w:sz w:val="20"/>
        </w:rPr>
      </w:pPr>
      <w:r w:rsidRPr="00E57B03">
        <w:rPr>
          <w:rFonts w:ascii="Tahoma" w:hAnsi="Tahoma" w:cs="Tahoma"/>
          <w:i/>
          <w:sz w:val="20"/>
        </w:rPr>
        <w:t xml:space="preserve">En ese orden de ideas, la Entidad al otorgar la buena pro a la Contratista evaluó, calificó y finalmente aceptó lo ofertado por ella en su propuesta técnica, es decir accedió a la compra de tres (03) monitores modelo LG L193 SA, los cuales debían contar, entre otros, con una entrada de video BNC, que incluían un adaptador a RCA,. </w:t>
      </w:r>
    </w:p>
    <w:p w:rsidR="00E57B03" w:rsidRPr="00E57B03" w:rsidRDefault="00E57B03" w:rsidP="00E57B03">
      <w:pPr>
        <w:pStyle w:val="Textoindependiente"/>
        <w:widowControl w:val="0"/>
        <w:suppressAutoHyphens/>
        <w:ind w:left="1418" w:hanging="425"/>
        <w:rPr>
          <w:rFonts w:ascii="Tahoma" w:hAnsi="Tahoma" w:cs="Tahoma"/>
          <w:i/>
          <w:sz w:val="20"/>
        </w:rPr>
      </w:pPr>
    </w:p>
    <w:p w:rsidR="00E57B03" w:rsidRPr="00E57B03" w:rsidRDefault="00E57B03" w:rsidP="00E57B03">
      <w:pPr>
        <w:pStyle w:val="Textoindependiente"/>
        <w:widowControl w:val="0"/>
        <w:suppressAutoHyphens/>
        <w:ind w:left="1418" w:hanging="2"/>
        <w:rPr>
          <w:rFonts w:ascii="Tahoma" w:hAnsi="Tahoma" w:cs="Tahoma"/>
          <w:i/>
          <w:sz w:val="20"/>
        </w:rPr>
      </w:pPr>
      <w:r w:rsidRPr="00E57B03">
        <w:rPr>
          <w:rFonts w:ascii="Tahoma" w:hAnsi="Tahoma" w:cs="Tahoma"/>
          <w:i/>
          <w:sz w:val="20"/>
        </w:rPr>
        <w:t>Sin embargo, según consta en el Acta de Devolución de Bienes de fecha 01 de agosto de 2006, los monitores entregados no cumplían lo establecido en su propuesta técnica, ya que no contaban con entrada de video BNC, por lo que se vieron obligados a devolverlos.</w:t>
      </w:r>
    </w:p>
    <w:p w:rsidR="00E57B03" w:rsidRPr="00E57B03" w:rsidRDefault="00E57B03" w:rsidP="00E57B03">
      <w:pPr>
        <w:pStyle w:val="Textoindependiente"/>
        <w:widowControl w:val="0"/>
        <w:suppressAutoHyphens/>
        <w:ind w:left="1418" w:hanging="425"/>
        <w:rPr>
          <w:rFonts w:ascii="Tahoma" w:hAnsi="Tahoma" w:cs="Tahoma"/>
          <w:i/>
          <w:sz w:val="20"/>
        </w:rPr>
      </w:pPr>
    </w:p>
    <w:p w:rsidR="00E57B03" w:rsidRPr="00E57B03" w:rsidRDefault="00E57B03" w:rsidP="00E57B03">
      <w:pPr>
        <w:pStyle w:val="Textoindependiente"/>
        <w:widowControl w:val="0"/>
        <w:suppressAutoHyphens/>
        <w:ind w:left="1418" w:hanging="2"/>
        <w:rPr>
          <w:rFonts w:ascii="Tahoma" w:hAnsi="Tahoma" w:cs="Tahoma"/>
          <w:i/>
          <w:sz w:val="20"/>
        </w:rPr>
      </w:pPr>
      <w:r w:rsidRPr="00E57B03">
        <w:rPr>
          <w:rFonts w:ascii="Tahoma" w:hAnsi="Tahoma" w:cs="Tahoma"/>
          <w:i/>
          <w:sz w:val="20"/>
        </w:rPr>
        <w:t>Consecuentemente, no se trata, como argumentó la Contratista en sus descargos, de un error del Comité Especial al evaluar su propuesta técnica pues en el Anexo 02 de dicha propuesta afirmó claramente que el bien ofertado contaba con “Entrada de video: BNC, debe incluir adaptador a RCA”.</w:t>
      </w:r>
    </w:p>
    <w:p w:rsidR="00E57B03" w:rsidRPr="00E57B03" w:rsidRDefault="00E57B03" w:rsidP="00E57B03">
      <w:pPr>
        <w:pStyle w:val="Textoindependiente"/>
        <w:widowControl w:val="0"/>
        <w:suppressAutoHyphens/>
        <w:ind w:left="1418" w:hanging="2"/>
        <w:rPr>
          <w:rFonts w:ascii="Tahoma" w:hAnsi="Tahoma" w:cs="Tahoma"/>
          <w:i/>
          <w:sz w:val="20"/>
        </w:rPr>
      </w:pPr>
      <w:r w:rsidRPr="00E57B03">
        <w:rPr>
          <w:rFonts w:ascii="Tahoma" w:hAnsi="Tahoma" w:cs="Tahoma"/>
          <w:i/>
          <w:sz w:val="20"/>
        </w:rPr>
        <w:t>(…)”</w:t>
      </w:r>
    </w:p>
    <w:p w:rsidR="00E57B03" w:rsidRPr="00E57B03" w:rsidRDefault="00E57B03" w:rsidP="00E57B03">
      <w:pPr>
        <w:tabs>
          <w:tab w:val="num" w:pos="426"/>
        </w:tabs>
        <w:ind w:left="426"/>
        <w:jc w:val="both"/>
        <w:rPr>
          <w:rFonts w:ascii="Tahoma" w:hAnsi="Tahoma" w:cs="Tahoma"/>
        </w:rPr>
      </w:pPr>
    </w:p>
    <w:p w:rsidR="00E57B03" w:rsidRPr="00E57B03" w:rsidRDefault="00E57B03" w:rsidP="00E57B03">
      <w:pPr>
        <w:numPr>
          <w:ilvl w:val="0"/>
          <w:numId w:val="6"/>
        </w:numPr>
        <w:tabs>
          <w:tab w:val="num" w:pos="426"/>
          <w:tab w:val="left" w:pos="5400"/>
        </w:tabs>
        <w:ind w:left="426"/>
        <w:jc w:val="both"/>
        <w:rPr>
          <w:rFonts w:ascii="Tahoma" w:hAnsi="Tahoma" w:cs="Tahoma"/>
        </w:rPr>
      </w:pPr>
      <w:r w:rsidRPr="00E57B03">
        <w:rPr>
          <w:rFonts w:ascii="Tahoma" w:hAnsi="Tahoma" w:cs="Tahoma"/>
        </w:rPr>
        <w:t>De otro lado, el recurrente ha señalado que las características especiales de los CCTV recién han sido incluidas en las especificaciones técnicas de las bases administrativas de la Adjudicación Directa Selectiva Nº 010-2007/DINI convocada para la adquisición de sistema de CCTV, y que con dicho proceso de selección la Entidad ha reconocido implícitamente su error, ya que en esta oportunidad no menciona la entrada de video : BNC, debe incluir RCA, sino que requieren monitores con entradas de video compuesto (CVBS), S-Video y VGA, las cuales son características de los monitores LG L193SA que rechazaron injustamente.</w:t>
      </w:r>
    </w:p>
    <w:p w:rsidR="00E57B03" w:rsidRPr="00E57B03" w:rsidRDefault="00E57B03" w:rsidP="00E57B03">
      <w:pPr>
        <w:tabs>
          <w:tab w:val="left" w:pos="5400"/>
        </w:tabs>
        <w:ind w:left="426"/>
        <w:jc w:val="both"/>
        <w:rPr>
          <w:rFonts w:ascii="Tahoma" w:hAnsi="Tahoma" w:cs="Tahoma"/>
        </w:rPr>
      </w:pPr>
    </w:p>
    <w:p w:rsidR="00E57B03" w:rsidRPr="00E57B03" w:rsidRDefault="00E57B03" w:rsidP="00E57B03">
      <w:pPr>
        <w:numPr>
          <w:ilvl w:val="0"/>
          <w:numId w:val="6"/>
        </w:numPr>
        <w:tabs>
          <w:tab w:val="num" w:pos="426"/>
          <w:tab w:val="left" w:pos="5400"/>
        </w:tabs>
        <w:ind w:left="426"/>
        <w:jc w:val="both"/>
        <w:rPr>
          <w:rFonts w:ascii="Tahoma" w:hAnsi="Tahoma" w:cs="Tahoma"/>
        </w:rPr>
      </w:pPr>
      <w:r w:rsidRPr="00E57B03">
        <w:rPr>
          <w:rFonts w:ascii="Tahoma" w:hAnsi="Tahoma" w:cs="Tahoma"/>
        </w:rPr>
        <w:t xml:space="preserve">Sobre el particular, este Tribunal considera pertinente comenzar indicando que, es potestad de la Entidad establecer las características de los bienes, servicios u obras para los cuales convoca los procesos de selección, siempre que dichas características se sujeten a criterios de razonabilidad y objetivos congruentes con el bien, servicio u obra </w:t>
      </w:r>
      <w:proofErr w:type="gramStart"/>
      <w:r w:rsidRPr="00E57B03">
        <w:rPr>
          <w:rFonts w:ascii="Tahoma" w:hAnsi="Tahoma" w:cs="Tahoma"/>
        </w:rPr>
        <w:t>requerido</w:t>
      </w:r>
      <w:proofErr w:type="gramEnd"/>
      <w:r w:rsidRPr="00E57B03">
        <w:rPr>
          <w:rFonts w:ascii="Tahoma" w:hAnsi="Tahoma" w:cs="Tahoma"/>
        </w:rPr>
        <w:t xml:space="preserve">. </w:t>
      </w:r>
    </w:p>
    <w:p w:rsidR="00E57B03" w:rsidRPr="00E57B03" w:rsidRDefault="00E57B03" w:rsidP="00E57B03">
      <w:pPr>
        <w:pStyle w:val="Prrafodelista"/>
        <w:rPr>
          <w:rFonts w:ascii="Tahoma" w:hAnsi="Tahoma" w:cs="Tahoma"/>
          <w:sz w:val="20"/>
        </w:rPr>
      </w:pPr>
    </w:p>
    <w:p w:rsidR="00E57B03" w:rsidRPr="00E57B03" w:rsidRDefault="00E57B03" w:rsidP="00E57B03">
      <w:pPr>
        <w:numPr>
          <w:ilvl w:val="0"/>
          <w:numId w:val="6"/>
        </w:numPr>
        <w:tabs>
          <w:tab w:val="num" w:pos="426"/>
          <w:tab w:val="left" w:pos="5400"/>
        </w:tabs>
        <w:ind w:left="426"/>
        <w:jc w:val="both"/>
        <w:rPr>
          <w:rFonts w:ascii="Tahoma" w:hAnsi="Tahoma" w:cs="Tahoma"/>
        </w:rPr>
      </w:pPr>
      <w:r w:rsidRPr="00E57B03">
        <w:rPr>
          <w:rFonts w:ascii="Tahoma" w:hAnsi="Tahoma" w:cs="Tahoma"/>
        </w:rPr>
        <w:t xml:space="preserve">Ahora bien, tal como se señaló en el numeral 7) de la Fundamentación de la Resolución Nº 891730-2007/TC-S3, las bases administrativas de la Adjudicación de Menor Cuantía Nº 027-2006-DINI (Segunda Convocatoria) constituyeron las reglas del proceso de selección, y es de acuerdo dichas reglas que los postores deben presentar sus propuestas. </w:t>
      </w:r>
    </w:p>
    <w:p w:rsidR="00E57B03" w:rsidRPr="00E57B03" w:rsidRDefault="00E57B03" w:rsidP="00E57B03">
      <w:pPr>
        <w:pStyle w:val="Prrafodelista"/>
        <w:rPr>
          <w:rFonts w:ascii="Tahoma" w:hAnsi="Tahoma" w:cs="Tahoma"/>
          <w:sz w:val="20"/>
        </w:rPr>
      </w:pPr>
    </w:p>
    <w:p w:rsidR="00E57B03" w:rsidRPr="00E57B03" w:rsidRDefault="00E57B03" w:rsidP="00E57B03">
      <w:pPr>
        <w:tabs>
          <w:tab w:val="left" w:pos="5400"/>
        </w:tabs>
        <w:ind w:left="426"/>
        <w:jc w:val="both"/>
        <w:rPr>
          <w:rFonts w:ascii="Tahoma" w:hAnsi="Tahoma" w:cs="Tahoma"/>
        </w:rPr>
      </w:pPr>
      <w:r w:rsidRPr="00E57B03">
        <w:rPr>
          <w:rFonts w:ascii="Tahoma" w:hAnsi="Tahoma" w:cs="Tahoma"/>
        </w:rPr>
        <w:t>La Entidad detalló de manera clara y precisa en el Anexo 02 de las bases administrativas, las especificaciones técnicas (o requerimientos técnicos mínimos) con las que debían cumplir los bienes ofertados por los postores interesados en participar en el proceso de selección convocado por ella. Dichas características han sido transcritas de manera textual en el numeral 6) del presente análisis; y, contrario a lo que afirma la Contratista, se advierte que las mismas estaban referidas a “Monitores para CCTV DE 19” o superior”, por lo que, los monitores ofertados por la contratista, que debían ser para Circuito Cerrado de Televisión (CCTV), debieron cumplir con cada una de las características detalladas en el referido Anexo.</w:t>
      </w:r>
    </w:p>
    <w:p w:rsidR="00E57B03" w:rsidRPr="00E57B03" w:rsidRDefault="00E57B03" w:rsidP="00E57B03">
      <w:pPr>
        <w:tabs>
          <w:tab w:val="left" w:pos="5400"/>
        </w:tabs>
        <w:ind w:left="426"/>
        <w:jc w:val="both"/>
        <w:rPr>
          <w:rFonts w:ascii="Tahoma" w:hAnsi="Tahoma" w:cs="Tahoma"/>
        </w:rPr>
      </w:pPr>
    </w:p>
    <w:p w:rsidR="00E57B03" w:rsidRPr="00E57B03" w:rsidRDefault="00E57B03" w:rsidP="00E57B03">
      <w:pPr>
        <w:tabs>
          <w:tab w:val="left" w:pos="5400"/>
        </w:tabs>
        <w:ind w:left="426"/>
        <w:jc w:val="both"/>
        <w:rPr>
          <w:rFonts w:ascii="Tahoma" w:hAnsi="Tahoma" w:cs="Tahoma"/>
        </w:rPr>
      </w:pPr>
      <w:r w:rsidRPr="00E57B03">
        <w:rPr>
          <w:rFonts w:ascii="Tahoma" w:hAnsi="Tahoma" w:cs="Tahoma"/>
        </w:rPr>
        <w:t xml:space="preserve">Cabe mencionar en este punto que, de acuerdo a lo dispuesto por el artículo 62º del Reglamento, los requerimientos técnicos mínimos son las características técnicas, normas reglamentarias y cualquier otro requisito </w:t>
      </w:r>
      <w:r w:rsidRPr="00E57B03">
        <w:rPr>
          <w:rFonts w:ascii="Tahoma" w:hAnsi="Tahoma" w:cs="Tahoma"/>
          <w:b/>
        </w:rPr>
        <w:t>establecido como tal en las bases y en las disposiciones legales</w:t>
      </w:r>
      <w:r w:rsidRPr="00E57B03">
        <w:rPr>
          <w:rFonts w:ascii="Tahoma" w:hAnsi="Tahoma" w:cs="Tahoma"/>
        </w:rPr>
        <w:t xml:space="preserve"> que regulan el objeto materia de la adquisición o contratación. </w:t>
      </w:r>
    </w:p>
    <w:p w:rsidR="00E57B03" w:rsidRPr="00E57B03" w:rsidRDefault="00E57B03" w:rsidP="00E57B03">
      <w:pPr>
        <w:tabs>
          <w:tab w:val="left" w:pos="5400"/>
        </w:tabs>
        <w:ind w:left="426"/>
        <w:jc w:val="both"/>
        <w:rPr>
          <w:rFonts w:ascii="Tahoma" w:hAnsi="Tahoma" w:cs="Tahoma"/>
        </w:rPr>
      </w:pPr>
    </w:p>
    <w:p w:rsidR="00E57B03" w:rsidRPr="00E57B03" w:rsidRDefault="00E57B03" w:rsidP="00E57B03">
      <w:pPr>
        <w:tabs>
          <w:tab w:val="left" w:pos="5400"/>
        </w:tabs>
        <w:ind w:left="426"/>
        <w:jc w:val="both"/>
        <w:rPr>
          <w:rFonts w:ascii="Tahoma" w:hAnsi="Tahoma" w:cs="Tahoma"/>
        </w:rPr>
      </w:pPr>
      <w:r w:rsidRPr="00E57B03">
        <w:rPr>
          <w:rFonts w:ascii="Tahoma" w:hAnsi="Tahoma" w:cs="Tahoma"/>
        </w:rPr>
        <w:t xml:space="preserve">Debemos señalar, además, que la empresa </w:t>
      </w:r>
      <w:proofErr w:type="spellStart"/>
      <w:r w:rsidRPr="00E57B03">
        <w:rPr>
          <w:rFonts w:ascii="Tahoma" w:hAnsi="Tahoma" w:cs="Tahoma"/>
        </w:rPr>
        <w:t>Jolmm’s</w:t>
      </w:r>
      <w:proofErr w:type="spellEnd"/>
      <w:r w:rsidRPr="00E57B03">
        <w:rPr>
          <w:rFonts w:ascii="Tahoma" w:hAnsi="Tahoma" w:cs="Tahoma"/>
        </w:rPr>
        <w:t xml:space="preserve"> </w:t>
      </w:r>
      <w:proofErr w:type="spellStart"/>
      <w:r w:rsidRPr="00E57B03">
        <w:rPr>
          <w:rFonts w:ascii="Tahoma" w:hAnsi="Tahoma" w:cs="Tahoma"/>
        </w:rPr>
        <w:t>Computer</w:t>
      </w:r>
      <w:proofErr w:type="spellEnd"/>
      <w:r w:rsidRPr="00E57B03">
        <w:rPr>
          <w:rFonts w:ascii="Tahoma" w:hAnsi="Tahoma" w:cs="Tahoma"/>
        </w:rPr>
        <w:t xml:space="preserve"> </w:t>
      </w:r>
      <w:proofErr w:type="spellStart"/>
      <w:r w:rsidRPr="00E57B03">
        <w:rPr>
          <w:rFonts w:ascii="Tahoma" w:hAnsi="Tahoma" w:cs="Tahoma"/>
        </w:rPr>
        <w:t>Supplies</w:t>
      </w:r>
      <w:proofErr w:type="spellEnd"/>
      <w:r w:rsidRPr="00E57B03">
        <w:rPr>
          <w:rFonts w:ascii="Tahoma" w:hAnsi="Tahoma" w:cs="Tahoma"/>
        </w:rPr>
        <w:t xml:space="preserve"> &amp; </w:t>
      </w:r>
      <w:proofErr w:type="spellStart"/>
      <w:r w:rsidRPr="00E57B03">
        <w:rPr>
          <w:rFonts w:ascii="Tahoma" w:hAnsi="Tahoma" w:cs="Tahoma"/>
        </w:rPr>
        <w:t>Services</w:t>
      </w:r>
      <w:proofErr w:type="spellEnd"/>
      <w:r w:rsidRPr="00E57B03">
        <w:rPr>
          <w:rFonts w:ascii="Tahoma" w:hAnsi="Tahoma" w:cs="Tahoma"/>
        </w:rPr>
        <w:t xml:space="preserve"> S.A. afirmó en su propuesta técnica que el producto ofertado por ellos cumplía con las especificaciones técnicas solicitadas por la Entidad en las referidas bases administrativas; es más, en el literal b) de la Declaración Jurada Anexo 03 que adjuntó, afirmó que conocía, aceptaba y se sometía a las bases, condiciones y procedimientos correspondientes al proceso de selección convocado.</w:t>
      </w:r>
    </w:p>
    <w:p w:rsidR="00E57B03" w:rsidRPr="00E57B03" w:rsidRDefault="00E57B03" w:rsidP="00E57B03">
      <w:pPr>
        <w:tabs>
          <w:tab w:val="left" w:pos="5400"/>
        </w:tabs>
        <w:ind w:left="426"/>
        <w:jc w:val="both"/>
        <w:rPr>
          <w:rFonts w:ascii="Tahoma" w:hAnsi="Tahoma" w:cs="Tahoma"/>
        </w:rPr>
      </w:pPr>
    </w:p>
    <w:p w:rsidR="00E57B03" w:rsidRPr="00E57B03" w:rsidRDefault="00E57B03" w:rsidP="00E57B03">
      <w:pPr>
        <w:numPr>
          <w:ilvl w:val="0"/>
          <w:numId w:val="6"/>
        </w:numPr>
        <w:ind w:left="426"/>
        <w:jc w:val="both"/>
        <w:rPr>
          <w:rFonts w:ascii="Tahoma" w:hAnsi="Tahoma" w:cs="Tahoma"/>
        </w:rPr>
      </w:pPr>
      <w:r w:rsidRPr="00E57B03">
        <w:rPr>
          <w:rFonts w:ascii="Tahoma" w:hAnsi="Tahoma" w:cs="Tahoma"/>
        </w:rPr>
        <w:t xml:space="preserve">Por lo expuesto, este Tribunal considera que en el presente procedimiento el Contratista no ha aportado nuevos elementos de juicio que permitan modificar la decisión que adoptó en la resolución recurrida, por lo que corresponde declarar infundado el recurso de reconsideración interpuesto por la empresa </w:t>
      </w:r>
      <w:proofErr w:type="spellStart"/>
      <w:r w:rsidRPr="00E57B03">
        <w:rPr>
          <w:rFonts w:ascii="Tahoma" w:hAnsi="Tahoma" w:cs="Tahoma"/>
        </w:rPr>
        <w:t>Jolmm’s</w:t>
      </w:r>
      <w:proofErr w:type="spellEnd"/>
      <w:r w:rsidRPr="00E57B03">
        <w:rPr>
          <w:rFonts w:ascii="Tahoma" w:hAnsi="Tahoma" w:cs="Tahoma"/>
        </w:rPr>
        <w:t xml:space="preserve"> </w:t>
      </w:r>
      <w:proofErr w:type="spellStart"/>
      <w:r w:rsidRPr="00E57B03">
        <w:rPr>
          <w:rFonts w:ascii="Tahoma" w:hAnsi="Tahoma" w:cs="Tahoma"/>
        </w:rPr>
        <w:t>Computer</w:t>
      </w:r>
      <w:proofErr w:type="spellEnd"/>
      <w:r w:rsidRPr="00E57B03">
        <w:rPr>
          <w:rFonts w:ascii="Tahoma" w:hAnsi="Tahoma" w:cs="Tahoma"/>
        </w:rPr>
        <w:t xml:space="preserve"> </w:t>
      </w:r>
      <w:proofErr w:type="spellStart"/>
      <w:r w:rsidRPr="00E57B03">
        <w:rPr>
          <w:rFonts w:ascii="Tahoma" w:hAnsi="Tahoma" w:cs="Tahoma"/>
        </w:rPr>
        <w:t>Supplies</w:t>
      </w:r>
      <w:proofErr w:type="spellEnd"/>
      <w:r w:rsidRPr="00E57B03">
        <w:rPr>
          <w:rFonts w:ascii="Tahoma" w:hAnsi="Tahoma" w:cs="Tahoma"/>
        </w:rPr>
        <w:t xml:space="preserve"> &amp; </w:t>
      </w:r>
      <w:proofErr w:type="spellStart"/>
      <w:r w:rsidRPr="00E57B03">
        <w:rPr>
          <w:rFonts w:ascii="Tahoma" w:hAnsi="Tahoma" w:cs="Tahoma"/>
        </w:rPr>
        <w:t>Services</w:t>
      </w:r>
      <w:proofErr w:type="spellEnd"/>
      <w:r w:rsidRPr="00E57B03">
        <w:rPr>
          <w:rFonts w:ascii="Tahoma" w:hAnsi="Tahoma" w:cs="Tahoma"/>
        </w:rPr>
        <w:t xml:space="preserve"> S.A.</w:t>
      </w:r>
    </w:p>
    <w:p w:rsidR="00E57B03" w:rsidRPr="00E57B03" w:rsidRDefault="00E57B03" w:rsidP="00E57B03">
      <w:pPr>
        <w:tabs>
          <w:tab w:val="left" w:pos="360"/>
        </w:tabs>
        <w:ind w:left="360"/>
        <w:jc w:val="both"/>
        <w:rPr>
          <w:rFonts w:ascii="Tahoma" w:hAnsi="Tahoma" w:cs="Tahoma"/>
        </w:rPr>
      </w:pPr>
    </w:p>
    <w:p w:rsidR="00E57B03" w:rsidRPr="00E57B03" w:rsidRDefault="00E57B03" w:rsidP="00E57B03">
      <w:pPr>
        <w:tabs>
          <w:tab w:val="left" w:pos="0"/>
        </w:tabs>
        <w:jc w:val="both"/>
        <w:rPr>
          <w:rFonts w:ascii="Tahoma" w:hAnsi="Tahoma" w:cs="Tahoma"/>
        </w:rPr>
      </w:pPr>
      <w:r w:rsidRPr="00E57B03">
        <w:rPr>
          <w:rFonts w:ascii="Tahoma" w:hAnsi="Tahoma" w:cs="Tahoma"/>
        </w:rPr>
        <w:t xml:space="preserve">Por estos fundamentos, de conformidad con el informe del vocal ponente Dr. Juan Carlos Valdivia </w:t>
      </w:r>
      <w:proofErr w:type="spellStart"/>
      <w:r w:rsidRPr="00E57B03">
        <w:rPr>
          <w:rFonts w:ascii="Tahoma" w:hAnsi="Tahoma" w:cs="Tahoma"/>
        </w:rPr>
        <w:t>Huaringa</w:t>
      </w:r>
      <w:proofErr w:type="spellEnd"/>
      <w:r w:rsidRPr="00E57B03">
        <w:rPr>
          <w:rFonts w:ascii="Tahoma" w:hAnsi="Tahoma" w:cs="Tahoma"/>
        </w:rPr>
        <w:t xml:space="preserve"> y la intervención de los vocales Dra. </w:t>
      </w:r>
      <w:proofErr w:type="spellStart"/>
      <w:r w:rsidRPr="00E57B03">
        <w:rPr>
          <w:rFonts w:ascii="Tahoma" w:hAnsi="Tahoma" w:cs="Tahoma"/>
        </w:rPr>
        <w:t>Janette</w:t>
      </w:r>
      <w:proofErr w:type="spellEnd"/>
      <w:r w:rsidRPr="00E57B03">
        <w:rPr>
          <w:rFonts w:ascii="Tahoma" w:hAnsi="Tahoma" w:cs="Tahoma"/>
        </w:rPr>
        <w:t xml:space="preserve"> </w:t>
      </w:r>
      <w:proofErr w:type="spellStart"/>
      <w:r w:rsidRPr="00E57B03">
        <w:rPr>
          <w:rFonts w:ascii="Tahoma" w:hAnsi="Tahoma" w:cs="Tahoma"/>
        </w:rPr>
        <w:t>Elke</w:t>
      </w:r>
      <w:proofErr w:type="spellEnd"/>
      <w:r w:rsidRPr="00E57B03">
        <w:rPr>
          <w:rFonts w:ascii="Tahoma" w:hAnsi="Tahoma" w:cs="Tahoma"/>
        </w:rPr>
        <w:t xml:space="preserve"> Ramírez </w:t>
      </w:r>
      <w:proofErr w:type="spellStart"/>
      <w:r w:rsidRPr="00E57B03">
        <w:rPr>
          <w:rFonts w:ascii="Tahoma" w:hAnsi="Tahoma" w:cs="Tahoma"/>
        </w:rPr>
        <w:t>Maynetto</w:t>
      </w:r>
      <w:proofErr w:type="spellEnd"/>
      <w:r w:rsidRPr="00E57B03">
        <w:rPr>
          <w:rFonts w:ascii="Tahoma" w:hAnsi="Tahoma" w:cs="Tahoma"/>
        </w:rPr>
        <w:t xml:space="preserve"> y Dr. Carlos Navas Rondón, atendiendo a la </w:t>
      </w:r>
      <w:proofErr w:type="spellStart"/>
      <w:r w:rsidRPr="00E57B03">
        <w:rPr>
          <w:rFonts w:ascii="Tahoma" w:hAnsi="Tahoma" w:cs="Tahoma"/>
        </w:rPr>
        <w:t>reconformación</w:t>
      </w:r>
      <w:proofErr w:type="spellEnd"/>
      <w:r w:rsidRPr="00E57B03">
        <w:rPr>
          <w:rFonts w:ascii="Tahoma" w:hAnsi="Tahoma" w:cs="Tahoma"/>
        </w:rPr>
        <w:t xml:space="preserve"> de la Tercera Sala del Tribunal de Contrataciones y Adquisiciones del Estado, según lo dispuesto en la Resolución N.º 279-2007-CONSUCODE/PRE, expedida el 21 de mayo de 2007 y, en ejercicio de las facultades conferidas en los artículos 53, 59 y 61 del Texto Único Ordenado de la Ley de Contrataciones y Adquisiciones del Estado, aprobado por Decreto Supremo N.º 083-2004-PCM y su Reglamento, aprobado por Decreto Supremo N.º 084-2004-PCM y los artículos 17 y 18 del Reglamento de Organización y Funciones del CONSUCODE, aprobado por Decreto Supremo N.º 054-2007-EF; analizados los antecedentes y luego de agotado el debate correspondiente, por unanimidad; </w:t>
      </w:r>
    </w:p>
    <w:p w:rsidR="00E57B03" w:rsidRPr="00E57B03" w:rsidRDefault="00E57B03" w:rsidP="00E57B03">
      <w:pPr>
        <w:jc w:val="both"/>
        <w:rPr>
          <w:rFonts w:ascii="Tahoma" w:hAnsi="Tahoma" w:cs="Tahoma"/>
          <w:b/>
          <w:shadow/>
        </w:rPr>
      </w:pPr>
    </w:p>
    <w:p w:rsidR="00E57B03" w:rsidRPr="00E57B03" w:rsidRDefault="00E57B03" w:rsidP="00E57B03">
      <w:pPr>
        <w:jc w:val="both"/>
        <w:rPr>
          <w:rFonts w:ascii="Tahoma" w:hAnsi="Tahoma" w:cs="Tahoma"/>
          <w:b/>
          <w:shadow/>
        </w:rPr>
      </w:pPr>
      <w:r w:rsidRPr="00E57B03">
        <w:rPr>
          <w:rFonts w:ascii="Tahoma" w:hAnsi="Tahoma" w:cs="Tahoma"/>
          <w:b/>
          <w:shadow/>
        </w:rPr>
        <w:t xml:space="preserve">LA SALA RESUELVE: </w:t>
      </w:r>
    </w:p>
    <w:p w:rsidR="00E57B03" w:rsidRPr="00E57B03" w:rsidRDefault="00E57B03" w:rsidP="00E57B03">
      <w:pPr>
        <w:jc w:val="both"/>
        <w:rPr>
          <w:rFonts w:ascii="Tahoma" w:hAnsi="Tahoma" w:cs="Tahoma"/>
        </w:rPr>
      </w:pPr>
    </w:p>
    <w:p w:rsidR="00E57B03" w:rsidRPr="00E57B03" w:rsidRDefault="00E57B03" w:rsidP="00E57B03">
      <w:pPr>
        <w:numPr>
          <w:ilvl w:val="0"/>
          <w:numId w:val="3"/>
        </w:numPr>
        <w:jc w:val="both"/>
        <w:rPr>
          <w:rFonts w:ascii="Tahoma" w:hAnsi="Tahoma" w:cs="Tahoma"/>
        </w:rPr>
      </w:pPr>
      <w:r w:rsidRPr="00E57B03">
        <w:rPr>
          <w:rFonts w:ascii="Tahoma" w:hAnsi="Tahoma" w:cs="Tahoma"/>
        </w:rPr>
        <w:t xml:space="preserve">Declarar infundado el recurso de reconsideración interpuesto por la </w:t>
      </w:r>
      <w:proofErr w:type="spellStart"/>
      <w:r w:rsidRPr="00E57B03">
        <w:rPr>
          <w:rFonts w:ascii="Tahoma" w:hAnsi="Tahoma" w:cs="Tahoma"/>
        </w:rPr>
        <w:t>Jolmm’s</w:t>
      </w:r>
      <w:proofErr w:type="spellEnd"/>
      <w:r w:rsidRPr="00E57B03">
        <w:rPr>
          <w:rFonts w:ascii="Tahoma" w:hAnsi="Tahoma" w:cs="Tahoma"/>
        </w:rPr>
        <w:t xml:space="preserve"> </w:t>
      </w:r>
      <w:proofErr w:type="spellStart"/>
      <w:r w:rsidRPr="00E57B03">
        <w:rPr>
          <w:rFonts w:ascii="Tahoma" w:hAnsi="Tahoma" w:cs="Tahoma"/>
        </w:rPr>
        <w:t>Computer</w:t>
      </w:r>
      <w:proofErr w:type="spellEnd"/>
      <w:r w:rsidRPr="00E57B03">
        <w:rPr>
          <w:rFonts w:ascii="Tahoma" w:hAnsi="Tahoma" w:cs="Tahoma"/>
        </w:rPr>
        <w:t xml:space="preserve"> </w:t>
      </w:r>
      <w:proofErr w:type="spellStart"/>
      <w:r w:rsidRPr="00E57B03">
        <w:rPr>
          <w:rFonts w:ascii="Tahoma" w:hAnsi="Tahoma" w:cs="Tahoma"/>
        </w:rPr>
        <w:t>Supplies</w:t>
      </w:r>
      <w:proofErr w:type="spellEnd"/>
      <w:r w:rsidRPr="00E57B03">
        <w:rPr>
          <w:rFonts w:ascii="Tahoma" w:hAnsi="Tahoma" w:cs="Tahoma"/>
        </w:rPr>
        <w:t xml:space="preserve"> &amp; </w:t>
      </w:r>
      <w:proofErr w:type="spellStart"/>
      <w:r w:rsidRPr="00E57B03">
        <w:rPr>
          <w:rFonts w:ascii="Tahoma" w:hAnsi="Tahoma" w:cs="Tahoma"/>
        </w:rPr>
        <w:t>Services</w:t>
      </w:r>
      <w:proofErr w:type="spellEnd"/>
      <w:r w:rsidRPr="00E57B03">
        <w:rPr>
          <w:rFonts w:ascii="Tahoma" w:hAnsi="Tahoma" w:cs="Tahoma"/>
        </w:rPr>
        <w:t xml:space="preserve"> S.A.</w:t>
      </w:r>
    </w:p>
    <w:p w:rsidR="00E57B03" w:rsidRPr="00E57B03" w:rsidRDefault="00E57B03" w:rsidP="00E57B03">
      <w:pPr>
        <w:ind w:left="-360"/>
        <w:jc w:val="both"/>
        <w:rPr>
          <w:rFonts w:ascii="Tahoma" w:hAnsi="Tahoma" w:cs="Tahoma"/>
        </w:rPr>
      </w:pPr>
    </w:p>
    <w:p w:rsidR="00E57B03" w:rsidRPr="00E57B03" w:rsidRDefault="00E57B03" w:rsidP="00E57B03">
      <w:pPr>
        <w:numPr>
          <w:ilvl w:val="0"/>
          <w:numId w:val="3"/>
        </w:numPr>
        <w:jc w:val="both"/>
        <w:rPr>
          <w:rFonts w:ascii="Tahoma" w:hAnsi="Tahoma" w:cs="Tahoma"/>
        </w:rPr>
      </w:pPr>
      <w:r w:rsidRPr="00E57B03">
        <w:rPr>
          <w:rFonts w:ascii="Tahoma" w:hAnsi="Tahoma" w:cs="Tahoma"/>
        </w:rPr>
        <w:t>Poner en conocimiento de la Dirección de Plataforma SEACE del Consejo Superior de Contrataciones y Adquisiciones del Estado para los fines de Ley.</w:t>
      </w:r>
    </w:p>
    <w:p w:rsidR="00E57B03" w:rsidRPr="00E57B03" w:rsidRDefault="00E57B03" w:rsidP="00E57B03">
      <w:pPr>
        <w:pStyle w:val="Ttulo3"/>
        <w:widowControl w:val="0"/>
        <w:numPr>
          <w:ilvl w:val="0"/>
          <w:numId w:val="3"/>
        </w:numPr>
        <w:suppressAutoHyphens/>
        <w:jc w:val="both"/>
        <w:rPr>
          <w:rFonts w:ascii="Tahoma" w:hAnsi="Tahoma" w:cs="Tahoma"/>
          <w:b w:val="0"/>
          <w:sz w:val="20"/>
          <w:szCs w:val="20"/>
        </w:rPr>
      </w:pPr>
      <w:r w:rsidRPr="00E57B03">
        <w:rPr>
          <w:rFonts w:ascii="Tahoma" w:hAnsi="Tahoma" w:cs="Tahoma"/>
          <w:b w:val="0"/>
          <w:sz w:val="20"/>
          <w:szCs w:val="20"/>
        </w:rPr>
        <w:t>Dar por agotada la vía administrativa.</w:t>
      </w:r>
    </w:p>
    <w:p w:rsidR="00E57B03" w:rsidRPr="00E57B03" w:rsidRDefault="00E57B03" w:rsidP="00E57B03">
      <w:pPr>
        <w:ind w:left="360"/>
        <w:jc w:val="both"/>
        <w:rPr>
          <w:rFonts w:ascii="Tahoma" w:hAnsi="Tahoma" w:cs="Tahoma"/>
        </w:rPr>
      </w:pPr>
    </w:p>
    <w:p w:rsidR="00E57B03" w:rsidRPr="00E57B03" w:rsidRDefault="00E57B03" w:rsidP="00E57B03">
      <w:pPr>
        <w:jc w:val="both"/>
        <w:rPr>
          <w:rFonts w:ascii="Tahoma" w:hAnsi="Tahoma" w:cs="Tahoma"/>
        </w:rPr>
      </w:pPr>
      <w:r w:rsidRPr="00E57B03">
        <w:rPr>
          <w:rFonts w:ascii="Tahoma" w:hAnsi="Tahoma" w:cs="Tahoma"/>
        </w:rPr>
        <w:t>Regístrese, Comuníquese y Publíquese.</w:t>
      </w:r>
    </w:p>
    <w:p w:rsidR="00E57B03" w:rsidRPr="00E57B03" w:rsidRDefault="00E57B03" w:rsidP="00E57B03">
      <w:pPr>
        <w:jc w:val="both"/>
        <w:rPr>
          <w:rFonts w:ascii="Tahoma" w:hAnsi="Tahoma" w:cs="Tahoma"/>
        </w:rPr>
      </w:pPr>
    </w:p>
    <w:p w:rsidR="00E57B03" w:rsidRPr="00E57B03" w:rsidRDefault="00E57B03" w:rsidP="00E57B03">
      <w:pPr>
        <w:jc w:val="both"/>
        <w:rPr>
          <w:rFonts w:ascii="Tahoma" w:hAnsi="Tahoma" w:cs="Tahoma"/>
        </w:rPr>
      </w:pPr>
    </w:p>
    <w:p w:rsidR="00E57B03" w:rsidRPr="00E57B03" w:rsidRDefault="00E57B03" w:rsidP="00E57B03">
      <w:pPr>
        <w:jc w:val="both"/>
        <w:rPr>
          <w:rFonts w:ascii="Tahoma" w:hAnsi="Tahoma" w:cs="Tahoma"/>
        </w:rPr>
      </w:pPr>
    </w:p>
    <w:p w:rsidR="00E57B03" w:rsidRPr="00E57B03" w:rsidRDefault="00E57B03" w:rsidP="00E57B03">
      <w:pPr>
        <w:jc w:val="both"/>
        <w:rPr>
          <w:rFonts w:ascii="Tahoma" w:hAnsi="Tahoma" w:cs="Tahoma"/>
        </w:rPr>
      </w:pPr>
    </w:p>
    <w:p w:rsidR="00E57B03" w:rsidRPr="00E57B03" w:rsidRDefault="00E57B03" w:rsidP="00E57B03">
      <w:pPr>
        <w:jc w:val="both"/>
        <w:rPr>
          <w:rFonts w:ascii="Tahoma" w:hAnsi="Tahoma" w:cs="Tahoma"/>
        </w:rPr>
      </w:pPr>
    </w:p>
    <w:p w:rsidR="00E57B03" w:rsidRPr="00E57B03" w:rsidRDefault="00E57B03" w:rsidP="00E57B03">
      <w:pPr>
        <w:jc w:val="center"/>
        <w:rPr>
          <w:rFonts w:ascii="Tahoma" w:hAnsi="Tahoma" w:cs="Tahoma"/>
          <w:b/>
        </w:rPr>
      </w:pPr>
      <w:r w:rsidRPr="00E57B03">
        <w:rPr>
          <w:rFonts w:ascii="Tahoma" w:hAnsi="Tahoma" w:cs="Tahoma"/>
          <w:b/>
        </w:rPr>
        <w:t>PRESIDENTE</w:t>
      </w:r>
    </w:p>
    <w:p w:rsidR="00E57B03" w:rsidRPr="00E57B03" w:rsidRDefault="00E57B03" w:rsidP="00E57B03">
      <w:pPr>
        <w:jc w:val="center"/>
        <w:rPr>
          <w:rFonts w:ascii="Tahoma" w:hAnsi="Tahoma" w:cs="Tahoma"/>
          <w:b/>
        </w:rPr>
      </w:pPr>
    </w:p>
    <w:p w:rsidR="00E57B03" w:rsidRPr="00E57B03" w:rsidRDefault="00E57B03" w:rsidP="00E57B03">
      <w:pPr>
        <w:jc w:val="center"/>
        <w:rPr>
          <w:rFonts w:ascii="Tahoma" w:hAnsi="Tahoma" w:cs="Tahoma"/>
          <w:b/>
        </w:rPr>
      </w:pPr>
    </w:p>
    <w:p w:rsidR="00E57B03" w:rsidRPr="00E57B03" w:rsidRDefault="00E57B03" w:rsidP="00E57B03">
      <w:pPr>
        <w:jc w:val="center"/>
        <w:rPr>
          <w:rFonts w:ascii="Tahoma" w:hAnsi="Tahoma" w:cs="Tahoma"/>
          <w:b/>
        </w:rPr>
      </w:pPr>
    </w:p>
    <w:p w:rsidR="00E57B03" w:rsidRPr="00E57B03" w:rsidRDefault="00E57B03" w:rsidP="00E57B03">
      <w:pPr>
        <w:jc w:val="center"/>
        <w:rPr>
          <w:rFonts w:ascii="Tahoma" w:hAnsi="Tahoma" w:cs="Tahoma"/>
          <w:b/>
        </w:rPr>
      </w:pPr>
      <w:r w:rsidRPr="00E57B03">
        <w:rPr>
          <w:rFonts w:ascii="Tahoma" w:hAnsi="Tahoma" w:cs="Tahoma"/>
          <w:b/>
        </w:rPr>
        <w:t xml:space="preserve">VOCAL </w:t>
      </w:r>
      <w:r w:rsidRPr="00E57B03">
        <w:rPr>
          <w:rFonts w:ascii="Tahoma" w:hAnsi="Tahoma" w:cs="Tahoma"/>
          <w:b/>
        </w:rPr>
        <w:tab/>
      </w:r>
      <w:r w:rsidRPr="00E57B03">
        <w:rPr>
          <w:rFonts w:ascii="Tahoma" w:hAnsi="Tahoma" w:cs="Tahoma"/>
          <w:b/>
        </w:rPr>
        <w:tab/>
      </w:r>
      <w:r w:rsidRPr="00E57B03">
        <w:rPr>
          <w:rFonts w:ascii="Tahoma" w:hAnsi="Tahoma" w:cs="Tahoma"/>
          <w:b/>
        </w:rPr>
        <w:tab/>
      </w:r>
      <w:r w:rsidRPr="00E57B03">
        <w:rPr>
          <w:rFonts w:ascii="Tahoma" w:hAnsi="Tahoma" w:cs="Tahoma"/>
          <w:b/>
        </w:rPr>
        <w:tab/>
      </w:r>
      <w:r w:rsidRPr="00E57B03">
        <w:rPr>
          <w:rFonts w:ascii="Tahoma" w:hAnsi="Tahoma" w:cs="Tahoma"/>
          <w:b/>
        </w:rPr>
        <w:tab/>
      </w:r>
      <w:r w:rsidRPr="00E57B03">
        <w:rPr>
          <w:rFonts w:ascii="Tahoma" w:hAnsi="Tahoma" w:cs="Tahoma"/>
          <w:b/>
        </w:rPr>
        <w:tab/>
      </w:r>
      <w:r w:rsidRPr="00E57B03">
        <w:rPr>
          <w:rFonts w:ascii="Tahoma" w:hAnsi="Tahoma" w:cs="Tahoma"/>
          <w:b/>
        </w:rPr>
        <w:tab/>
      </w:r>
      <w:r w:rsidRPr="00E57B03">
        <w:rPr>
          <w:rFonts w:ascii="Tahoma" w:hAnsi="Tahoma" w:cs="Tahoma"/>
          <w:b/>
        </w:rPr>
        <w:tab/>
        <w:t>VOCAL</w:t>
      </w:r>
    </w:p>
    <w:p w:rsidR="00E57B03" w:rsidRPr="00E57B03" w:rsidRDefault="00E57B03" w:rsidP="00E57B03">
      <w:pPr>
        <w:rPr>
          <w:rFonts w:ascii="Tahoma" w:hAnsi="Tahoma" w:cs="Tahoma"/>
          <w:b/>
        </w:rPr>
      </w:pPr>
    </w:p>
    <w:p w:rsidR="00E57B03" w:rsidRPr="00E57B03" w:rsidRDefault="00E57B03" w:rsidP="00E57B03">
      <w:pPr>
        <w:rPr>
          <w:rFonts w:ascii="Tahoma" w:hAnsi="Tahoma" w:cs="Tahoma"/>
          <w:b/>
        </w:rPr>
      </w:pPr>
    </w:p>
    <w:p w:rsidR="00E57B03" w:rsidRPr="00E57B03" w:rsidRDefault="00E57B03" w:rsidP="00E57B03">
      <w:pPr>
        <w:rPr>
          <w:rFonts w:ascii="Tahoma" w:hAnsi="Tahoma" w:cs="Tahoma"/>
        </w:rPr>
      </w:pPr>
      <w:r w:rsidRPr="00E57B03">
        <w:rPr>
          <w:rFonts w:ascii="Tahoma" w:hAnsi="Tahoma" w:cs="Tahoma"/>
        </w:rPr>
        <w:t>ss.</w:t>
      </w:r>
    </w:p>
    <w:p w:rsidR="00E57B03" w:rsidRPr="00E57B03" w:rsidRDefault="00E57B03" w:rsidP="00E57B03">
      <w:pPr>
        <w:rPr>
          <w:rFonts w:ascii="Tahoma" w:hAnsi="Tahoma" w:cs="Tahoma"/>
        </w:rPr>
      </w:pPr>
      <w:r w:rsidRPr="00E57B03">
        <w:rPr>
          <w:rFonts w:ascii="Tahoma" w:hAnsi="Tahoma" w:cs="Tahoma"/>
        </w:rPr>
        <w:t xml:space="preserve">Valdivia </w:t>
      </w:r>
      <w:proofErr w:type="spellStart"/>
      <w:r w:rsidRPr="00E57B03">
        <w:rPr>
          <w:rFonts w:ascii="Tahoma" w:hAnsi="Tahoma" w:cs="Tahoma"/>
        </w:rPr>
        <w:t>Huaringa</w:t>
      </w:r>
      <w:proofErr w:type="spellEnd"/>
    </w:p>
    <w:p w:rsidR="00E57B03" w:rsidRPr="00E57B03" w:rsidRDefault="00E57B03" w:rsidP="00E57B03">
      <w:pPr>
        <w:ind w:left="708" w:hanging="708"/>
        <w:rPr>
          <w:rFonts w:ascii="Tahoma" w:hAnsi="Tahoma" w:cs="Tahoma"/>
        </w:rPr>
      </w:pPr>
      <w:r w:rsidRPr="00E57B03">
        <w:rPr>
          <w:rFonts w:ascii="Tahoma" w:hAnsi="Tahoma" w:cs="Tahoma"/>
        </w:rPr>
        <w:t xml:space="preserve">Ramírez </w:t>
      </w:r>
      <w:proofErr w:type="spellStart"/>
      <w:r w:rsidRPr="00E57B03">
        <w:rPr>
          <w:rFonts w:ascii="Tahoma" w:hAnsi="Tahoma" w:cs="Tahoma"/>
        </w:rPr>
        <w:t>Maynetto</w:t>
      </w:r>
      <w:proofErr w:type="spellEnd"/>
      <w:r w:rsidRPr="00E57B03">
        <w:rPr>
          <w:rFonts w:ascii="Tahoma" w:hAnsi="Tahoma" w:cs="Tahoma"/>
        </w:rPr>
        <w:t xml:space="preserve"> </w:t>
      </w:r>
    </w:p>
    <w:p w:rsidR="00E57B03" w:rsidRPr="00E57B03" w:rsidRDefault="00E57B03" w:rsidP="00E57B03">
      <w:pPr>
        <w:rPr>
          <w:rFonts w:ascii="Tahoma" w:hAnsi="Tahoma" w:cs="Tahoma"/>
        </w:rPr>
      </w:pPr>
      <w:r w:rsidRPr="00E57B03">
        <w:rPr>
          <w:rFonts w:ascii="Tahoma" w:hAnsi="Tahoma" w:cs="Tahoma"/>
        </w:rPr>
        <w:t xml:space="preserve">Navas Rondón </w:t>
      </w:r>
    </w:p>
    <w:p w:rsidR="00E57B03" w:rsidRPr="00E57B03" w:rsidRDefault="00E57B03" w:rsidP="00E57B03">
      <w:pPr>
        <w:rPr>
          <w:rFonts w:ascii="Tahoma" w:hAnsi="Tahoma" w:cs="Tahoma"/>
        </w:rPr>
      </w:pPr>
    </w:p>
    <w:p w:rsidR="008B2CBA" w:rsidRPr="00E57B03" w:rsidRDefault="00A96AD9">
      <w:pPr>
        <w:rPr>
          <w:rFonts w:ascii="Tahoma" w:hAnsi="Tahoma" w:cs="Tahoma"/>
        </w:rPr>
      </w:pPr>
    </w:p>
    <w:sectPr w:rsidR="008B2CBA" w:rsidRPr="00E57B03" w:rsidSect="005A4333">
      <w:footerReference w:type="even" r:id="rId8"/>
      <w:footerReference w:type="default" r:id="rId9"/>
      <w:pgSz w:w="11906" w:h="16838"/>
      <w:pgMar w:top="3402" w:right="1701" w:bottom="197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7B03" w:rsidRDefault="00E57B03" w:rsidP="00E57B03">
      <w:r>
        <w:separator/>
      </w:r>
    </w:p>
  </w:endnote>
  <w:endnote w:type="continuationSeparator" w:id="1">
    <w:p w:rsidR="00E57B03" w:rsidRDefault="00E57B03" w:rsidP="00E57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3B0" w:rsidRDefault="005D369C" w:rsidP="001976F1">
    <w:pPr>
      <w:pStyle w:val="Piedepgina"/>
      <w:framePr w:wrap="around" w:vAnchor="text" w:hAnchor="margin" w:xAlign="center" w:y="1"/>
      <w:rPr>
        <w:rStyle w:val="Nmerodepgina"/>
      </w:rPr>
    </w:pPr>
    <w:r>
      <w:rPr>
        <w:rStyle w:val="Nmerodepgina"/>
      </w:rPr>
      <w:fldChar w:fldCharType="begin"/>
    </w:r>
    <w:r w:rsidR="00E57B03">
      <w:rPr>
        <w:rStyle w:val="Nmerodepgina"/>
      </w:rPr>
      <w:instrText xml:space="preserve">PAGE  </w:instrText>
    </w:r>
    <w:r>
      <w:rPr>
        <w:rStyle w:val="Nmerodepgina"/>
      </w:rPr>
      <w:fldChar w:fldCharType="end"/>
    </w:r>
  </w:p>
  <w:p w:rsidR="00E173B0" w:rsidRDefault="00A96AD9">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3B0" w:rsidRPr="002E1DB7" w:rsidRDefault="00E57B03" w:rsidP="001976F1">
    <w:pPr>
      <w:pStyle w:val="Piedepgina"/>
      <w:framePr w:wrap="around" w:vAnchor="text" w:hAnchor="margin" w:xAlign="center" w:y="1"/>
      <w:rPr>
        <w:rFonts w:ascii="Bookman Old Style" w:hAnsi="Bookman Old Style"/>
        <w:i/>
        <w:sz w:val="20"/>
      </w:rPr>
    </w:pPr>
    <w:r w:rsidRPr="002E1DB7">
      <w:rPr>
        <w:rFonts w:ascii="Bookman Old Style" w:hAnsi="Bookman Old Style"/>
        <w:i/>
        <w:sz w:val="20"/>
      </w:rPr>
      <w:t xml:space="preserve">Página </w:t>
    </w:r>
    <w:r w:rsidR="005D369C" w:rsidRPr="002E1DB7">
      <w:rPr>
        <w:rFonts w:ascii="Bookman Old Style" w:hAnsi="Bookman Old Style"/>
        <w:i/>
        <w:sz w:val="20"/>
      </w:rPr>
      <w:fldChar w:fldCharType="begin"/>
    </w:r>
    <w:r w:rsidRPr="002E1DB7">
      <w:rPr>
        <w:rFonts w:ascii="Bookman Old Style" w:hAnsi="Bookman Old Style"/>
        <w:i/>
        <w:sz w:val="20"/>
      </w:rPr>
      <w:instrText xml:space="preserve"> PAGE </w:instrText>
    </w:r>
    <w:r w:rsidR="005D369C" w:rsidRPr="002E1DB7">
      <w:rPr>
        <w:rFonts w:ascii="Bookman Old Style" w:hAnsi="Bookman Old Style"/>
        <w:i/>
        <w:sz w:val="20"/>
      </w:rPr>
      <w:fldChar w:fldCharType="separate"/>
    </w:r>
    <w:r w:rsidR="00CA7040">
      <w:rPr>
        <w:rFonts w:ascii="Bookman Old Style" w:hAnsi="Bookman Old Style"/>
        <w:i/>
        <w:noProof/>
        <w:sz w:val="20"/>
      </w:rPr>
      <w:t>1</w:t>
    </w:r>
    <w:r w:rsidR="005D369C" w:rsidRPr="002E1DB7">
      <w:rPr>
        <w:rFonts w:ascii="Bookman Old Style" w:hAnsi="Bookman Old Style"/>
        <w:i/>
        <w:sz w:val="20"/>
      </w:rPr>
      <w:fldChar w:fldCharType="end"/>
    </w:r>
    <w:r w:rsidRPr="002E1DB7">
      <w:rPr>
        <w:rFonts w:ascii="Bookman Old Style" w:hAnsi="Bookman Old Style"/>
        <w:i/>
        <w:sz w:val="20"/>
      </w:rPr>
      <w:t xml:space="preserve"> de </w:t>
    </w:r>
    <w:r w:rsidR="005D369C" w:rsidRPr="002E1DB7">
      <w:rPr>
        <w:rFonts w:ascii="Bookman Old Style" w:hAnsi="Bookman Old Style"/>
        <w:i/>
        <w:sz w:val="20"/>
      </w:rPr>
      <w:fldChar w:fldCharType="begin"/>
    </w:r>
    <w:r w:rsidRPr="002E1DB7">
      <w:rPr>
        <w:rFonts w:ascii="Bookman Old Style" w:hAnsi="Bookman Old Style"/>
        <w:i/>
        <w:sz w:val="20"/>
      </w:rPr>
      <w:instrText xml:space="preserve"> NUMPAGES </w:instrText>
    </w:r>
    <w:r w:rsidR="005D369C" w:rsidRPr="002E1DB7">
      <w:rPr>
        <w:rFonts w:ascii="Bookman Old Style" w:hAnsi="Bookman Old Style"/>
        <w:i/>
        <w:sz w:val="20"/>
      </w:rPr>
      <w:fldChar w:fldCharType="separate"/>
    </w:r>
    <w:r w:rsidR="00CA7040">
      <w:rPr>
        <w:rFonts w:ascii="Bookman Old Style" w:hAnsi="Bookman Old Style"/>
        <w:i/>
        <w:noProof/>
        <w:sz w:val="20"/>
      </w:rPr>
      <w:t>9</w:t>
    </w:r>
    <w:r w:rsidR="005D369C" w:rsidRPr="002E1DB7">
      <w:rPr>
        <w:rFonts w:ascii="Bookman Old Style" w:hAnsi="Bookman Old Style"/>
        <w:i/>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7B03" w:rsidRDefault="00E57B03" w:rsidP="00E57B03">
      <w:r>
        <w:separator/>
      </w:r>
    </w:p>
  </w:footnote>
  <w:footnote w:type="continuationSeparator" w:id="1">
    <w:p w:rsidR="00E57B03" w:rsidRDefault="00E57B03" w:rsidP="00E57B03">
      <w:r>
        <w:continuationSeparator/>
      </w:r>
    </w:p>
  </w:footnote>
  <w:footnote w:id="2">
    <w:p w:rsidR="00E57B03" w:rsidRPr="00660779" w:rsidRDefault="00E57B03" w:rsidP="00E57B03">
      <w:pPr>
        <w:pStyle w:val="Textonotapie"/>
        <w:rPr>
          <w:rFonts w:ascii="Bookman Old Style" w:hAnsi="Bookman Old Style"/>
          <w:i/>
          <w:sz w:val="18"/>
          <w:szCs w:val="18"/>
        </w:rPr>
      </w:pPr>
      <w:r w:rsidRPr="00660779">
        <w:rPr>
          <w:rStyle w:val="Refdenotaalpie"/>
          <w:rFonts w:ascii="Bookman Old Style" w:hAnsi="Bookman Old Style"/>
          <w:i/>
          <w:sz w:val="18"/>
          <w:szCs w:val="18"/>
        </w:rPr>
        <w:footnoteRef/>
      </w:r>
      <w:r w:rsidRPr="00660779">
        <w:rPr>
          <w:rFonts w:ascii="Bookman Old Style" w:hAnsi="Bookman Old Style"/>
          <w:i/>
          <w:sz w:val="18"/>
          <w:szCs w:val="18"/>
        </w:rPr>
        <w:t xml:space="preserve"> </w:t>
      </w:r>
      <w:r>
        <w:rPr>
          <w:rFonts w:ascii="Bookman Old Style" w:hAnsi="Bookman Old Style"/>
          <w:i/>
          <w:sz w:val="18"/>
          <w:szCs w:val="18"/>
        </w:rPr>
        <w:tab/>
      </w:r>
      <w:r w:rsidRPr="00660779">
        <w:rPr>
          <w:rFonts w:ascii="Bookman Old Style" w:hAnsi="Bookman Old Style"/>
          <w:i/>
          <w:sz w:val="18"/>
          <w:szCs w:val="18"/>
        </w:rPr>
        <w:t>Documento obrante a fojas 023 del expediente administrativo.</w:t>
      </w:r>
    </w:p>
  </w:footnote>
  <w:footnote w:id="3">
    <w:p w:rsidR="00E57B03" w:rsidRPr="00660779" w:rsidRDefault="00E57B03" w:rsidP="00E57B03">
      <w:pPr>
        <w:pStyle w:val="Textonotapie"/>
        <w:ind w:left="180" w:hanging="180"/>
        <w:rPr>
          <w:rFonts w:ascii="Bookman Old Style" w:hAnsi="Bookman Old Style"/>
          <w:i/>
          <w:sz w:val="18"/>
          <w:szCs w:val="18"/>
        </w:rPr>
      </w:pPr>
      <w:r w:rsidRPr="00660779">
        <w:rPr>
          <w:rStyle w:val="Refdenotaalpie"/>
          <w:rFonts w:ascii="Bookman Old Style" w:hAnsi="Bookman Old Style"/>
          <w:i/>
          <w:sz w:val="18"/>
          <w:szCs w:val="18"/>
        </w:rPr>
        <w:footnoteRef/>
      </w:r>
      <w:r w:rsidRPr="00660779">
        <w:rPr>
          <w:rFonts w:ascii="Bookman Old Style" w:hAnsi="Bookman Old Style"/>
          <w:i/>
          <w:sz w:val="18"/>
          <w:szCs w:val="18"/>
        </w:rPr>
        <w:t xml:space="preserve"> </w:t>
      </w:r>
      <w:r>
        <w:rPr>
          <w:rFonts w:ascii="Bookman Old Style" w:hAnsi="Bookman Old Style"/>
          <w:i/>
          <w:sz w:val="18"/>
          <w:szCs w:val="18"/>
        </w:rPr>
        <w:tab/>
      </w:r>
      <w:r w:rsidRPr="00660779">
        <w:rPr>
          <w:rFonts w:ascii="Bookman Old Style" w:hAnsi="Bookman Old Style"/>
          <w:i/>
          <w:sz w:val="18"/>
          <w:szCs w:val="18"/>
        </w:rPr>
        <w:t>Documento obrante a fojas 022 del expediente administrativo.</w:t>
      </w:r>
    </w:p>
  </w:footnote>
  <w:footnote w:id="4">
    <w:p w:rsidR="00E57B03" w:rsidRPr="00660779" w:rsidRDefault="00E57B03" w:rsidP="00E57B03">
      <w:pPr>
        <w:pStyle w:val="Textonotapie"/>
        <w:ind w:left="180" w:hanging="180"/>
        <w:rPr>
          <w:rFonts w:ascii="Bookman Old Style" w:hAnsi="Bookman Old Style"/>
          <w:i/>
          <w:sz w:val="18"/>
          <w:szCs w:val="18"/>
        </w:rPr>
      </w:pPr>
      <w:r w:rsidRPr="00660779">
        <w:rPr>
          <w:rStyle w:val="Refdenotaalpie"/>
          <w:rFonts w:ascii="Bookman Old Style" w:hAnsi="Bookman Old Style"/>
          <w:i/>
          <w:sz w:val="18"/>
          <w:szCs w:val="18"/>
        </w:rPr>
        <w:footnoteRef/>
      </w:r>
      <w:r w:rsidRPr="00660779">
        <w:rPr>
          <w:rFonts w:ascii="Bookman Old Style" w:hAnsi="Bookman Old Style"/>
          <w:i/>
          <w:sz w:val="18"/>
          <w:szCs w:val="18"/>
        </w:rPr>
        <w:t xml:space="preserve"> </w:t>
      </w:r>
      <w:r>
        <w:rPr>
          <w:rFonts w:ascii="Bookman Old Style" w:hAnsi="Bookman Old Style"/>
          <w:i/>
          <w:sz w:val="18"/>
          <w:szCs w:val="18"/>
        </w:rPr>
        <w:tab/>
      </w:r>
      <w:r w:rsidRPr="00660779">
        <w:rPr>
          <w:rFonts w:ascii="Bookman Old Style" w:hAnsi="Bookman Old Style"/>
          <w:i/>
          <w:sz w:val="18"/>
          <w:szCs w:val="18"/>
        </w:rPr>
        <w:t>Documento que obra a fojas 020 y 021 del presente expediente administrativo.</w:t>
      </w:r>
    </w:p>
  </w:footnote>
  <w:footnote w:id="5">
    <w:p w:rsidR="00E57B03" w:rsidRPr="00660779" w:rsidRDefault="00E57B03" w:rsidP="00E57B03">
      <w:pPr>
        <w:pStyle w:val="Textonotapie"/>
        <w:ind w:left="180" w:hanging="180"/>
        <w:rPr>
          <w:rFonts w:ascii="Bookman Old Style" w:hAnsi="Bookman Old Style"/>
          <w:i/>
          <w:sz w:val="18"/>
          <w:szCs w:val="18"/>
        </w:rPr>
      </w:pPr>
      <w:r w:rsidRPr="00660779">
        <w:rPr>
          <w:rStyle w:val="Refdenotaalpie"/>
          <w:rFonts w:ascii="Bookman Old Style" w:hAnsi="Bookman Old Style"/>
          <w:i/>
          <w:sz w:val="18"/>
          <w:szCs w:val="18"/>
        </w:rPr>
        <w:footnoteRef/>
      </w:r>
      <w:r w:rsidRPr="00660779">
        <w:rPr>
          <w:rFonts w:ascii="Bookman Old Style" w:hAnsi="Bookman Old Style"/>
          <w:i/>
          <w:sz w:val="18"/>
          <w:szCs w:val="18"/>
        </w:rPr>
        <w:t xml:space="preserve"> </w:t>
      </w:r>
      <w:r>
        <w:rPr>
          <w:rFonts w:ascii="Bookman Old Style" w:hAnsi="Bookman Old Style"/>
          <w:i/>
          <w:sz w:val="18"/>
          <w:szCs w:val="18"/>
        </w:rPr>
        <w:tab/>
      </w:r>
      <w:r w:rsidRPr="00660779">
        <w:rPr>
          <w:rFonts w:ascii="Bookman Old Style" w:hAnsi="Bookman Old Style"/>
          <w:i/>
          <w:sz w:val="18"/>
          <w:szCs w:val="18"/>
        </w:rPr>
        <w:t>Documento que obra a fojas 016 del presente expediente administrativo.</w:t>
      </w:r>
    </w:p>
  </w:footnote>
  <w:footnote w:id="6">
    <w:p w:rsidR="00E57B03" w:rsidRPr="00660779" w:rsidRDefault="00E57B03" w:rsidP="00E57B03">
      <w:pPr>
        <w:pStyle w:val="Textonotapie"/>
        <w:ind w:left="180" w:hanging="180"/>
        <w:rPr>
          <w:rFonts w:ascii="Bookman Old Style" w:hAnsi="Bookman Old Style"/>
          <w:i/>
          <w:sz w:val="18"/>
          <w:szCs w:val="18"/>
        </w:rPr>
      </w:pPr>
      <w:r w:rsidRPr="00660779">
        <w:rPr>
          <w:rStyle w:val="Refdenotaalpie"/>
          <w:rFonts w:ascii="Bookman Old Style" w:hAnsi="Bookman Old Style"/>
          <w:i/>
          <w:sz w:val="18"/>
          <w:szCs w:val="18"/>
        </w:rPr>
        <w:footnoteRef/>
      </w:r>
      <w:r w:rsidRPr="00660779">
        <w:rPr>
          <w:rFonts w:ascii="Bookman Old Style" w:hAnsi="Bookman Old Style"/>
          <w:i/>
          <w:sz w:val="18"/>
          <w:szCs w:val="18"/>
        </w:rPr>
        <w:t xml:space="preserve"> </w:t>
      </w:r>
      <w:r>
        <w:rPr>
          <w:rFonts w:ascii="Bookman Old Style" w:hAnsi="Bookman Old Style"/>
          <w:i/>
          <w:sz w:val="18"/>
          <w:szCs w:val="18"/>
        </w:rPr>
        <w:tab/>
      </w:r>
      <w:r w:rsidRPr="00660779">
        <w:rPr>
          <w:rFonts w:ascii="Bookman Old Style" w:hAnsi="Bookman Old Style"/>
          <w:i/>
          <w:sz w:val="18"/>
          <w:szCs w:val="18"/>
        </w:rPr>
        <w:t>Documento que obra a fojas 013 Y 014 del presente expediente administrativo.</w:t>
      </w:r>
    </w:p>
  </w:footnote>
  <w:footnote w:id="7">
    <w:p w:rsidR="00E57B03" w:rsidRPr="00660779" w:rsidRDefault="00E57B03" w:rsidP="00E57B03">
      <w:pPr>
        <w:pStyle w:val="Textonotapie"/>
        <w:ind w:left="180" w:hanging="180"/>
        <w:rPr>
          <w:rFonts w:ascii="Bookman Old Style" w:hAnsi="Bookman Old Style"/>
          <w:i/>
          <w:sz w:val="18"/>
          <w:szCs w:val="18"/>
        </w:rPr>
      </w:pPr>
      <w:r w:rsidRPr="00660779">
        <w:rPr>
          <w:rStyle w:val="Refdenotaalpie"/>
          <w:rFonts w:ascii="Bookman Old Style" w:hAnsi="Bookman Old Style"/>
          <w:i/>
          <w:sz w:val="18"/>
          <w:szCs w:val="18"/>
        </w:rPr>
        <w:footnoteRef/>
      </w:r>
      <w:r w:rsidRPr="00660779">
        <w:rPr>
          <w:rFonts w:ascii="Bookman Old Style" w:hAnsi="Bookman Old Style"/>
          <w:i/>
          <w:sz w:val="18"/>
          <w:szCs w:val="18"/>
        </w:rPr>
        <w:t xml:space="preserve"> </w:t>
      </w:r>
      <w:r>
        <w:rPr>
          <w:rFonts w:ascii="Bookman Old Style" w:hAnsi="Bookman Old Style"/>
          <w:i/>
          <w:sz w:val="18"/>
          <w:szCs w:val="18"/>
        </w:rPr>
        <w:tab/>
      </w:r>
      <w:r w:rsidRPr="00660779">
        <w:rPr>
          <w:rFonts w:ascii="Bookman Old Style" w:hAnsi="Bookman Old Style"/>
          <w:i/>
          <w:sz w:val="18"/>
          <w:szCs w:val="18"/>
        </w:rPr>
        <w:t>Documento que obra a fojas 012 del presente expediente administrativo.</w:t>
      </w:r>
    </w:p>
  </w:footnote>
  <w:footnote w:id="8">
    <w:p w:rsidR="00E57B03" w:rsidRPr="000A30A7" w:rsidRDefault="00E57B03" w:rsidP="00E57B03">
      <w:pPr>
        <w:pStyle w:val="Textonotapie"/>
        <w:ind w:left="360" w:hanging="360"/>
        <w:rPr>
          <w:rFonts w:ascii="Bookman Old Style" w:hAnsi="Bookman Old Style"/>
          <w:i/>
          <w:sz w:val="18"/>
          <w:szCs w:val="18"/>
        </w:rPr>
      </w:pPr>
      <w:r w:rsidRPr="000A30A7">
        <w:rPr>
          <w:rStyle w:val="Refdenotaalpie"/>
          <w:rFonts w:ascii="Bookman Old Style" w:hAnsi="Bookman Old Style"/>
          <w:i/>
          <w:sz w:val="18"/>
          <w:szCs w:val="18"/>
        </w:rPr>
        <w:footnoteRef/>
      </w:r>
      <w:r w:rsidRPr="000A30A7">
        <w:rPr>
          <w:rFonts w:ascii="Bookman Old Style" w:hAnsi="Bookman Old Style"/>
          <w:i/>
          <w:sz w:val="18"/>
          <w:szCs w:val="18"/>
        </w:rPr>
        <w:t xml:space="preserve"> </w:t>
      </w:r>
      <w:r w:rsidRPr="000A30A7">
        <w:rPr>
          <w:rFonts w:ascii="Bookman Old Style" w:hAnsi="Bookman Old Style"/>
          <w:i/>
          <w:sz w:val="18"/>
          <w:szCs w:val="18"/>
        </w:rPr>
        <w:tab/>
        <w:t>Según consta en el cargo de recepción de la Cédula  de Notificación N</w:t>
      </w:r>
      <w:proofErr w:type="gramStart"/>
      <w:r w:rsidRPr="000A30A7">
        <w:rPr>
          <w:rFonts w:ascii="Bookman Old Style" w:hAnsi="Bookman Old Style"/>
          <w:i/>
          <w:sz w:val="18"/>
          <w:szCs w:val="18"/>
        </w:rPr>
        <w:t>.º</w:t>
      </w:r>
      <w:proofErr w:type="gramEnd"/>
      <w:r w:rsidRPr="000A30A7">
        <w:rPr>
          <w:rFonts w:ascii="Bookman Old Style" w:hAnsi="Bookman Old Style"/>
          <w:i/>
          <w:sz w:val="18"/>
          <w:szCs w:val="18"/>
        </w:rPr>
        <w:t xml:space="preserve"> </w:t>
      </w:r>
      <w:r>
        <w:rPr>
          <w:rFonts w:ascii="Bookman Old Style" w:hAnsi="Bookman Old Style"/>
          <w:i/>
          <w:sz w:val="18"/>
          <w:szCs w:val="18"/>
        </w:rPr>
        <w:t>34797</w:t>
      </w:r>
      <w:r w:rsidRPr="000A30A7">
        <w:rPr>
          <w:rFonts w:ascii="Bookman Old Style" w:hAnsi="Bookman Old Style"/>
          <w:i/>
          <w:sz w:val="18"/>
          <w:szCs w:val="18"/>
        </w:rPr>
        <w:t xml:space="preserve">/2007.TC que obra a fojas </w:t>
      </w:r>
      <w:r>
        <w:rPr>
          <w:rFonts w:ascii="Bookman Old Style" w:hAnsi="Bookman Old Style"/>
          <w:i/>
          <w:sz w:val="18"/>
          <w:szCs w:val="18"/>
        </w:rPr>
        <w:t xml:space="preserve">155 </w:t>
      </w:r>
      <w:r w:rsidRPr="000A30A7">
        <w:rPr>
          <w:rFonts w:ascii="Bookman Old Style" w:hAnsi="Bookman Old Style"/>
          <w:i/>
          <w:sz w:val="18"/>
          <w:szCs w:val="18"/>
        </w:rPr>
        <w:t>en el expediente administrativo.</w:t>
      </w:r>
    </w:p>
  </w:footnote>
  <w:footnote w:id="9">
    <w:p w:rsidR="00E57B03" w:rsidRPr="000A30A7" w:rsidRDefault="00E57B03" w:rsidP="00E57B03">
      <w:pPr>
        <w:pStyle w:val="Textonotapie"/>
        <w:ind w:left="360" w:hanging="360"/>
        <w:jc w:val="both"/>
        <w:rPr>
          <w:rFonts w:ascii="Bookman Old Style" w:hAnsi="Bookman Old Style" w:cs="Tahoma"/>
          <w:i/>
          <w:sz w:val="18"/>
          <w:szCs w:val="18"/>
          <w:lang w:val="es-PE"/>
        </w:rPr>
      </w:pPr>
      <w:r w:rsidRPr="000A30A7">
        <w:rPr>
          <w:rStyle w:val="Refdenotaalpie"/>
          <w:rFonts w:ascii="Bookman Old Style" w:hAnsi="Bookman Old Style" w:cs="Tahoma"/>
          <w:i/>
          <w:sz w:val="18"/>
          <w:szCs w:val="18"/>
        </w:rPr>
        <w:footnoteRef/>
      </w:r>
      <w:r w:rsidRPr="000A30A7">
        <w:rPr>
          <w:rFonts w:ascii="Bookman Old Style" w:hAnsi="Bookman Old Style" w:cs="Tahoma"/>
          <w:b/>
          <w:i/>
          <w:sz w:val="18"/>
          <w:szCs w:val="18"/>
        </w:rPr>
        <w:t xml:space="preserve"> </w:t>
      </w:r>
      <w:r w:rsidRPr="000A30A7">
        <w:rPr>
          <w:rFonts w:ascii="Bookman Old Style" w:hAnsi="Bookman Old Style" w:cs="Tahoma"/>
          <w:b/>
          <w:i/>
          <w:sz w:val="18"/>
          <w:szCs w:val="18"/>
        </w:rPr>
        <w:tab/>
        <w:t>“</w:t>
      </w:r>
      <w:r w:rsidRPr="000A30A7">
        <w:rPr>
          <w:rFonts w:ascii="Bookman Old Style" w:hAnsi="Bookman Old Style" w:cs="Tahoma"/>
          <w:b/>
          <w:i/>
          <w:sz w:val="18"/>
          <w:szCs w:val="18"/>
          <w:lang w:val="es-PE"/>
        </w:rPr>
        <w:t>Artículo 306.- Recurso de Reconsideración.-</w:t>
      </w:r>
      <w:r w:rsidRPr="000A30A7">
        <w:rPr>
          <w:rFonts w:ascii="Bookman Old Style" w:hAnsi="Bookman Old Style" w:cs="Tahoma"/>
          <w:i/>
          <w:sz w:val="18"/>
          <w:szCs w:val="18"/>
          <w:lang w:val="es-PE"/>
        </w:rPr>
        <w:t xml:space="preserve"> Contra lo resuelto por el Tribunal en un procedimiento sancionador podrá interponerse Recurso de Reconsideración dentro de los tres (3) días hábiles de notificada o publicada la respectiva resolución.</w:t>
      </w:r>
    </w:p>
    <w:p w:rsidR="00E57B03" w:rsidRPr="000A30A7" w:rsidRDefault="00E57B03" w:rsidP="00E57B03">
      <w:pPr>
        <w:pStyle w:val="Textonotapie"/>
        <w:ind w:left="360"/>
        <w:jc w:val="both"/>
        <w:rPr>
          <w:rFonts w:ascii="Bookman Old Style" w:hAnsi="Bookman Old Style" w:cs="Tahoma"/>
          <w:i/>
          <w:sz w:val="18"/>
          <w:szCs w:val="18"/>
          <w:lang w:val="es-PE"/>
        </w:rPr>
      </w:pPr>
      <w:r w:rsidRPr="000A30A7">
        <w:rPr>
          <w:rFonts w:ascii="Bookman Old Style" w:hAnsi="Bookman Old Style" w:cs="Tahoma"/>
          <w:i/>
          <w:sz w:val="18"/>
          <w:szCs w:val="18"/>
          <w:lang w:val="es-PE"/>
        </w:rPr>
        <w:t>El tribunal resolverá dentro del plazo de quince (15) días hábiles; contra esta decisión procede la acción contencioso administrativa ante el Poder Judicial”.</w:t>
      </w:r>
    </w:p>
    <w:p w:rsidR="00E57B03" w:rsidRPr="000A30A7" w:rsidRDefault="00E57B03" w:rsidP="00E57B03">
      <w:pPr>
        <w:pStyle w:val="Textonotapie"/>
        <w:ind w:left="360" w:hanging="360"/>
        <w:jc w:val="both"/>
        <w:rPr>
          <w:rFonts w:ascii="Bookman Old Style" w:hAnsi="Bookman Old Style"/>
          <w:i/>
          <w:sz w:val="18"/>
          <w:szCs w:val="18"/>
        </w:rPr>
      </w:pPr>
    </w:p>
  </w:footnote>
  <w:footnote w:id="10">
    <w:p w:rsidR="00E57B03" w:rsidRPr="000A30A7" w:rsidRDefault="00E57B03" w:rsidP="00E57B03">
      <w:pPr>
        <w:pStyle w:val="Textonotapie"/>
        <w:tabs>
          <w:tab w:val="left" w:pos="360"/>
        </w:tabs>
        <w:ind w:left="360" w:hanging="360"/>
        <w:jc w:val="both"/>
        <w:rPr>
          <w:rFonts w:ascii="Bookman Old Style" w:hAnsi="Bookman Old Style" w:cs="Tahoma"/>
          <w:i/>
          <w:sz w:val="18"/>
          <w:szCs w:val="18"/>
          <w:lang w:val="es-ES_tradnl"/>
        </w:rPr>
      </w:pPr>
      <w:r w:rsidRPr="000A30A7">
        <w:rPr>
          <w:rStyle w:val="Refdenotaalpie"/>
          <w:rFonts w:ascii="Bookman Old Style" w:hAnsi="Bookman Old Style" w:cs="Tahoma"/>
          <w:i/>
          <w:sz w:val="18"/>
          <w:szCs w:val="18"/>
        </w:rPr>
        <w:footnoteRef/>
      </w:r>
      <w:r w:rsidRPr="000A30A7">
        <w:rPr>
          <w:rFonts w:ascii="Bookman Old Style" w:hAnsi="Bookman Old Style" w:cs="Tahoma"/>
          <w:i/>
          <w:sz w:val="18"/>
          <w:szCs w:val="18"/>
        </w:rPr>
        <w:t xml:space="preserve"> </w:t>
      </w:r>
      <w:r w:rsidRPr="000A30A7">
        <w:rPr>
          <w:rFonts w:ascii="Bookman Old Style" w:hAnsi="Bookman Old Style" w:cs="Tahoma"/>
          <w:i/>
          <w:sz w:val="18"/>
          <w:szCs w:val="18"/>
        </w:rPr>
        <w:tab/>
      </w:r>
      <w:r w:rsidRPr="000A30A7">
        <w:rPr>
          <w:rFonts w:ascii="Bookman Old Style" w:hAnsi="Bookman Old Style" w:cs="Tahoma"/>
          <w:i/>
          <w:sz w:val="18"/>
          <w:szCs w:val="18"/>
          <w:lang w:val="es-ES_tradnl"/>
        </w:rPr>
        <w:t xml:space="preserve">Sobre el particular, el numeral 1.2 del Artículo IV del Título Preliminar de </w:t>
      </w:r>
      <w:smartTag w:uri="urn:schemas-microsoft-com:office:smarttags" w:element="PersonName">
        <w:smartTagPr>
          <w:attr w:name="ProductID" w:val="la Ley"/>
        </w:smartTagPr>
        <w:r w:rsidRPr="000A30A7">
          <w:rPr>
            <w:rFonts w:ascii="Bookman Old Style" w:hAnsi="Bookman Old Style" w:cs="Tahoma"/>
            <w:i/>
            <w:sz w:val="18"/>
            <w:szCs w:val="18"/>
            <w:lang w:val="es-ES_tradnl"/>
          </w:rPr>
          <w:t>la Ley</w:t>
        </w:r>
      </w:smartTag>
      <w:r w:rsidRPr="000A30A7">
        <w:rPr>
          <w:rFonts w:ascii="Bookman Old Style" w:hAnsi="Bookman Old Style" w:cs="Tahoma"/>
          <w:i/>
          <w:sz w:val="18"/>
          <w:szCs w:val="18"/>
          <w:lang w:val="es-ES_tradnl"/>
        </w:rPr>
        <w:t xml:space="preserve"> del  Procedimiento Administrativo General establece que los administrados gozan de todos los derechos y garantías inherentes al debido procedimiento administrativo, que comprende el derecho a exponer sus argumentos, a ofrecer y producir pruebas </w:t>
      </w:r>
      <w:r w:rsidRPr="000A30A7">
        <w:rPr>
          <w:rFonts w:ascii="Bookman Old Style" w:hAnsi="Bookman Old Style" w:cs="Tahoma"/>
          <w:i/>
          <w:sz w:val="18"/>
          <w:szCs w:val="18"/>
          <w:u w:val="single"/>
          <w:lang w:val="es-ES_tradnl"/>
        </w:rPr>
        <w:t>y a obtener una decisión motivada y fundada en derecho</w:t>
      </w:r>
      <w:r w:rsidRPr="000A30A7">
        <w:rPr>
          <w:rFonts w:ascii="Bookman Old Style" w:hAnsi="Bookman Old Style" w:cs="Tahoma"/>
          <w:i/>
          <w:sz w:val="18"/>
          <w:szCs w:val="18"/>
          <w:lang w:val="es-ES_tradnl"/>
        </w:rPr>
        <w:t xml:space="preserve">. En la misma línea, el numeral 4 del artículo 3 del citado cuerpo legal prescribe que </w:t>
      </w:r>
      <w:r w:rsidRPr="000A30A7">
        <w:rPr>
          <w:rFonts w:ascii="Bookman Old Style" w:hAnsi="Bookman Old Style" w:cs="Tahoma"/>
          <w:i/>
          <w:sz w:val="18"/>
          <w:szCs w:val="18"/>
          <w:u w:val="single"/>
          <w:lang w:val="es-ES_tradnl"/>
        </w:rPr>
        <w:t>el acto administrativo debe estar debidamente motivado</w:t>
      </w:r>
      <w:r w:rsidRPr="000A30A7">
        <w:rPr>
          <w:rFonts w:ascii="Bookman Old Style" w:hAnsi="Bookman Old Style" w:cs="Tahoma"/>
          <w:i/>
          <w:sz w:val="18"/>
          <w:szCs w:val="18"/>
          <w:lang w:val="es-ES_tradnl"/>
        </w:rPr>
        <w:t xml:space="preserve"> en proporción al contenido y conforme al ordenamiento jurídico.</w:t>
      </w:r>
    </w:p>
    <w:p w:rsidR="00E57B03" w:rsidRPr="000A30A7" w:rsidRDefault="00E57B03" w:rsidP="00E57B03">
      <w:pPr>
        <w:pStyle w:val="Textonotapie"/>
        <w:ind w:left="360" w:hanging="360"/>
        <w:jc w:val="both"/>
        <w:rPr>
          <w:rFonts w:ascii="Bookman Old Style" w:hAnsi="Bookman Old Style"/>
          <w:i/>
          <w:sz w:val="18"/>
          <w:szCs w:val="18"/>
          <w:lang w:val="es-ES_tradnl"/>
        </w:rPr>
      </w:pPr>
      <w:r w:rsidRPr="000A30A7">
        <w:rPr>
          <w:rFonts w:ascii="Bookman Old Style" w:hAnsi="Bookman Old Style" w:cs="Tahoma"/>
          <w:i/>
          <w:sz w:val="18"/>
          <w:szCs w:val="18"/>
          <w:lang w:val="es-ES_tradnl"/>
        </w:rPr>
        <w:t xml:space="preserve"> </w:t>
      </w:r>
    </w:p>
  </w:footnote>
  <w:footnote w:id="11">
    <w:p w:rsidR="00E57B03" w:rsidRPr="00660779" w:rsidRDefault="00E57B03" w:rsidP="00E57B03">
      <w:pPr>
        <w:pStyle w:val="Textonotapie"/>
        <w:tabs>
          <w:tab w:val="left" w:pos="360"/>
        </w:tabs>
        <w:ind w:left="180" w:hanging="180"/>
        <w:jc w:val="both"/>
        <w:rPr>
          <w:rFonts w:ascii="Bookman Old Style" w:hAnsi="Bookman Old Style"/>
          <w:i/>
          <w:sz w:val="18"/>
          <w:szCs w:val="18"/>
        </w:rPr>
      </w:pPr>
      <w:r w:rsidRPr="00660779">
        <w:rPr>
          <w:rStyle w:val="Refdenotaalpie"/>
          <w:rFonts w:ascii="Bookman Old Style" w:hAnsi="Bookman Old Style"/>
          <w:i/>
          <w:sz w:val="18"/>
          <w:szCs w:val="18"/>
        </w:rPr>
        <w:footnoteRef/>
      </w:r>
      <w:r w:rsidRPr="00660779">
        <w:rPr>
          <w:rFonts w:ascii="Bookman Old Style" w:hAnsi="Bookman Old Style"/>
          <w:i/>
          <w:sz w:val="18"/>
          <w:szCs w:val="18"/>
        </w:rPr>
        <w:t xml:space="preserve"> </w:t>
      </w:r>
      <w:r w:rsidRPr="00660779">
        <w:rPr>
          <w:rFonts w:ascii="Bookman Old Style" w:hAnsi="Bookman Old Style"/>
          <w:i/>
          <w:sz w:val="18"/>
          <w:szCs w:val="18"/>
        </w:rPr>
        <w:tab/>
        <w:t>Documento obrante de fojas 067 a 077 del presente Expediente Administrativo.</w:t>
      </w:r>
    </w:p>
  </w:footnote>
  <w:footnote w:id="12">
    <w:p w:rsidR="00E57B03" w:rsidRPr="00660779" w:rsidRDefault="00E57B03" w:rsidP="00E57B03">
      <w:pPr>
        <w:pStyle w:val="Textonotapie"/>
        <w:tabs>
          <w:tab w:val="left" w:pos="360"/>
        </w:tabs>
        <w:ind w:left="180" w:hanging="180"/>
        <w:jc w:val="both"/>
        <w:rPr>
          <w:rFonts w:ascii="Bookman Old Style" w:hAnsi="Bookman Old Style"/>
          <w:i/>
          <w:sz w:val="18"/>
          <w:szCs w:val="18"/>
        </w:rPr>
      </w:pPr>
      <w:r w:rsidRPr="00660779">
        <w:rPr>
          <w:rStyle w:val="Refdenotaalpie"/>
          <w:rFonts w:ascii="Bookman Old Style" w:hAnsi="Bookman Old Style"/>
          <w:i/>
          <w:sz w:val="18"/>
          <w:szCs w:val="18"/>
        </w:rPr>
        <w:footnoteRef/>
      </w:r>
      <w:r w:rsidRPr="00660779">
        <w:rPr>
          <w:rFonts w:ascii="Bookman Old Style" w:hAnsi="Bookman Old Style"/>
          <w:i/>
          <w:sz w:val="18"/>
          <w:szCs w:val="18"/>
        </w:rPr>
        <w:t xml:space="preserve"> </w:t>
      </w:r>
      <w:r w:rsidRPr="00660779">
        <w:rPr>
          <w:rFonts w:ascii="Bookman Old Style" w:hAnsi="Bookman Old Style"/>
          <w:i/>
          <w:sz w:val="18"/>
          <w:szCs w:val="18"/>
        </w:rPr>
        <w:tab/>
        <w:t>Documento obrante a fojas 033 del Expediente Administrativo.</w:t>
      </w:r>
    </w:p>
    <w:p w:rsidR="00E57B03" w:rsidRDefault="00E57B03" w:rsidP="00E57B03">
      <w:pPr>
        <w:pStyle w:val="Textonotapie"/>
        <w:ind w:left="180" w:hanging="180"/>
      </w:pPr>
      <w:r w:rsidRPr="00660779">
        <w:rPr>
          <w:rFonts w:ascii="Bookman Old Style" w:hAnsi="Bookman Old Style"/>
          <w:i/>
          <w:sz w:val="18"/>
          <w:szCs w:val="18"/>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4AC2887A"/>
    <w:lvl w:ilvl="0" w:tplc="169CDB0C">
      <w:start w:val="1"/>
      <w:numFmt w:val="decimal"/>
      <w:lvlText w:val="%1."/>
      <w:lvlJc w:val="left"/>
      <w:pPr>
        <w:tabs>
          <w:tab w:val="num" w:pos="900"/>
        </w:tabs>
        <w:ind w:left="900" w:hanging="360"/>
      </w:pPr>
      <w:rPr>
        <w:b/>
        <w:i w:val="0"/>
      </w:rPr>
    </w:lvl>
    <w:lvl w:ilvl="1" w:tplc="0C0A0019">
      <w:start w:val="1"/>
      <w:numFmt w:val="lowerLetter"/>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D89661A"/>
    <w:multiLevelType w:val="hybridMultilevel"/>
    <w:tmpl w:val="3ECC6292"/>
    <w:lvl w:ilvl="0" w:tplc="58B6B0A0">
      <w:start w:val="1"/>
      <w:numFmt w:val="decimal"/>
      <w:lvlText w:val="%1."/>
      <w:lvlJc w:val="left"/>
      <w:pPr>
        <w:tabs>
          <w:tab w:val="num" w:pos="454"/>
        </w:tabs>
        <w:ind w:left="454" w:hanging="454"/>
      </w:pPr>
      <w:rPr>
        <w:rFonts w:ascii="Arial Narrow" w:hAnsi="Arial Narrow" w:hint="default"/>
        <w:b/>
        <w:i w:val="0"/>
        <w:shadow/>
        <w:emboss w:val="0"/>
        <w:imprint w:val="0"/>
        <w:color w:val="auto"/>
        <w:sz w:val="24"/>
        <w:szCs w:val="24"/>
        <w:u w:color="FFFFFF"/>
        <w:effect w:val="none"/>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08F29F02">
      <w:start w:val="1"/>
      <w:numFmt w:val="lowerRoman"/>
      <w:lvlText w:val="%4)"/>
      <w:lvlJc w:val="left"/>
      <w:pPr>
        <w:tabs>
          <w:tab w:val="num" w:pos="3240"/>
        </w:tabs>
        <w:ind w:left="3240" w:hanging="720"/>
      </w:pPr>
      <w:rPr>
        <w:rFonts w:hint="default"/>
      </w:rPr>
    </w:lvl>
    <w:lvl w:ilvl="4" w:tplc="F4DC6372">
      <w:numFmt w:val="bullet"/>
      <w:lvlText w:val="-"/>
      <w:lvlJc w:val="left"/>
      <w:pPr>
        <w:tabs>
          <w:tab w:val="num" w:pos="3600"/>
        </w:tabs>
        <w:ind w:left="3600" w:hanging="360"/>
      </w:pPr>
      <w:rPr>
        <w:rFonts w:ascii="Arial Narrow" w:eastAsia="Times New Roman" w:hAnsi="Arial Narrow" w:cs="Tahoma"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31D60A9"/>
    <w:multiLevelType w:val="hybridMultilevel"/>
    <w:tmpl w:val="C5D65FC6"/>
    <w:lvl w:ilvl="0" w:tplc="AAC2829A">
      <w:start w:val="1"/>
      <w:numFmt w:val="decimal"/>
      <w:lvlText w:val="%1."/>
      <w:lvlJc w:val="left"/>
      <w:pPr>
        <w:tabs>
          <w:tab w:val="num" w:pos="720"/>
        </w:tabs>
        <w:ind w:left="720" w:hanging="360"/>
      </w:pPr>
      <w:rPr>
        <w:rFonts w:hint="default"/>
        <w:b/>
      </w:rPr>
    </w:lvl>
    <w:lvl w:ilvl="1" w:tplc="64268118">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lowerRoman"/>
      <w:lvlText w:val="%3."/>
      <w:lvlJc w:val="right"/>
      <w:pPr>
        <w:tabs>
          <w:tab w:val="num" w:pos="2160"/>
        </w:tabs>
        <w:ind w:left="2160" w:hanging="180"/>
      </w:pPr>
    </w:lvl>
    <w:lvl w:ilvl="3" w:tplc="852EDCEC">
      <w:start w:val="1"/>
      <w:numFmt w:val="lowerRoman"/>
      <w:lvlText w:val="%4)"/>
      <w:lvlJc w:val="left"/>
      <w:pPr>
        <w:tabs>
          <w:tab w:val="num" w:pos="3240"/>
        </w:tabs>
        <w:ind w:left="3240" w:hanging="720"/>
      </w:pPr>
      <w:rPr>
        <w:rFonts w:hint="default"/>
      </w:r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3E17303E"/>
    <w:multiLevelType w:val="hybridMultilevel"/>
    <w:tmpl w:val="2A66DAB4"/>
    <w:lvl w:ilvl="0" w:tplc="E2F67604">
      <w:start w:val="7"/>
      <w:numFmt w:val="decimal"/>
      <w:lvlText w:val="%1."/>
      <w:lvlJc w:val="left"/>
      <w:pPr>
        <w:ind w:left="72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3FEB5D24"/>
    <w:multiLevelType w:val="hybridMultilevel"/>
    <w:tmpl w:val="F40AC770"/>
    <w:lvl w:ilvl="0" w:tplc="E1A86FAE">
      <w:start w:val="1"/>
      <w:numFmt w:val="lowerLetter"/>
      <w:lvlText w:val="%1)"/>
      <w:lvlJc w:val="left"/>
      <w:pPr>
        <w:ind w:left="1494" w:hanging="360"/>
      </w:pPr>
      <w:rPr>
        <w:rFonts w:hint="default"/>
      </w:rPr>
    </w:lvl>
    <w:lvl w:ilvl="1" w:tplc="0C0A0019" w:tentative="1">
      <w:start w:val="1"/>
      <w:numFmt w:val="lowerLetter"/>
      <w:lvlText w:val="%2."/>
      <w:lvlJc w:val="left"/>
      <w:pPr>
        <w:ind w:left="2214" w:hanging="360"/>
      </w:pPr>
    </w:lvl>
    <w:lvl w:ilvl="2" w:tplc="0C0A001B" w:tentative="1">
      <w:start w:val="1"/>
      <w:numFmt w:val="lowerRoman"/>
      <w:lvlText w:val="%3."/>
      <w:lvlJc w:val="right"/>
      <w:pPr>
        <w:ind w:left="2934" w:hanging="180"/>
      </w:pPr>
    </w:lvl>
    <w:lvl w:ilvl="3" w:tplc="0C0A000F" w:tentative="1">
      <w:start w:val="1"/>
      <w:numFmt w:val="decimal"/>
      <w:lvlText w:val="%4."/>
      <w:lvlJc w:val="left"/>
      <w:pPr>
        <w:ind w:left="3654" w:hanging="360"/>
      </w:pPr>
    </w:lvl>
    <w:lvl w:ilvl="4" w:tplc="0C0A0019" w:tentative="1">
      <w:start w:val="1"/>
      <w:numFmt w:val="lowerLetter"/>
      <w:lvlText w:val="%5."/>
      <w:lvlJc w:val="left"/>
      <w:pPr>
        <w:ind w:left="4374" w:hanging="360"/>
      </w:pPr>
    </w:lvl>
    <w:lvl w:ilvl="5" w:tplc="0C0A001B" w:tentative="1">
      <w:start w:val="1"/>
      <w:numFmt w:val="lowerRoman"/>
      <w:lvlText w:val="%6."/>
      <w:lvlJc w:val="right"/>
      <w:pPr>
        <w:ind w:left="5094" w:hanging="180"/>
      </w:pPr>
    </w:lvl>
    <w:lvl w:ilvl="6" w:tplc="0C0A000F" w:tentative="1">
      <w:start w:val="1"/>
      <w:numFmt w:val="decimal"/>
      <w:lvlText w:val="%7."/>
      <w:lvlJc w:val="left"/>
      <w:pPr>
        <w:ind w:left="5814" w:hanging="360"/>
      </w:pPr>
    </w:lvl>
    <w:lvl w:ilvl="7" w:tplc="0C0A0019" w:tentative="1">
      <w:start w:val="1"/>
      <w:numFmt w:val="lowerLetter"/>
      <w:lvlText w:val="%8."/>
      <w:lvlJc w:val="left"/>
      <w:pPr>
        <w:ind w:left="6534" w:hanging="360"/>
      </w:pPr>
    </w:lvl>
    <w:lvl w:ilvl="8" w:tplc="0C0A001B" w:tentative="1">
      <w:start w:val="1"/>
      <w:numFmt w:val="lowerRoman"/>
      <w:lvlText w:val="%9."/>
      <w:lvlJc w:val="right"/>
      <w:pPr>
        <w:ind w:left="7254" w:hanging="180"/>
      </w:pPr>
    </w:lvl>
  </w:abstractNum>
  <w:abstractNum w:abstractNumId="5">
    <w:nsid w:val="57FD5746"/>
    <w:multiLevelType w:val="hybridMultilevel"/>
    <w:tmpl w:val="BD9C8842"/>
    <w:lvl w:ilvl="0" w:tplc="B2808640">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E57B03"/>
    <w:rsid w:val="001313A3"/>
    <w:rsid w:val="00431535"/>
    <w:rsid w:val="005D369C"/>
    <w:rsid w:val="00A321A9"/>
    <w:rsid w:val="00A96AD9"/>
    <w:rsid w:val="00AB0E85"/>
    <w:rsid w:val="00B46874"/>
    <w:rsid w:val="00CA7040"/>
    <w:rsid w:val="00DC58D4"/>
    <w:rsid w:val="00E10D44"/>
    <w:rsid w:val="00E57B0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B03"/>
    <w:pPr>
      <w:spacing w:after="0" w:line="240" w:lineRule="auto"/>
    </w:pPr>
    <w:rPr>
      <w:rFonts w:ascii="Times New Roman" w:eastAsia="Times New Roman" w:hAnsi="Times New Roman" w:cs="Times New Roman"/>
      <w:sz w:val="20"/>
      <w:szCs w:val="20"/>
      <w:lang w:eastAsia="es-ES"/>
    </w:rPr>
  </w:style>
  <w:style w:type="paragraph" w:styleId="Ttulo3">
    <w:name w:val="heading 3"/>
    <w:basedOn w:val="Normal"/>
    <w:next w:val="Normal"/>
    <w:link w:val="Ttulo3Car"/>
    <w:qFormat/>
    <w:rsid w:val="00E57B03"/>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E57B03"/>
    <w:rPr>
      <w:rFonts w:ascii="Arial" w:eastAsia="Times New Roman" w:hAnsi="Arial" w:cs="Arial"/>
      <w:b/>
      <w:bCs/>
      <w:sz w:val="26"/>
      <w:szCs w:val="26"/>
      <w:lang w:eastAsia="es-ES"/>
    </w:rPr>
  </w:style>
  <w:style w:type="paragraph" w:styleId="Piedepgina">
    <w:name w:val="footer"/>
    <w:basedOn w:val="Normal"/>
    <w:link w:val="PiedepginaCar"/>
    <w:rsid w:val="00E57B03"/>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E57B03"/>
    <w:rPr>
      <w:rFonts w:ascii="Times New Roman" w:eastAsia="Times New Roman" w:hAnsi="Times New Roman" w:cs="Times New Roman"/>
      <w:sz w:val="24"/>
      <w:szCs w:val="20"/>
      <w:lang w:val="es-ES_tradnl" w:eastAsia="es-ES"/>
    </w:rPr>
  </w:style>
  <w:style w:type="paragraph" w:styleId="Textoindependiente">
    <w:name w:val="Body Text"/>
    <w:basedOn w:val="Normal"/>
    <w:link w:val="TextoindependienteCar"/>
    <w:rsid w:val="00E57B03"/>
    <w:pPr>
      <w:jc w:val="both"/>
    </w:pPr>
    <w:rPr>
      <w:rFonts w:ascii="Arial" w:hAnsi="Arial"/>
      <w:sz w:val="24"/>
      <w:lang w:val="es-PE"/>
    </w:rPr>
  </w:style>
  <w:style w:type="character" w:customStyle="1" w:styleId="TextoindependienteCar">
    <w:name w:val="Texto independiente Car"/>
    <w:basedOn w:val="Fuentedeprrafopredeter"/>
    <w:link w:val="Textoindependiente"/>
    <w:rsid w:val="00E57B03"/>
    <w:rPr>
      <w:rFonts w:ascii="Arial" w:eastAsia="Times New Roman" w:hAnsi="Arial" w:cs="Times New Roman"/>
      <w:sz w:val="24"/>
      <w:szCs w:val="20"/>
      <w:lang w:val="es-PE" w:eastAsia="es-ES"/>
    </w:rPr>
  </w:style>
  <w:style w:type="paragraph" w:styleId="Textonotapie">
    <w:name w:val="footnote text"/>
    <w:basedOn w:val="Normal"/>
    <w:link w:val="TextonotapieCar"/>
    <w:semiHidden/>
    <w:rsid w:val="00E57B03"/>
  </w:style>
  <w:style w:type="character" w:customStyle="1" w:styleId="TextonotapieCar">
    <w:name w:val="Texto nota pie Car"/>
    <w:basedOn w:val="Fuentedeprrafopredeter"/>
    <w:link w:val="Textonotapie"/>
    <w:semiHidden/>
    <w:rsid w:val="00E57B03"/>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E57B03"/>
    <w:rPr>
      <w:vertAlign w:val="superscript"/>
    </w:rPr>
  </w:style>
  <w:style w:type="character" w:styleId="Nmerodepgina">
    <w:name w:val="page number"/>
    <w:basedOn w:val="Fuentedeprrafopredeter"/>
    <w:rsid w:val="00E57B03"/>
  </w:style>
  <w:style w:type="paragraph" w:styleId="Prrafodelista">
    <w:name w:val="List Paragraph"/>
    <w:basedOn w:val="Normal"/>
    <w:uiPriority w:val="34"/>
    <w:qFormat/>
    <w:rsid w:val="00E57B03"/>
    <w:pPr>
      <w:widowControl w:val="0"/>
      <w:suppressAutoHyphens/>
      <w:ind w:left="720"/>
      <w:contextualSpacing/>
    </w:pPr>
    <w:rPr>
      <w:sz w:val="24"/>
      <w:lang w:val="es-ES_tradnl"/>
    </w:rPr>
  </w:style>
</w:styles>
</file>

<file path=word/webSettings.xml><?xml version="1.0" encoding="utf-8"?>
<w:webSettings xmlns:r="http://schemas.openxmlformats.org/officeDocument/2006/relationships" xmlns:w="http://schemas.openxmlformats.org/wordprocessingml/2006/main">
  <w:divs>
    <w:div w:id="204979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EFE25-0082-41B5-9917-BB0FD4A8C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3193</Words>
  <Characters>17565</Characters>
  <Application>Microsoft Office Word</Application>
  <DocSecurity>0</DocSecurity>
  <Lines>146</Lines>
  <Paragraphs>41</Paragraphs>
  <ScaleCrop>false</ScaleCrop>
  <Company/>
  <LinksUpToDate>false</LinksUpToDate>
  <CharactersWithSpaces>20717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1995-2007/S3</dc:title>
  <dc:subject>APLICACIÓN DE SANCIÓN</dc:subject>
  <dc:creator>CONSUCODE</dc:creator>
  <cp:keywords>RESOLUCION DE ORDEN DE COMPRA</cp:keywords>
  <dc:description/>
  <cp:lastModifiedBy>erueda</cp:lastModifiedBy>
  <cp:revision>2</cp:revision>
  <dcterms:created xsi:type="dcterms:W3CDTF">2007-12-14T15:19:00Z</dcterms:created>
  <dcterms:modified xsi:type="dcterms:W3CDTF">2007-12-14T15:19:00Z</dcterms:modified>
  <cp:category>RESOLUCIÓN - TRIBUNAL</cp:category>
</cp:coreProperties>
</file>