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63C" w:rsidRDefault="004C463C" w:rsidP="004C463C">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w:t>
      </w: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1985-2007/TC-S3</w:t>
      </w:r>
    </w:p>
    <w:p w:rsidR="004C463C" w:rsidRDefault="004C463C" w:rsidP="004C463C">
      <w:pPr>
        <w:tabs>
          <w:tab w:val="left" w:pos="2700"/>
          <w:tab w:val="left" w:pos="2880"/>
          <w:tab w:val="left" w:pos="6840"/>
        </w:tabs>
        <w:ind w:left="2700" w:right="2060" w:hanging="1080"/>
        <w:jc w:val="both"/>
        <w:rPr>
          <w:rFonts w:ascii="Tahoma" w:hAnsi="Tahoma" w:cs="Tahoma"/>
          <w:b/>
          <w:i/>
        </w:rPr>
      </w:pPr>
    </w:p>
    <w:p w:rsidR="004C463C" w:rsidRPr="00207D78" w:rsidRDefault="004C463C" w:rsidP="004C463C">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207D78">
        <w:rPr>
          <w:rFonts w:ascii="Tahoma" w:hAnsi="Tahoma" w:cs="Tahoma"/>
          <w:i/>
        </w:rPr>
        <w:t xml:space="preserve">El procedimiento administrativo sancionador se rige </w:t>
      </w:r>
      <w:r>
        <w:rPr>
          <w:rFonts w:ascii="Tahoma" w:hAnsi="Tahoma" w:cs="Tahoma"/>
          <w:i/>
        </w:rPr>
        <w:t>por el  “principio de tipicidad</w:t>
      </w:r>
      <w:r w:rsidRPr="00207D78">
        <w:rPr>
          <w:rFonts w:ascii="Tahoma" w:hAnsi="Tahoma" w:cs="Tahoma"/>
          <w:i/>
        </w:rPr>
        <w:t>“, el cual señala que solo constituye conducta sancionable administrativamente las infracciones previstas expresamente en las normas con rango de Ley mediante su tipificación como tales, sin admitir interpretación extensiva o analogía</w:t>
      </w:r>
      <w:r w:rsidRPr="00207D78">
        <w:rPr>
          <w:rFonts w:ascii="Tahoma" w:hAnsi="Tahoma" w:cs="Tahoma"/>
          <w:i/>
          <w:lang w:val="es-ES_tradnl"/>
        </w:rPr>
        <w:t xml:space="preserve">.  </w:t>
      </w:r>
    </w:p>
    <w:p w:rsidR="004C463C" w:rsidRDefault="004C463C" w:rsidP="004C463C">
      <w:pPr>
        <w:tabs>
          <w:tab w:val="left" w:pos="2700"/>
          <w:tab w:val="left" w:pos="2880"/>
          <w:tab w:val="left" w:pos="6840"/>
        </w:tabs>
        <w:ind w:left="2700" w:right="2060" w:hanging="1080"/>
        <w:jc w:val="both"/>
        <w:rPr>
          <w:rFonts w:ascii="Tahoma" w:hAnsi="Tahoma" w:cs="Tahoma"/>
          <w:i/>
          <w:lang w:val="es-ES_tradnl"/>
        </w:rPr>
      </w:pPr>
    </w:p>
    <w:p w:rsidR="004C463C" w:rsidRPr="00584C07" w:rsidRDefault="004C463C" w:rsidP="004C463C">
      <w:pPr>
        <w:tabs>
          <w:tab w:val="left" w:pos="2700"/>
          <w:tab w:val="left" w:pos="2880"/>
          <w:tab w:val="left" w:pos="6840"/>
        </w:tabs>
        <w:ind w:left="2700" w:right="2060" w:hanging="1080"/>
        <w:jc w:val="both"/>
        <w:rPr>
          <w:rFonts w:ascii="Tahoma" w:hAnsi="Tahoma" w:cs="Tahoma"/>
          <w:i/>
          <w:lang w:val="es-ES_tradnl"/>
        </w:rPr>
      </w:pPr>
    </w:p>
    <w:p w:rsidR="004C463C" w:rsidRDefault="004C463C" w:rsidP="004C463C">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21 DE NOVIEMBRE DE 2007</w:t>
      </w:r>
    </w:p>
    <w:p w:rsidR="004C463C" w:rsidRDefault="004C463C" w:rsidP="004C463C">
      <w:pPr>
        <w:jc w:val="both"/>
        <w:rPr>
          <w:rFonts w:ascii="Tahoma" w:hAnsi="Tahoma" w:cs="Tahoma"/>
          <w:b/>
        </w:rPr>
      </w:pPr>
    </w:p>
    <w:p w:rsidR="004C463C" w:rsidRPr="00F107B5" w:rsidRDefault="004C463C" w:rsidP="004C463C">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w:t>
      </w:r>
      <w:r>
        <w:rPr>
          <w:rFonts w:ascii="Tahoma" w:hAnsi="Tahoma" w:cs="Tahoma"/>
        </w:rPr>
        <w:t>19</w:t>
      </w:r>
      <w:r w:rsidRPr="00F107B5">
        <w:rPr>
          <w:rFonts w:ascii="Tahoma" w:hAnsi="Tahoma" w:cs="Tahoma"/>
        </w:rPr>
        <w:t xml:space="preserve"> 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579</w:t>
      </w:r>
      <w:r w:rsidRPr="00F107B5">
        <w:rPr>
          <w:rFonts w:ascii="Tahoma" w:hAnsi="Tahoma" w:cs="Tahoma"/>
        </w:rPr>
        <w:t>.2007.TC, sobre el procedimiento de aplicación de sanción a</w:t>
      </w:r>
      <w:r>
        <w:rPr>
          <w:rFonts w:ascii="Tahoma" w:hAnsi="Tahoma" w:cs="Tahoma"/>
        </w:rPr>
        <w:t xml:space="preserve">l señor Daniel </w:t>
      </w:r>
      <w:proofErr w:type="spellStart"/>
      <w:r>
        <w:rPr>
          <w:rFonts w:ascii="Tahoma" w:hAnsi="Tahoma" w:cs="Tahoma"/>
        </w:rPr>
        <w:t>Apolinario</w:t>
      </w:r>
      <w:proofErr w:type="spellEnd"/>
      <w:r>
        <w:rPr>
          <w:rFonts w:ascii="Tahoma" w:hAnsi="Tahoma" w:cs="Tahoma"/>
        </w:rPr>
        <w:t xml:space="preserve"> García Prado</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la no suscripción injustificada del contrato derivado de </w:t>
      </w:r>
      <w:r w:rsidRPr="00545365">
        <w:rPr>
          <w:rFonts w:ascii="Tahoma" w:hAnsi="Tahoma" w:cs="Tahoma"/>
        </w:rPr>
        <w:t xml:space="preserve">la </w:t>
      </w:r>
      <w:r w:rsidRPr="005D6962">
        <w:rPr>
          <w:rFonts w:ascii="Tahoma" w:hAnsi="Tahoma" w:cs="Tahoma"/>
        </w:rPr>
        <w:t xml:space="preserve">Adjudicación </w:t>
      </w:r>
      <w:r>
        <w:rPr>
          <w:rFonts w:ascii="Tahoma" w:hAnsi="Tahoma" w:cs="Tahoma"/>
        </w:rPr>
        <w:t xml:space="preserve">Directa Selectiva N.º 0004-2007-INGEMMET/CE – Primera Convocatoria, </w:t>
      </w:r>
      <w:r w:rsidRPr="00545365">
        <w:rPr>
          <w:rFonts w:ascii="Tahoma" w:hAnsi="Tahoma" w:cs="Tahoma"/>
        </w:rPr>
        <w:t xml:space="preserve"> </w:t>
      </w:r>
      <w:r>
        <w:rPr>
          <w:rFonts w:ascii="Tahoma" w:hAnsi="Tahoma" w:cs="Tahoma"/>
        </w:rPr>
        <w:t>efectuada por el</w:t>
      </w:r>
      <w:r w:rsidRPr="005D6962">
        <w:rPr>
          <w:rFonts w:ascii="Tahoma" w:hAnsi="Tahoma" w:cs="Tahoma"/>
        </w:rPr>
        <w:t xml:space="preserve"> Instituto Geológico Minero y Metalúrgico</w:t>
      </w:r>
      <w:r>
        <w:rPr>
          <w:rFonts w:ascii="Tahoma" w:hAnsi="Tahoma" w:cs="Tahoma"/>
        </w:rPr>
        <w:t xml:space="preserve">, para </w:t>
      </w:r>
      <w:r w:rsidRPr="005D6962">
        <w:rPr>
          <w:rFonts w:ascii="Tahoma" w:hAnsi="Tahoma" w:cs="Tahoma"/>
        </w:rPr>
        <w:t xml:space="preserve">la contratación de un </w:t>
      </w:r>
      <w:r>
        <w:rPr>
          <w:rFonts w:ascii="Tahoma" w:hAnsi="Tahoma" w:cs="Tahoma"/>
        </w:rPr>
        <w:t>geógrafo especialista en sistemas de información geográfica</w:t>
      </w:r>
      <w:r w:rsidRPr="00F107B5">
        <w:rPr>
          <w:rFonts w:ascii="Tahoma" w:hAnsi="Tahoma" w:cs="Tahoma"/>
        </w:rPr>
        <w:t>;</w:t>
      </w:r>
      <w:r w:rsidRPr="00F107B5">
        <w:rPr>
          <w:rFonts w:ascii="Tahoma" w:hAnsi="Tahoma" w:cs="Tahoma"/>
          <w:color w:val="000000"/>
        </w:rPr>
        <w:t xml:space="preserve"> y atendiendo a los siguientes:    </w:t>
      </w:r>
    </w:p>
    <w:p w:rsidR="004C463C" w:rsidRDefault="004C463C" w:rsidP="004C463C">
      <w:pPr>
        <w:pStyle w:val="Textoindependiente"/>
        <w:widowControl/>
        <w:tabs>
          <w:tab w:val="left" w:pos="540"/>
        </w:tabs>
        <w:suppressAutoHyphens w:val="0"/>
        <w:rPr>
          <w:rFonts w:cs="Tahoma"/>
          <w:sz w:val="20"/>
        </w:rPr>
      </w:pPr>
    </w:p>
    <w:p w:rsidR="004C463C" w:rsidRPr="00F107B5" w:rsidRDefault="004C463C" w:rsidP="004C463C">
      <w:pPr>
        <w:pStyle w:val="Textoindependiente"/>
        <w:widowControl/>
        <w:tabs>
          <w:tab w:val="left" w:pos="540"/>
        </w:tabs>
        <w:suppressAutoHyphens w:val="0"/>
        <w:rPr>
          <w:rFonts w:cs="Tahoma"/>
          <w:sz w:val="20"/>
        </w:rPr>
      </w:pPr>
    </w:p>
    <w:p w:rsidR="004C463C" w:rsidRDefault="004C463C" w:rsidP="004C463C">
      <w:pPr>
        <w:jc w:val="both"/>
        <w:rPr>
          <w:rFonts w:ascii="Tahoma" w:hAnsi="Tahoma" w:cs="Tahoma"/>
          <w:b/>
          <w:shadow/>
        </w:rPr>
      </w:pPr>
      <w:r w:rsidRPr="00F107B5">
        <w:rPr>
          <w:rFonts w:ascii="Tahoma" w:hAnsi="Tahoma" w:cs="Tahoma"/>
          <w:b/>
          <w:shadow/>
        </w:rPr>
        <w:t>ANTECEDENTES:</w:t>
      </w:r>
    </w:p>
    <w:p w:rsidR="004C463C" w:rsidRDefault="004C463C" w:rsidP="004C463C">
      <w:pPr>
        <w:pStyle w:val="Textoindependiente"/>
        <w:tabs>
          <w:tab w:val="left" w:pos="-2340"/>
        </w:tabs>
        <w:ind w:right="-315"/>
        <w:rPr>
          <w:rFonts w:cs="Tahoma"/>
          <w:sz w:val="20"/>
        </w:rPr>
      </w:pPr>
    </w:p>
    <w:p w:rsidR="004C463C" w:rsidRPr="005D6962" w:rsidRDefault="004C463C" w:rsidP="004C463C">
      <w:pPr>
        <w:pStyle w:val="Textoindependiente"/>
        <w:tabs>
          <w:tab w:val="left" w:pos="-2340"/>
        </w:tabs>
        <w:ind w:right="-315"/>
        <w:rPr>
          <w:rFonts w:cs="Tahoma"/>
          <w:sz w:val="20"/>
        </w:rPr>
      </w:pPr>
    </w:p>
    <w:p w:rsidR="004C463C" w:rsidRPr="005D6962" w:rsidRDefault="004C463C" w:rsidP="004C463C">
      <w:pPr>
        <w:numPr>
          <w:ilvl w:val="0"/>
          <w:numId w:val="1"/>
        </w:numPr>
        <w:tabs>
          <w:tab w:val="clear" w:pos="720"/>
          <w:tab w:val="left" w:pos="180"/>
          <w:tab w:val="num" w:pos="540"/>
        </w:tabs>
        <w:ind w:left="540" w:hanging="540"/>
        <w:jc w:val="both"/>
        <w:rPr>
          <w:rFonts w:ascii="Tahoma" w:hAnsi="Tahoma" w:cs="Tahoma"/>
        </w:rPr>
      </w:pPr>
      <w:r w:rsidRPr="005D6962">
        <w:rPr>
          <w:rFonts w:ascii="Tahoma" w:hAnsi="Tahoma" w:cs="Tahoma"/>
        </w:rPr>
        <w:t xml:space="preserve">El Instituto Geológico Minero y Metalúrgico, en lo sucesivo la Entidad, convocó a la Adjudicación </w:t>
      </w:r>
      <w:r>
        <w:rPr>
          <w:rFonts w:ascii="Tahoma" w:hAnsi="Tahoma" w:cs="Tahoma"/>
        </w:rPr>
        <w:t>Directa Selectiva N</w:t>
      </w:r>
      <w:proofErr w:type="gramStart"/>
      <w:r>
        <w:rPr>
          <w:rFonts w:ascii="Tahoma" w:hAnsi="Tahoma" w:cs="Tahoma"/>
        </w:rPr>
        <w:t>.º</w:t>
      </w:r>
      <w:proofErr w:type="gramEnd"/>
      <w:r>
        <w:rPr>
          <w:rFonts w:ascii="Tahoma" w:hAnsi="Tahoma" w:cs="Tahoma"/>
        </w:rPr>
        <w:t xml:space="preserve"> 0004-2007-INGEMMET/CE – Primera Convocatoria, </w:t>
      </w:r>
      <w:r w:rsidRPr="005D6962">
        <w:rPr>
          <w:rFonts w:ascii="Tahoma" w:hAnsi="Tahoma" w:cs="Tahoma"/>
        </w:rPr>
        <w:t xml:space="preserve">para la contratación de un </w:t>
      </w:r>
      <w:r>
        <w:rPr>
          <w:rFonts w:ascii="Tahoma" w:hAnsi="Tahoma" w:cs="Tahoma"/>
        </w:rPr>
        <w:t xml:space="preserve">geógrafo especialista en sistemas de información geográfica, por un valor referencial ascendente a S/. 50,000.00 Nuevos Soles. </w:t>
      </w:r>
      <w:r w:rsidRPr="005D6962">
        <w:rPr>
          <w:rFonts w:ascii="Tahoma" w:hAnsi="Tahoma" w:cs="Tahoma"/>
        </w:rPr>
        <w:t xml:space="preserve">Como resultado de dicho proceso de selección, se adjudicó la Buena Pro a favor del señor </w:t>
      </w:r>
      <w:r>
        <w:rPr>
          <w:rFonts w:ascii="Tahoma" w:hAnsi="Tahoma" w:cs="Tahoma"/>
        </w:rPr>
        <w:t xml:space="preserve">Daniel </w:t>
      </w:r>
      <w:proofErr w:type="spellStart"/>
      <w:r>
        <w:rPr>
          <w:rFonts w:ascii="Tahoma" w:hAnsi="Tahoma" w:cs="Tahoma"/>
        </w:rPr>
        <w:t>Apolinario</w:t>
      </w:r>
      <w:proofErr w:type="spellEnd"/>
      <w:r>
        <w:rPr>
          <w:rFonts w:ascii="Tahoma" w:hAnsi="Tahoma" w:cs="Tahoma"/>
        </w:rPr>
        <w:t xml:space="preserve"> García Prado, en adelante el Postor.</w:t>
      </w:r>
    </w:p>
    <w:p w:rsidR="004C463C" w:rsidRPr="005D6962" w:rsidRDefault="004C463C" w:rsidP="004C463C">
      <w:pPr>
        <w:tabs>
          <w:tab w:val="left" w:pos="180"/>
          <w:tab w:val="num" w:pos="540"/>
        </w:tabs>
        <w:jc w:val="both"/>
        <w:rPr>
          <w:rFonts w:ascii="Tahoma" w:hAnsi="Tahoma" w:cs="Tahoma"/>
        </w:rPr>
      </w:pPr>
    </w:p>
    <w:p w:rsidR="004C463C" w:rsidRDefault="004C463C" w:rsidP="004C463C">
      <w:pPr>
        <w:numPr>
          <w:ilvl w:val="0"/>
          <w:numId w:val="1"/>
        </w:numPr>
        <w:tabs>
          <w:tab w:val="clear" w:pos="720"/>
          <w:tab w:val="left" w:pos="180"/>
          <w:tab w:val="num" w:pos="540"/>
        </w:tabs>
        <w:ind w:left="540" w:hanging="540"/>
        <w:jc w:val="both"/>
        <w:rPr>
          <w:rFonts w:ascii="Tahoma" w:hAnsi="Tahoma" w:cs="Tahoma"/>
        </w:rPr>
      </w:pPr>
      <w:r w:rsidRPr="005D6962">
        <w:rPr>
          <w:rFonts w:ascii="Tahoma" w:hAnsi="Tahoma" w:cs="Tahoma"/>
        </w:rPr>
        <w:t>Mediante Carta N</w:t>
      </w:r>
      <w:proofErr w:type="gramStart"/>
      <w:r w:rsidRPr="005D6962">
        <w:rPr>
          <w:rFonts w:ascii="Tahoma" w:hAnsi="Tahoma" w:cs="Tahoma"/>
        </w:rPr>
        <w:t>.º</w:t>
      </w:r>
      <w:proofErr w:type="gramEnd"/>
      <w:r w:rsidRPr="005D6962">
        <w:rPr>
          <w:rFonts w:ascii="Tahoma" w:hAnsi="Tahoma" w:cs="Tahoma"/>
        </w:rPr>
        <w:t xml:space="preserve"> 0</w:t>
      </w:r>
      <w:r>
        <w:rPr>
          <w:rFonts w:ascii="Tahoma" w:hAnsi="Tahoma" w:cs="Tahoma"/>
        </w:rPr>
        <w:t>19</w:t>
      </w:r>
      <w:r w:rsidRPr="005D6962">
        <w:rPr>
          <w:rFonts w:ascii="Tahoma" w:hAnsi="Tahoma" w:cs="Tahoma"/>
        </w:rPr>
        <w:t>-2007-INGEMMET/DAF/AL</w:t>
      </w:r>
      <w:r>
        <w:rPr>
          <w:rFonts w:ascii="Tahoma" w:hAnsi="Tahoma" w:cs="Tahoma"/>
        </w:rPr>
        <w:t xml:space="preserve">OG de fecha 06 </w:t>
      </w:r>
      <w:r w:rsidRPr="005D6962">
        <w:rPr>
          <w:rFonts w:ascii="Tahoma" w:hAnsi="Tahoma" w:cs="Tahoma"/>
        </w:rPr>
        <w:t xml:space="preserve">de marzo de 2007 y debidamente notificada el </w:t>
      </w:r>
      <w:r>
        <w:rPr>
          <w:rFonts w:ascii="Tahoma" w:hAnsi="Tahoma" w:cs="Tahoma"/>
        </w:rPr>
        <w:t>07</w:t>
      </w:r>
      <w:r w:rsidRPr="005D6962">
        <w:rPr>
          <w:rFonts w:ascii="Tahoma" w:hAnsi="Tahoma" w:cs="Tahoma"/>
        </w:rPr>
        <w:t xml:space="preserve"> de marzo de 2007, la Entidad comunicó al Postor el otorgamiento de la Bueno Pro  y lo citó para que se apersone a suscribir el contrato respectivo dentro del plazo señalado en el artículo 203 del Reglamento de la Ley de Contrataciones y Adquisiciones del Estado. Ante dicho requerimiento el postor no se presentó a la respectiva suscripción de contrato.</w:t>
      </w:r>
    </w:p>
    <w:p w:rsidR="004C463C" w:rsidRDefault="004C463C" w:rsidP="004C463C">
      <w:pPr>
        <w:tabs>
          <w:tab w:val="left" w:pos="180"/>
        </w:tabs>
        <w:jc w:val="both"/>
        <w:rPr>
          <w:rFonts w:ascii="Tahoma" w:hAnsi="Tahoma" w:cs="Tahoma"/>
        </w:rPr>
      </w:pPr>
    </w:p>
    <w:p w:rsidR="004C463C" w:rsidRDefault="004C463C" w:rsidP="004C463C">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El 12 de marzo de 2007 el Postor comunicó a la Entidad que no se apersonaría para la suscripción del contrato por motivos estrictamente personales.</w:t>
      </w:r>
    </w:p>
    <w:p w:rsidR="004C463C" w:rsidRPr="005D6962" w:rsidRDefault="004C463C" w:rsidP="004C463C">
      <w:pPr>
        <w:tabs>
          <w:tab w:val="left" w:pos="180"/>
        </w:tabs>
        <w:jc w:val="both"/>
        <w:rPr>
          <w:rFonts w:ascii="Tahoma" w:hAnsi="Tahoma" w:cs="Tahoma"/>
        </w:rPr>
      </w:pPr>
    </w:p>
    <w:p w:rsidR="004C463C" w:rsidRPr="005D6962" w:rsidRDefault="004C463C" w:rsidP="004C463C">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Con Oficio N</w:t>
      </w:r>
      <w:proofErr w:type="gramStart"/>
      <w:r>
        <w:rPr>
          <w:rFonts w:ascii="Tahoma" w:hAnsi="Tahoma" w:cs="Tahoma"/>
        </w:rPr>
        <w:t>.º</w:t>
      </w:r>
      <w:proofErr w:type="gramEnd"/>
      <w:r>
        <w:rPr>
          <w:rFonts w:ascii="Tahoma" w:hAnsi="Tahoma" w:cs="Tahoma"/>
        </w:rPr>
        <w:t xml:space="preserve"> 057-2007-INGEMMET-DE de fecha 02 de abril de 2007, </w:t>
      </w:r>
      <w:r w:rsidRPr="005D6962">
        <w:rPr>
          <w:rFonts w:ascii="Tahoma" w:hAnsi="Tahoma" w:cs="Tahoma"/>
        </w:rPr>
        <w:t>la Entidad solicitó al Tribunal disponer el inicio del procedimiento administrativo sancionador contra el Postor, por la comisión de la infracción tipificada en el numeral 1 del artículo 294</w:t>
      </w:r>
      <w:r w:rsidRPr="005D6962">
        <w:rPr>
          <w:rStyle w:val="Refdenotaalpie"/>
          <w:rFonts w:ascii="Tahoma" w:hAnsi="Tahoma" w:cs="Tahoma"/>
        </w:rPr>
        <w:footnoteReference w:id="2"/>
      </w:r>
      <w:r w:rsidRPr="005D6962">
        <w:rPr>
          <w:rFonts w:ascii="Tahoma" w:hAnsi="Tahoma" w:cs="Tahoma"/>
        </w:rPr>
        <w:t xml:space="preserve"> del Reglamento.</w:t>
      </w:r>
    </w:p>
    <w:p w:rsidR="004C463C" w:rsidRPr="005D6962" w:rsidRDefault="004C463C" w:rsidP="004C463C">
      <w:pPr>
        <w:tabs>
          <w:tab w:val="left" w:pos="180"/>
          <w:tab w:val="num" w:pos="540"/>
        </w:tabs>
        <w:jc w:val="both"/>
        <w:rPr>
          <w:rFonts w:ascii="Tahoma" w:hAnsi="Tahoma" w:cs="Tahoma"/>
          <w:b/>
        </w:rPr>
      </w:pPr>
    </w:p>
    <w:p w:rsidR="004C463C" w:rsidRDefault="004C463C" w:rsidP="004C463C">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En virtud a la denuncia presentada, mediante decreto de fecha 04</w:t>
      </w:r>
      <w:r w:rsidRPr="005D6962">
        <w:rPr>
          <w:rFonts w:ascii="Tahoma" w:hAnsi="Tahoma" w:cs="Tahoma"/>
          <w:bCs/>
        </w:rPr>
        <w:t xml:space="preserve"> de </w:t>
      </w:r>
      <w:r>
        <w:rPr>
          <w:rFonts w:ascii="Tahoma" w:hAnsi="Tahoma" w:cs="Tahoma"/>
          <w:bCs/>
        </w:rPr>
        <w:t>abril de 2007</w:t>
      </w:r>
      <w:r w:rsidRPr="005D6962">
        <w:rPr>
          <w:rFonts w:ascii="Tahoma" w:hAnsi="Tahoma" w:cs="Tahoma"/>
          <w:bCs/>
        </w:rPr>
        <w:t xml:space="preserve">, se dispuso iniciar procedimiento administrativo sancionador contra el Postor por supuesta responsabilidad en la no suscripción injustificada del contrato derivado de la </w:t>
      </w:r>
      <w:r w:rsidRPr="005D6962">
        <w:rPr>
          <w:rFonts w:ascii="Tahoma" w:hAnsi="Tahoma" w:cs="Tahoma"/>
        </w:rPr>
        <w:t xml:space="preserve">Adjudicación </w:t>
      </w:r>
      <w:r>
        <w:rPr>
          <w:rFonts w:ascii="Tahoma" w:hAnsi="Tahoma" w:cs="Tahoma"/>
        </w:rPr>
        <w:t>Directa Selectiva N</w:t>
      </w:r>
      <w:proofErr w:type="gramStart"/>
      <w:r>
        <w:rPr>
          <w:rFonts w:ascii="Tahoma" w:hAnsi="Tahoma" w:cs="Tahoma"/>
        </w:rPr>
        <w:t>.º</w:t>
      </w:r>
      <w:proofErr w:type="gramEnd"/>
      <w:r>
        <w:rPr>
          <w:rFonts w:ascii="Tahoma" w:hAnsi="Tahoma" w:cs="Tahoma"/>
        </w:rPr>
        <w:t xml:space="preserve"> 0004-2007-INGEMMET/CE – Primera Convocatoria</w:t>
      </w:r>
      <w:r w:rsidRPr="005D6962">
        <w:rPr>
          <w:rFonts w:ascii="Tahoma" w:hAnsi="Tahoma" w:cs="Tahoma"/>
        </w:rPr>
        <w:t>, otorgándole el plazo de diez días para que presente sus descargos, bajo responsabilidad de resolver con la documentación obrante en autos.</w:t>
      </w:r>
    </w:p>
    <w:p w:rsidR="004C463C" w:rsidRDefault="004C463C" w:rsidP="004C463C">
      <w:pPr>
        <w:tabs>
          <w:tab w:val="left" w:pos="180"/>
        </w:tabs>
        <w:jc w:val="both"/>
        <w:rPr>
          <w:rFonts w:ascii="Tahoma" w:hAnsi="Tahoma" w:cs="Tahoma"/>
        </w:rPr>
      </w:pPr>
    </w:p>
    <w:p w:rsidR="004C463C" w:rsidRPr="005D6962" w:rsidRDefault="004C463C" w:rsidP="004C463C">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Mediante escritos de fechas 25 de mayo y 26 de julio de 2007, el Postor cumplió con presentar sus descargos señalando que lo motivos para renunciar al otorgamiento de la buena pro se debieron a causas estrictamente personales.</w:t>
      </w:r>
    </w:p>
    <w:p w:rsidR="004C463C" w:rsidRPr="005D6962" w:rsidRDefault="004C463C" w:rsidP="004C463C">
      <w:pPr>
        <w:tabs>
          <w:tab w:val="left" w:pos="180"/>
          <w:tab w:val="num" w:pos="540"/>
        </w:tabs>
        <w:jc w:val="both"/>
        <w:rPr>
          <w:rFonts w:ascii="Tahoma" w:hAnsi="Tahoma" w:cs="Tahoma"/>
        </w:rPr>
      </w:pPr>
    </w:p>
    <w:p w:rsidR="004C463C" w:rsidRPr="005D6962" w:rsidRDefault="004C463C" w:rsidP="004C463C">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Habiendo cumplido el Postor en presentar sus descargos dentro del plazo  otorgado, c</w:t>
      </w:r>
      <w:r w:rsidRPr="005D6962">
        <w:rPr>
          <w:rFonts w:ascii="Tahoma" w:hAnsi="Tahoma" w:cs="Tahoma"/>
        </w:rPr>
        <w:t xml:space="preserve">on Decreto de fecha </w:t>
      </w:r>
      <w:r>
        <w:rPr>
          <w:rFonts w:ascii="Tahoma" w:hAnsi="Tahoma" w:cs="Tahoma"/>
        </w:rPr>
        <w:t>27</w:t>
      </w:r>
      <w:r w:rsidRPr="005D6962">
        <w:rPr>
          <w:rFonts w:ascii="Tahoma" w:hAnsi="Tahoma" w:cs="Tahoma"/>
        </w:rPr>
        <w:t xml:space="preserve"> de ju</w:t>
      </w:r>
      <w:r>
        <w:rPr>
          <w:rFonts w:ascii="Tahoma" w:hAnsi="Tahoma" w:cs="Tahoma"/>
        </w:rPr>
        <w:t>l</w:t>
      </w:r>
      <w:r w:rsidRPr="005D6962">
        <w:rPr>
          <w:rFonts w:ascii="Tahoma" w:hAnsi="Tahoma" w:cs="Tahoma"/>
        </w:rPr>
        <w:t xml:space="preserve">io de 2007, se dispuso remitir el expediente a la Tercera Sala del Tribunal, constituida mediante Resolución N.º 177-2007-CONSUCODE/PRE de fecha 06.04.2007 y </w:t>
      </w:r>
      <w:proofErr w:type="spellStart"/>
      <w:r w:rsidRPr="005D6962">
        <w:rPr>
          <w:rFonts w:ascii="Tahoma" w:hAnsi="Tahoma" w:cs="Tahoma"/>
        </w:rPr>
        <w:t>reconformada</w:t>
      </w:r>
      <w:proofErr w:type="spellEnd"/>
      <w:r w:rsidRPr="005D6962">
        <w:rPr>
          <w:rFonts w:ascii="Tahoma" w:hAnsi="Tahoma" w:cs="Tahoma"/>
        </w:rPr>
        <w:t xml:space="preserve"> por Resolución N.º 279-2007-CONSUCODE/PRE de fecha 21.05.2007, para que resuelva.</w:t>
      </w:r>
    </w:p>
    <w:p w:rsidR="004C463C" w:rsidRDefault="004C463C" w:rsidP="004C463C">
      <w:pPr>
        <w:pStyle w:val="NormalWeb"/>
        <w:tabs>
          <w:tab w:val="num" w:pos="900"/>
        </w:tabs>
        <w:spacing w:before="0" w:beforeAutospacing="0" w:after="0" w:afterAutospacing="0"/>
        <w:ind w:left="360"/>
        <w:jc w:val="both"/>
        <w:rPr>
          <w:rFonts w:ascii="Tahoma" w:hAnsi="Tahoma" w:cs="Tahoma"/>
          <w:sz w:val="20"/>
          <w:szCs w:val="20"/>
        </w:rPr>
      </w:pPr>
    </w:p>
    <w:p w:rsidR="004C463C" w:rsidRPr="00F107B5" w:rsidRDefault="004C463C" w:rsidP="004C463C">
      <w:pPr>
        <w:pStyle w:val="NormalWeb"/>
        <w:tabs>
          <w:tab w:val="num" w:pos="900"/>
        </w:tabs>
        <w:spacing w:before="0" w:beforeAutospacing="0" w:after="0" w:afterAutospacing="0"/>
        <w:ind w:left="360"/>
        <w:jc w:val="both"/>
        <w:rPr>
          <w:rFonts w:ascii="Tahoma" w:hAnsi="Tahoma" w:cs="Tahoma"/>
          <w:sz w:val="20"/>
          <w:szCs w:val="20"/>
        </w:rPr>
      </w:pPr>
    </w:p>
    <w:p w:rsidR="004C463C" w:rsidRDefault="004C463C" w:rsidP="004C463C">
      <w:pPr>
        <w:jc w:val="both"/>
        <w:rPr>
          <w:rFonts w:ascii="Tahoma" w:hAnsi="Tahoma" w:cs="Tahoma"/>
          <w:b/>
          <w:shadow/>
        </w:rPr>
      </w:pPr>
      <w:r w:rsidRPr="00F107B5">
        <w:rPr>
          <w:rFonts w:ascii="Tahoma" w:hAnsi="Tahoma" w:cs="Tahoma"/>
          <w:b/>
          <w:shadow/>
        </w:rPr>
        <w:t>FUNDAMENTACIÓN:</w:t>
      </w:r>
    </w:p>
    <w:p w:rsidR="004C463C" w:rsidRDefault="004C463C" w:rsidP="004C463C">
      <w:pPr>
        <w:jc w:val="both"/>
        <w:rPr>
          <w:rFonts w:ascii="Tahoma" w:hAnsi="Tahoma" w:cs="Tahoma"/>
          <w:b/>
          <w:shadow/>
        </w:rPr>
      </w:pPr>
    </w:p>
    <w:p w:rsidR="004C463C" w:rsidRPr="00F107B5" w:rsidRDefault="004C463C" w:rsidP="004C463C">
      <w:pPr>
        <w:jc w:val="both"/>
        <w:rPr>
          <w:rFonts w:ascii="Tahoma" w:hAnsi="Tahoma" w:cs="Tahoma"/>
          <w:b/>
          <w:shadow/>
        </w:rPr>
      </w:pPr>
    </w:p>
    <w:p w:rsidR="004C463C" w:rsidRPr="005D6962" w:rsidRDefault="004C463C" w:rsidP="004C463C">
      <w:pPr>
        <w:pStyle w:val="Textoindependiente2"/>
        <w:tabs>
          <w:tab w:val="num" w:pos="540"/>
          <w:tab w:val="num" w:pos="2520"/>
        </w:tabs>
        <w:spacing w:after="0" w:line="240" w:lineRule="auto"/>
        <w:ind w:left="540" w:hanging="540"/>
        <w:jc w:val="both"/>
        <w:rPr>
          <w:rFonts w:ascii="Tahoma" w:hAnsi="Tahoma" w:cs="Tahoma"/>
        </w:rPr>
      </w:pPr>
      <w:r w:rsidRPr="00207D78">
        <w:rPr>
          <w:rFonts w:ascii="Tahoma" w:hAnsi="Tahoma" w:cs="Tahoma"/>
          <w:b/>
        </w:rPr>
        <w:t>1</w:t>
      </w:r>
      <w:r>
        <w:rPr>
          <w:rFonts w:ascii="Tahoma" w:hAnsi="Tahoma" w:cs="Tahoma"/>
        </w:rPr>
        <w:t>.</w:t>
      </w:r>
      <w:r>
        <w:rPr>
          <w:rFonts w:ascii="Tahoma" w:hAnsi="Tahoma" w:cs="Tahoma"/>
        </w:rPr>
        <w:tab/>
      </w:r>
      <w:r w:rsidRPr="005D6962">
        <w:rPr>
          <w:rFonts w:ascii="Tahoma" w:hAnsi="Tahoma" w:cs="Tahoma"/>
        </w:rPr>
        <w:t xml:space="preserve">El presente procedimiento administrativo sancionador ha sido iniciado en contra del Postor Adjudicatario por su supuesta responsabilidad en la no suscripción injustificada del contrato derivado de la Adjudicación </w:t>
      </w:r>
      <w:r>
        <w:rPr>
          <w:rFonts w:ascii="Tahoma" w:hAnsi="Tahoma" w:cs="Tahoma"/>
        </w:rPr>
        <w:t>Directa Selectiva N</w:t>
      </w:r>
      <w:proofErr w:type="gramStart"/>
      <w:r>
        <w:rPr>
          <w:rFonts w:ascii="Tahoma" w:hAnsi="Tahoma" w:cs="Tahoma"/>
        </w:rPr>
        <w:t>.º</w:t>
      </w:r>
      <w:proofErr w:type="gramEnd"/>
      <w:r>
        <w:rPr>
          <w:rFonts w:ascii="Tahoma" w:hAnsi="Tahoma" w:cs="Tahoma"/>
        </w:rPr>
        <w:t xml:space="preserve"> 0004-2007-INGEMMET/CE – Primera Convocatoria</w:t>
      </w:r>
      <w:r w:rsidRPr="005D6962">
        <w:rPr>
          <w:rFonts w:ascii="Tahoma" w:hAnsi="Tahoma" w:cs="Tahoma"/>
        </w:rPr>
        <w:t xml:space="preserve">, infracción que se encuentra tipificada en el numeral 1 del artículo 294 del Reglamento, norma legal aplicable por encontrarse vigente al momento de ocurrir los hechos.  </w:t>
      </w:r>
    </w:p>
    <w:p w:rsidR="004C463C" w:rsidRPr="005D6962" w:rsidRDefault="004C463C" w:rsidP="004C463C">
      <w:pPr>
        <w:pStyle w:val="Textoindependiente"/>
        <w:tabs>
          <w:tab w:val="num" w:pos="567"/>
          <w:tab w:val="left" w:pos="2410"/>
        </w:tabs>
        <w:ind w:left="540" w:hanging="540"/>
        <w:rPr>
          <w:rFonts w:cs="Tahoma"/>
          <w:sz w:val="20"/>
        </w:rPr>
      </w:pPr>
      <w:r w:rsidRPr="005D6962">
        <w:rPr>
          <w:rFonts w:cs="Tahoma"/>
          <w:sz w:val="20"/>
          <w:lang w:val="es-PE"/>
        </w:rPr>
        <w:t xml:space="preserve"> </w:t>
      </w:r>
    </w:p>
    <w:p w:rsidR="004C463C" w:rsidRDefault="004C463C" w:rsidP="004C463C">
      <w:pPr>
        <w:numPr>
          <w:ilvl w:val="0"/>
          <w:numId w:val="2"/>
        </w:numPr>
        <w:tabs>
          <w:tab w:val="clear" w:pos="720"/>
          <w:tab w:val="num" w:pos="540"/>
        </w:tabs>
        <w:ind w:left="540" w:hanging="540"/>
        <w:jc w:val="both"/>
        <w:rPr>
          <w:rFonts w:ascii="Tahoma" w:hAnsi="Tahoma" w:cs="Tahoma"/>
        </w:rPr>
      </w:pPr>
      <w:r w:rsidRPr="005D6962">
        <w:rPr>
          <w:rFonts w:ascii="Tahoma" w:hAnsi="Tahoma" w:cs="Tahoma"/>
        </w:rPr>
        <w:t>El numeral 1 del artículo 294 del Reglamento establece que serán sancionados aquellos contratistas que no suscriban injustificadamente el contrato.</w:t>
      </w:r>
    </w:p>
    <w:p w:rsidR="004C463C" w:rsidRDefault="004C463C" w:rsidP="004C463C">
      <w:pPr>
        <w:jc w:val="both"/>
        <w:rPr>
          <w:rFonts w:ascii="Tahoma" w:hAnsi="Tahoma" w:cs="Tahoma"/>
        </w:rPr>
      </w:pPr>
    </w:p>
    <w:p w:rsidR="004C463C" w:rsidRPr="00680187" w:rsidRDefault="004C463C" w:rsidP="004C463C">
      <w:pPr>
        <w:numPr>
          <w:ilvl w:val="0"/>
          <w:numId w:val="2"/>
        </w:numPr>
        <w:tabs>
          <w:tab w:val="clear" w:pos="720"/>
          <w:tab w:val="num" w:pos="540"/>
        </w:tabs>
        <w:ind w:left="540" w:hanging="540"/>
        <w:jc w:val="both"/>
        <w:rPr>
          <w:rFonts w:ascii="Tahoma" w:hAnsi="Tahoma" w:cs="Tahoma"/>
        </w:rPr>
      </w:pPr>
      <w:r w:rsidRPr="005D6962">
        <w:rPr>
          <w:rFonts w:ascii="Tahoma" w:hAnsi="Tahoma" w:cs="Tahoma"/>
          <w:lang w:val="es-ES_tradnl"/>
        </w:rPr>
        <w:t>En ese sentido, corresponde determinar de manera previa, si la Entidad ha seguido el debido procedimiento para suscribir el contrato. En tal sentido, cabe señalar que el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 El artículo 203 del Reglamento es imperativo al otorgar dicho plazo, el cual deber ser respetado por las Entidades, más aún, tratándose de un plazo que ha sido otorgado en beneficio de los administrados.</w:t>
      </w:r>
    </w:p>
    <w:p w:rsidR="004C463C" w:rsidRDefault="004C463C" w:rsidP="004C463C">
      <w:pPr>
        <w:jc w:val="both"/>
        <w:rPr>
          <w:rFonts w:ascii="Tahoma" w:hAnsi="Tahoma" w:cs="Tahoma"/>
        </w:rPr>
      </w:pPr>
    </w:p>
    <w:p w:rsidR="004C463C" w:rsidRPr="005D6962" w:rsidRDefault="004C463C" w:rsidP="004C463C">
      <w:pPr>
        <w:tabs>
          <w:tab w:val="left" w:pos="540"/>
        </w:tabs>
        <w:ind w:left="540" w:hanging="540"/>
        <w:jc w:val="both"/>
        <w:rPr>
          <w:rFonts w:ascii="Tahoma" w:hAnsi="Tahoma" w:cs="Tahoma"/>
          <w:lang w:val="es-ES_tradnl"/>
        </w:rPr>
      </w:pPr>
      <w:r w:rsidRPr="005D6962">
        <w:rPr>
          <w:rFonts w:ascii="Tahoma" w:hAnsi="Tahoma" w:cs="Tahoma"/>
          <w:lang w:val="es-ES_tradnl"/>
        </w:rPr>
        <w:t xml:space="preserve">       </w:t>
      </w:r>
      <w:r>
        <w:rPr>
          <w:rFonts w:ascii="Tahoma" w:hAnsi="Tahoma" w:cs="Tahoma"/>
          <w:lang w:val="es-ES_tradnl"/>
        </w:rPr>
        <w:t xml:space="preserve"> </w:t>
      </w:r>
      <w:r w:rsidRPr="005D6962">
        <w:rPr>
          <w:rFonts w:ascii="Tahoma" w:hAnsi="Tahoma" w:cs="Tahoma"/>
          <w:lang w:val="es-ES_tradnl"/>
        </w:rPr>
        <w:t xml:space="preserve"> En virtud a ello, de manera previa al análisis de la responsabilidad d</w:t>
      </w:r>
      <w:r>
        <w:rPr>
          <w:rFonts w:ascii="Tahoma" w:hAnsi="Tahoma" w:cs="Tahoma"/>
          <w:lang w:val="es-ES_tradnl"/>
        </w:rPr>
        <w:t xml:space="preserve">el  Postor, es obligación de la </w:t>
      </w:r>
      <w:r w:rsidRPr="005D6962">
        <w:rPr>
          <w:rFonts w:ascii="Tahoma" w:hAnsi="Tahoma" w:cs="Tahoma"/>
          <w:lang w:val="es-ES_tradnl"/>
        </w:rPr>
        <w:t>Entidad acreditar documentalmente haber cumplido estrictamente lo señalado en el párrafo anterior, es decir, haber otorgado al Postor el plazo indicado. En el presente caso, la Entidad señaló que mediante</w:t>
      </w:r>
      <w:r w:rsidRPr="005D6962">
        <w:rPr>
          <w:rFonts w:ascii="Tahoma" w:hAnsi="Tahoma" w:cs="Tahoma"/>
        </w:rPr>
        <w:t xml:space="preserve"> </w:t>
      </w:r>
      <w:r>
        <w:rPr>
          <w:rFonts w:ascii="Tahoma" w:hAnsi="Tahoma" w:cs="Tahoma"/>
        </w:rPr>
        <w:t>Oficio N</w:t>
      </w:r>
      <w:proofErr w:type="gramStart"/>
      <w:r>
        <w:rPr>
          <w:rFonts w:ascii="Tahoma" w:hAnsi="Tahoma" w:cs="Tahoma"/>
        </w:rPr>
        <w:t>.º</w:t>
      </w:r>
      <w:proofErr w:type="gramEnd"/>
      <w:r>
        <w:rPr>
          <w:rFonts w:ascii="Tahoma" w:hAnsi="Tahoma" w:cs="Tahoma"/>
        </w:rPr>
        <w:t xml:space="preserve"> 057-2007-INGEMMET-DE de fecha 02 de abril de 2007</w:t>
      </w:r>
      <w:r w:rsidRPr="005D6962">
        <w:rPr>
          <w:rFonts w:ascii="Tahoma" w:hAnsi="Tahoma" w:cs="Tahoma"/>
          <w:lang w:val="es-ES_tradnl"/>
        </w:rPr>
        <w:t xml:space="preserve"> comunicó al Postor el consentimiento de la Buena pro y la respectiva citación para la firma del contrato, el cual a pesar de dicha comunicación debidamente diligenciada, no se apersonó para la realización del respectivo acto.</w:t>
      </w:r>
    </w:p>
    <w:p w:rsidR="004C463C" w:rsidRDefault="004C463C" w:rsidP="004C463C">
      <w:pPr>
        <w:jc w:val="both"/>
        <w:rPr>
          <w:rFonts w:ascii="Tahoma" w:hAnsi="Tahoma" w:cs="Tahoma"/>
        </w:rPr>
      </w:pPr>
    </w:p>
    <w:p w:rsidR="004C463C" w:rsidRDefault="004C463C" w:rsidP="004C463C">
      <w:pPr>
        <w:numPr>
          <w:ilvl w:val="0"/>
          <w:numId w:val="2"/>
        </w:numPr>
        <w:tabs>
          <w:tab w:val="clear" w:pos="720"/>
          <w:tab w:val="num" w:pos="540"/>
        </w:tabs>
        <w:ind w:left="540" w:hanging="540"/>
        <w:jc w:val="both"/>
        <w:rPr>
          <w:rFonts w:ascii="Tahoma" w:hAnsi="Tahoma" w:cs="Tahoma"/>
        </w:rPr>
      </w:pPr>
      <w:r w:rsidRPr="00680187">
        <w:rPr>
          <w:rFonts w:ascii="Tahoma" w:hAnsi="Tahoma" w:cs="Tahoma"/>
        </w:rPr>
        <w:t xml:space="preserve">En razón a lo expuesto, este colegiado ha verificado de la documentación obrante en autos y de la información obtenida mediante la  Plataforma del Sistema Electrónico de Contrataciones y Adquisiciones del Estado (SEACE), que el otorgamiento de la Buena Pro se realizó el 02 de marzo de 2007, y el consentimiento del mismo acto se </w:t>
      </w:r>
      <w:r w:rsidRPr="00680187">
        <w:rPr>
          <w:rFonts w:ascii="Tahoma" w:hAnsi="Tahoma" w:cs="Tahoma"/>
          <w:b/>
          <w:i/>
        </w:rPr>
        <w:t xml:space="preserve">registró el  06 de marzo de 2007, razón por la cual, la Entidad procedió a citar al Postor para la suscripción del contrato el 07 de marzo </w:t>
      </w:r>
      <w:r w:rsidRPr="00680187">
        <w:rPr>
          <w:rFonts w:ascii="Tahoma" w:hAnsi="Tahoma" w:cs="Tahoma"/>
          <w:b/>
          <w:i/>
        </w:rPr>
        <w:lastRenderedPageBreak/>
        <w:t>de 2007</w:t>
      </w:r>
      <w:r w:rsidRPr="00680187">
        <w:rPr>
          <w:rFonts w:ascii="Tahoma" w:hAnsi="Tahoma" w:cs="Tahoma"/>
        </w:rPr>
        <w:t>. Sin embargo, dicho accionar se realizó sin el cumplimiento estricto a las normas de contrataciones y adquisiciones del Estado, puesto que, el artículo 137º del Reglamento, norma vigente al momento de la convocatoria del proceso de selección</w:t>
      </w:r>
      <w:r w:rsidRPr="00680187">
        <w:rPr>
          <w:rStyle w:val="Refdenotaalpie"/>
          <w:rFonts w:ascii="Tahoma" w:hAnsi="Tahoma" w:cs="Tahoma"/>
        </w:rPr>
        <w:footnoteReference w:id="3"/>
      </w:r>
      <w:r w:rsidRPr="00680187">
        <w:rPr>
          <w:rFonts w:ascii="Tahoma" w:hAnsi="Tahoma" w:cs="Tahoma"/>
        </w:rPr>
        <w:t xml:space="preserve">, establecía que cuando se hayan presentando dos o más propuestas, el consentimiento de la buena pro se producirá a los cinco (05) días hábiles de su notificación, sin que los postores hayan ejercido el derecho de interponer el recurso de apelación. </w:t>
      </w:r>
    </w:p>
    <w:p w:rsidR="004C463C" w:rsidRDefault="004C463C" w:rsidP="004C463C">
      <w:pPr>
        <w:jc w:val="both"/>
        <w:rPr>
          <w:rFonts w:ascii="Tahoma" w:hAnsi="Tahoma" w:cs="Tahoma"/>
        </w:rPr>
      </w:pPr>
    </w:p>
    <w:p w:rsidR="004C463C" w:rsidRDefault="004C463C" w:rsidP="004C463C">
      <w:pPr>
        <w:pStyle w:val="Textoindependiente"/>
        <w:widowControl/>
        <w:suppressAutoHyphens w:val="0"/>
        <w:ind w:left="540"/>
        <w:rPr>
          <w:rFonts w:cs="Tahoma"/>
          <w:sz w:val="20"/>
        </w:rPr>
      </w:pPr>
      <w:r>
        <w:rPr>
          <w:rFonts w:cs="Tahoma"/>
          <w:sz w:val="20"/>
        </w:rPr>
        <w:t xml:space="preserve">De esta conducta se puede advertir </w:t>
      </w:r>
      <w:r w:rsidRPr="0009101E">
        <w:rPr>
          <w:rFonts w:cs="Tahoma"/>
          <w:sz w:val="20"/>
        </w:rPr>
        <w:t xml:space="preserve">que entre la fecha del otorgamiento de la </w:t>
      </w:r>
      <w:r>
        <w:rPr>
          <w:rFonts w:cs="Tahoma"/>
          <w:sz w:val="20"/>
        </w:rPr>
        <w:t>buena pro (02</w:t>
      </w:r>
      <w:r w:rsidRPr="0009101E">
        <w:rPr>
          <w:rFonts w:cs="Tahoma"/>
          <w:sz w:val="20"/>
        </w:rPr>
        <w:t xml:space="preserve"> de</w:t>
      </w:r>
      <w:r>
        <w:rPr>
          <w:rFonts w:cs="Tahoma"/>
          <w:sz w:val="20"/>
        </w:rPr>
        <w:t xml:space="preserve"> marzo</w:t>
      </w:r>
      <w:r w:rsidRPr="0009101E">
        <w:rPr>
          <w:rFonts w:cs="Tahoma"/>
          <w:sz w:val="20"/>
        </w:rPr>
        <w:t xml:space="preserve">) y la fecha de la </w:t>
      </w:r>
      <w:r>
        <w:rPr>
          <w:rFonts w:cs="Tahoma"/>
          <w:sz w:val="20"/>
        </w:rPr>
        <w:t>citación para la firma del contrato (07</w:t>
      </w:r>
      <w:r w:rsidRPr="0009101E">
        <w:rPr>
          <w:rFonts w:cs="Tahoma"/>
          <w:sz w:val="20"/>
        </w:rPr>
        <w:t xml:space="preserve"> de</w:t>
      </w:r>
      <w:r>
        <w:rPr>
          <w:rFonts w:cs="Tahoma"/>
          <w:sz w:val="20"/>
        </w:rPr>
        <w:t xml:space="preserve"> marzo</w:t>
      </w:r>
      <w:r w:rsidRPr="0009101E">
        <w:rPr>
          <w:rFonts w:cs="Tahoma"/>
          <w:sz w:val="20"/>
        </w:rPr>
        <w:t>) hubo sólo</w:t>
      </w:r>
      <w:r>
        <w:rPr>
          <w:rFonts w:cs="Tahoma"/>
          <w:sz w:val="20"/>
        </w:rPr>
        <w:t xml:space="preserve"> tres</w:t>
      </w:r>
      <w:r w:rsidRPr="0009101E">
        <w:rPr>
          <w:rFonts w:cs="Tahoma"/>
          <w:sz w:val="20"/>
        </w:rPr>
        <w:t xml:space="preserve"> día</w:t>
      </w:r>
      <w:r>
        <w:rPr>
          <w:rFonts w:cs="Tahoma"/>
          <w:sz w:val="20"/>
        </w:rPr>
        <w:t>s</w:t>
      </w:r>
      <w:r w:rsidRPr="0009101E">
        <w:rPr>
          <w:rFonts w:cs="Tahoma"/>
          <w:sz w:val="20"/>
        </w:rPr>
        <w:t xml:space="preserve"> hábil</w:t>
      </w:r>
      <w:r>
        <w:rPr>
          <w:rFonts w:cs="Tahoma"/>
          <w:sz w:val="20"/>
        </w:rPr>
        <w:t>es, siendo el plazo correcto de cinco días descrito en la norma hasta el 09 de marzo de 2007</w:t>
      </w:r>
      <w:r w:rsidRPr="0009101E">
        <w:rPr>
          <w:rFonts w:cs="Tahoma"/>
          <w:sz w:val="20"/>
        </w:rPr>
        <w:t xml:space="preserve">. En consecuencia, podemos afirmar que la Entidad </w:t>
      </w:r>
      <w:r>
        <w:rPr>
          <w:rFonts w:cs="Tahoma"/>
          <w:sz w:val="20"/>
        </w:rPr>
        <w:t>realizó el acto de citación para la respectiva vinculación contractual,</w:t>
      </w:r>
      <w:r w:rsidRPr="0009101E">
        <w:rPr>
          <w:rFonts w:cs="Tahoma"/>
          <w:sz w:val="20"/>
        </w:rPr>
        <w:t xml:space="preserve"> antes que quedara consentido el otorgamiento de la buena pro, desconociendo lo establecido en la norma antes </w:t>
      </w:r>
      <w:r>
        <w:rPr>
          <w:rFonts w:cs="Tahoma"/>
          <w:sz w:val="20"/>
        </w:rPr>
        <w:t>referida</w:t>
      </w:r>
      <w:r w:rsidRPr="0009101E">
        <w:rPr>
          <w:rFonts w:cs="Tahoma"/>
          <w:sz w:val="20"/>
        </w:rPr>
        <w:t xml:space="preserve">. </w:t>
      </w:r>
    </w:p>
    <w:p w:rsidR="004C463C" w:rsidRPr="00680187" w:rsidRDefault="004C463C" w:rsidP="004C463C">
      <w:pPr>
        <w:ind w:left="540"/>
        <w:jc w:val="both"/>
        <w:rPr>
          <w:rFonts w:ascii="Tahoma" w:hAnsi="Tahoma" w:cs="Tahoma"/>
          <w:lang w:val="es-ES_tradnl"/>
        </w:rPr>
      </w:pPr>
    </w:p>
    <w:p w:rsidR="004C463C" w:rsidRPr="00680187" w:rsidRDefault="004C463C" w:rsidP="004C463C">
      <w:pPr>
        <w:numPr>
          <w:ilvl w:val="0"/>
          <w:numId w:val="2"/>
        </w:numPr>
        <w:tabs>
          <w:tab w:val="clear" w:pos="720"/>
          <w:tab w:val="num" w:pos="540"/>
        </w:tabs>
        <w:ind w:left="540" w:hanging="540"/>
        <w:jc w:val="both"/>
        <w:rPr>
          <w:rFonts w:ascii="Tahoma" w:hAnsi="Tahoma" w:cs="Tahoma"/>
        </w:rPr>
      </w:pPr>
      <w:r w:rsidRPr="00680187">
        <w:rPr>
          <w:rFonts w:ascii="Tahoma" w:hAnsi="Tahoma" w:cs="Tahoma"/>
        </w:rPr>
        <w:t>En ese orden de ideas, atendiendo a que el procedimiento administrativo sancionador se rige por el  “principio de tipicidad “, el cual señala que solo constituye conducta sancionable administrativamente las infracciones previstas expresamente en las normas con rango de Ley mediante su tipificación como tales, sin admitir interpretación extensiva o analogía, en el presente caso no corresponde aplicar sanción al Postor máxime si las Entidades Estatales son las primeras llamadas a garantizar y dar cumplimiento a las normas contenidas en la Ley de Contrataciones y Adquisiciones del Estado, sus reglamentos y demás normas conexas, debiendo adecuar su actuación a lo indicado en ellos, habiendo verificado éste Colegiado que la Entidad no cumplió con los plazos establecidos para la suscripción del contrato, a pesar de estar expresamente señalado en la normativa de contrataciones, consecuentemente no se ha configurado la causal invocada como sancionable.</w:t>
      </w:r>
    </w:p>
    <w:p w:rsidR="004C463C" w:rsidRDefault="004C463C" w:rsidP="004C463C">
      <w:pPr>
        <w:ind w:left="900" w:hanging="720"/>
        <w:jc w:val="both"/>
        <w:rPr>
          <w:rFonts w:ascii="Tahoma" w:hAnsi="Tahoma" w:cs="Tahoma"/>
        </w:rPr>
      </w:pPr>
    </w:p>
    <w:p w:rsidR="004C463C" w:rsidRPr="00F107B5" w:rsidRDefault="004C463C" w:rsidP="004C463C">
      <w:pPr>
        <w:ind w:left="900" w:hanging="720"/>
        <w:jc w:val="both"/>
        <w:rPr>
          <w:rFonts w:ascii="Tahoma" w:hAnsi="Tahoma" w:cs="Tahoma"/>
        </w:rPr>
      </w:pPr>
    </w:p>
    <w:p w:rsidR="004C463C" w:rsidRPr="00F107B5" w:rsidRDefault="004C463C" w:rsidP="004C463C">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4C463C" w:rsidRDefault="004C463C" w:rsidP="004C463C">
      <w:pPr>
        <w:tabs>
          <w:tab w:val="num" w:pos="360"/>
        </w:tabs>
        <w:ind w:left="-180" w:firstLine="180"/>
        <w:jc w:val="both"/>
        <w:rPr>
          <w:rFonts w:ascii="Tahoma" w:hAnsi="Tahoma" w:cs="Tahoma"/>
          <w:b/>
          <w:shadow/>
        </w:rPr>
      </w:pPr>
    </w:p>
    <w:p w:rsidR="004C463C" w:rsidRPr="00F107B5" w:rsidRDefault="004C463C" w:rsidP="004C463C">
      <w:pPr>
        <w:tabs>
          <w:tab w:val="num" w:pos="360"/>
        </w:tabs>
        <w:ind w:left="-180" w:firstLine="180"/>
        <w:jc w:val="both"/>
        <w:rPr>
          <w:rFonts w:ascii="Tahoma" w:hAnsi="Tahoma" w:cs="Tahoma"/>
          <w:b/>
          <w:shadow/>
        </w:rPr>
      </w:pPr>
    </w:p>
    <w:p w:rsidR="004C463C" w:rsidRPr="00F107B5" w:rsidRDefault="004C463C" w:rsidP="004C463C">
      <w:pPr>
        <w:tabs>
          <w:tab w:val="num" w:pos="360"/>
        </w:tabs>
        <w:ind w:left="-180" w:firstLine="180"/>
        <w:jc w:val="both"/>
        <w:rPr>
          <w:rFonts w:ascii="Tahoma" w:hAnsi="Tahoma" w:cs="Tahoma"/>
          <w:b/>
          <w:shadow/>
        </w:rPr>
      </w:pPr>
      <w:r w:rsidRPr="00F107B5">
        <w:rPr>
          <w:rFonts w:ascii="Tahoma" w:hAnsi="Tahoma" w:cs="Tahoma"/>
          <w:b/>
          <w:shadow/>
        </w:rPr>
        <w:t>LA SALA RESUELVE:</w:t>
      </w:r>
    </w:p>
    <w:p w:rsidR="004C463C" w:rsidRDefault="004C463C" w:rsidP="004C463C">
      <w:pPr>
        <w:jc w:val="both"/>
        <w:rPr>
          <w:rFonts w:ascii="Tahoma" w:hAnsi="Tahoma" w:cs="Tahoma"/>
        </w:rPr>
      </w:pPr>
    </w:p>
    <w:p w:rsidR="004C463C" w:rsidRPr="005D6962" w:rsidRDefault="004C463C" w:rsidP="004C463C">
      <w:pPr>
        <w:jc w:val="both"/>
        <w:rPr>
          <w:rFonts w:ascii="Tahoma" w:hAnsi="Tahoma" w:cs="Tahoma"/>
        </w:rPr>
      </w:pPr>
    </w:p>
    <w:p w:rsidR="004C463C" w:rsidRDefault="004C463C" w:rsidP="004C463C">
      <w:pPr>
        <w:numPr>
          <w:ilvl w:val="0"/>
          <w:numId w:val="3"/>
        </w:numPr>
        <w:ind w:hanging="720"/>
        <w:jc w:val="both"/>
        <w:rPr>
          <w:rFonts w:ascii="Tahoma" w:hAnsi="Tahoma" w:cs="Tahoma"/>
        </w:rPr>
      </w:pPr>
      <w:r>
        <w:rPr>
          <w:rFonts w:ascii="Tahoma" w:hAnsi="Tahoma" w:cs="Tahoma"/>
        </w:rPr>
        <w:t xml:space="preserve">Declarar </w:t>
      </w:r>
      <w:r w:rsidRPr="00BF5CC8">
        <w:rPr>
          <w:rFonts w:ascii="Tahoma" w:hAnsi="Tahoma" w:cs="Tahoma"/>
          <w:b/>
        </w:rPr>
        <w:t xml:space="preserve">No ha lugar </w:t>
      </w:r>
      <w:r w:rsidRPr="0009101E">
        <w:rPr>
          <w:rFonts w:ascii="Tahoma" w:hAnsi="Tahoma" w:cs="Tahoma"/>
        </w:rPr>
        <w:t xml:space="preserve">a la imposición de sanción a la </w:t>
      </w:r>
      <w:r w:rsidRPr="00BF5CC8">
        <w:rPr>
          <w:rFonts w:ascii="Tahoma" w:hAnsi="Tahoma" w:cs="Tahoma"/>
          <w:b/>
        </w:rPr>
        <w:t xml:space="preserve">señor Daniel </w:t>
      </w:r>
      <w:proofErr w:type="spellStart"/>
      <w:r w:rsidRPr="00BF5CC8">
        <w:rPr>
          <w:rFonts w:ascii="Tahoma" w:hAnsi="Tahoma" w:cs="Tahoma"/>
          <w:b/>
        </w:rPr>
        <w:t>Apolinario</w:t>
      </w:r>
      <w:proofErr w:type="spellEnd"/>
      <w:r w:rsidRPr="00BF5CC8">
        <w:rPr>
          <w:rFonts w:ascii="Tahoma" w:hAnsi="Tahoma" w:cs="Tahoma"/>
          <w:b/>
        </w:rPr>
        <w:t xml:space="preserve"> García Prado</w:t>
      </w:r>
      <w:r w:rsidRPr="0009101E">
        <w:rPr>
          <w:rFonts w:ascii="Tahoma" w:hAnsi="Tahoma" w:cs="Tahoma"/>
        </w:rPr>
        <w:t xml:space="preserve"> por los fundamentos expuestos.</w:t>
      </w:r>
    </w:p>
    <w:p w:rsidR="004C463C" w:rsidRDefault="004C463C" w:rsidP="004C463C">
      <w:pPr>
        <w:jc w:val="both"/>
        <w:rPr>
          <w:rFonts w:ascii="Tahoma" w:hAnsi="Tahoma" w:cs="Tahoma"/>
        </w:rPr>
      </w:pPr>
    </w:p>
    <w:p w:rsidR="004C463C" w:rsidRPr="0009101E" w:rsidRDefault="004C463C" w:rsidP="004C463C">
      <w:pPr>
        <w:numPr>
          <w:ilvl w:val="0"/>
          <w:numId w:val="3"/>
        </w:numPr>
        <w:ind w:hanging="720"/>
        <w:jc w:val="both"/>
        <w:rPr>
          <w:rFonts w:ascii="Tahoma" w:hAnsi="Tahoma" w:cs="Tahoma"/>
        </w:rPr>
      </w:pPr>
      <w:r>
        <w:rPr>
          <w:rFonts w:ascii="Tahoma" w:hAnsi="Tahoma" w:cs="Tahoma"/>
        </w:rPr>
        <w:t>Comunicar los hechos expuestos al Órgano de Control Institucional a fin que adopte las acciones que estime convenientes en función de las responsabilidades que se puedan determinar.</w:t>
      </w:r>
    </w:p>
    <w:p w:rsidR="004C463C" w:rsidRDefault="004C463C" w:rsidP="004C463C">
      <w:pPr>
        <w:pStyle w:val="BodyText2"/>
        <w:rPr>
          <w:rFonts w:cs="Tahoma"/>
          <w:sz w:val="20"/>
        </w:rPr>
      </w:pPr>
    </w:p>
    <w:p w:rsidR="004C463C" w:rsidRDefault="004C463C" w:rsidP="004C463C">
      <w:pPr>
        <w:pStyle w:val="BodyText2"/>
        <w:rPr>
          <w:rFonts w:cs="Tahoma"/>
          <w:sz w:val="20"/>
        </w:rPr>
      </w:pPr>
    </w:p>
    <w:p w:rsidR="004C463C" w:rsidRPr="00F107B5" w:rsidRDefault="004C463C" w:rsidP="004C463C">
      <w:pPr>
        <w:pStyle w:val="BodyText2"/>
        <w:ind w:firstLine="360"/>
        <w:rPr>
          <w:rFonts w:cs="Tahoma"/>
          <w:sz w:val="20"/>
        </w:rPr>
      </w:pPr>
      <w:r w:rsidRPr="00F107B5">
        <w:rPr>
          <w:rFonts w:cs="Tahoma"/>
          <w:sz w:val="20"/>
        </w:rPr>
        <w:lastRenderedPageBreak/>
        <w:t>Regístrese, comuníquese y publíquese.</w:t>
      </w:r>
    </w:p>
    <w:p w:rsidR="004C463C" w:rsidRPr="00F107B5" w:rsidRDefault="004C463C" w:rsidP="004C463C">
      <w:pPr>
        <w:jc w:val="center"/>
        <w:rPr>
          <w:rFonts w:ascii="Tahoma" w:hAnsi="Tahoma" w:cs="Tahoma"/>
          <w:b/>
          <w:lang w:val="es-ES_tradnl"/>
        </w:rPr>
      </w:pPr>
    </w:p>
    <w:p w:rsidR="004C463C" w:rsidRPr="00F107B5" w:rsidRDefault="004C463C" w:rsidP="004C463C">
      <w:pPr>
        <w:jc w:val="center"/>
        <w:rPr>
          <w:rFonts w:ascii="Tahoma" w:hAnsi="Tahoma" w:cs="Tahoma"/>
          <w:b/>
          <w:lang w:val="es-ES_tradnl"/>
        </w:rPr>
      </w:pPr>
    </w:p>
    <w:p w:rsidR="004C463C" w:rsidRDefault="004C463C" w:rsidP="004C463C">
      <w:pPr>
        <w:jc w:val="center"/>
        <w:rPr>
          <w:rFonts w:ascii="Tahoma" w:hAnsi="Tahoma" w:cs="Tahoma"/>
          <w:b/>
        </w:rPr>
      </w:pPr>
    </w:p>
    <w:p w:rsidR="004C463C" w:rsidRDefault="004C463C" w:rsidP="004C463C">
      <w:pPr>
        <w:jc w:val="center"/>
        <w:rPr>
          <w:rFonts w:ascii="Tahoma" w:hAnsi="Tahoma" w:cs="Tahoma"/>
          <w:b/>
        </w:rPr>
      </w:pPr>
    </w:p>
    <w:p w:rsidR="004C463C" w:rsidRDefault="004C463C" w:rsidP="004C463C">
      <w:pPr>
        <w:jc w:val="center"/>
        <w:rPr>
          <w:rFonts w:ascii="Tahoma" w:hAnsi="Tahoma" w:cs="Tahoma"/>
          <w:b/>
        </w:rPr>
      </w:pPr>
    </w:p>
    <w:p w:rsidR="004C463C" w:rsidRDefault="004C463C" w:rsidP="004C463C">
      <w:pPr>
        <w:jc w:val="center"/>
        <w:rPr>
          <w:rFonts w:ascii="Tahoma" w:hAnsi="Tahoma" w:cs="Tahoma"/>
          <w:b/>
        </w:rPr>
      </w:pPr>
    </w:p>
    <w:p w:rsidR="004C463C" w:rsidRDefault="004C463C" w:rsidP="004C463C">
      <w:pPr>
        <w:jc w:val="center"/>
        <w:rPr>
          <w:rFonts w:ascii="Tahoma" w:hAnsi="Tahoma" w:cs="Tahoma"/>
          <w:b/>
        </w:rPr>
      </w:pPr>
    </w:p>
    <w:p w:rsidR="004C463C" w:rsidRPr="00F107B5" w:rsidRDefault="004C463C" w:rsidP="004C463C">
      <w:pPr>
        <w:jc w:val="center"/>
        <w:rPr>
          <w:rFonts w:ascii="Tahoma" w:hAnsi="Tahoma" w:cs="Tahoma"/>
          <w:b/>
        </w:rPr>
      </w:pPr>
    </w:p>
    <w:p w:rsidR="004C463C" w:rsidRPr="00F107B5" w:rsidRDefault="004C463C" w:rsidP="004C463C">
      <w:pPr>
        <w:jc w:val="center"/>
        <w:rPr>
          <w:rFonts w:ascii="Tahoma" w:hAnsi="Tahoma" w:cs="Tahoma"/>
          <w:b/>
        </w:rPr>
      </w:pPr>
    </w:p>
    <w:p w:rsidR="004C463C" w:rsidRPr="00F107B5" w:rsidRDefault="004C463C" w:rsidP="004C463C">
      <w:pPr>
        <w:jc w:val="center"/>
        <w:rPr>
          <w:rFonts w:ascii="Tahoma" w:hAnsi="Tahoma" w:cs="Tahoma"/>
          <w:b/>
          <w:shadow/>
          <w:lang w:val="pt-BR"/>
        </w:rPr>
      </w:pPr>
      <w:r w:rsidRPr="00F107B5">
        <w:rPr>
          <w:rFonts w:ascii="Tahoma" w:hAnsi="Tahoma" w:cs="Tahoma"/>
          <w:b/>
          <w:shadow/>
          <w:lang w:val="pt-BR"/>
        </w:rPr>
        <w:t>PRESIDENTE</w:t>
      </w:r>
    </w:p>
    <w:p w:rsidR="004C463C" w:rsidRPr="00F107B5" w:rsidRDefault="004C463C" w:rsidP="004C463C">
      <w:pPr>
        <w:jc w:val="center"/>
        <w:rPr>
          <w:rFonts w:ascii="Tahoma" w:hAnsi="Tahoma" w:cs="Tahoma"/>
          <w:b/>
          <w:shadow/>
          <w:lang w:val="pt-BR"/>
        </w:rPr>
      </w:pPr>
    </w:p>
    <w:p w:rsidR="004C463C" w:rsidRPr="00F107B5" w:rsidRDefault="004C463C" w:rsidP="004C463C">
      <w:pPr>
        <w:jc w:val="center"/>
        <w:rPr>
          <w:rFonts w:ascii="Tahoma" w:hAnsi="Tahoma" w:cs="Tahoma"/>
          <w:b/>
          <w:shadow/>
          <w:lang w:val="pt-BR"/>
        </w:rPr>
      </w:pPr>
    </w:p>
    <w:p w:rsidR="004C463C" w:rsidRPr="00F107B5" w:rsidRDefault="004C463C" w:rsidP="004C463C">
      <w:pPr>
        <w:jc w:val="center"/>
        <w:rPr>
          <w:rFonts w:ascii="Tahoma" w:hAnsi="Tahoma" w:cs="Tahoma"/>
          <w:b/>
          <w:shadow/>
          <w:lang w:val="pt-BR"/>
        </w:rPr>
      </w:pPr>
    </w:p>
    <w:p w:rsidR="004C463C" w:rsidRPr="00F107B5" w:rsidRDefault="004C463C" w:rsidP="004C463C">
      <w:pPr>
        <w:jc w:val="center"/>
        <w:rPr>
          <w:rFonts w:ascii="Tahoma" w:hAnsi="Tahoma" w:cs="Tahoma"/>
          <w:b/>
          <w:shadow/>
          <w:lang w:val="pt-BR"/>
        </w:rPr>
      </w:pPr>
    </w:p>
    <w:p w:rsidR="004C463C" w:rsidRPr="00F107B5" w:rsidRDefault="004C463C" w:rsidP="004C463C">
      <w:pPr>
        <w:jc w:val="center"/>
        <w:rPr>
          <w:rFonts w:ascii="Tahoma" w:hAnsi="Tahoma" w:cs="Tahoma"/>
          <w:b/>
          <w:shadow/>
          <w:lang w:val="pt-BR"/>
        </w:rPr>
      </w:pPr>
    </w:p>
    <w:p w:rsidR="004C463C" w:rsidRPr="00F107B5" w:rsidRDefault="004C463C" w:rsidP="004C463C">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w:t>
      </w:r>
      <w:r>
        <w:rPr>
          <w:rFonts w:ascii="Tahoma" w:hAnsi="Tahoma" w:cs="Tahoma"/>
          <w:b/>
          <w:shadow/>
          <w:lang w:val="pt-BR"/>
        </w:rPr>
        <w:t xml:space="preserve">       </w:t>
      </w:r>
      <w:r w:rsidRPr="00F107B5">
        <w:rPr>
          <w:rFonts w:ascii="Tahoma" w:hAnsi="Tahoma" w:cs="Tahoma"/>
          <w:b/>
          <w:shadow/>
          <w:lang w:val="pt-BR"/>
        </w:rPr>
        <w:t xml:space="preserve">            VOCAL</w:t>
      </w:r>
    </w:p>
    <w:p w:rsidR="004C463C" w:rsidRPr="00F107B5"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Default="004C463C" w:rsidP="004C463C">
      <w:pPr>
        <w:ind w:firstLine="708"/>
        <w:rPr>
          <w:rFonts w:ascii="Tahoma" w:hAnsi="Tahoma" w:cs="Tahoma"/>
          <w:b/>
          <w:shadow/>
          <w:lang w:val="pt-BR"/>
        </w:rPr>
      </w:pPr>
    </w:p>
    <w:p w:rsidR="004C463C" w:rsidRDefault="004C463C" w:rsidP="004C463C">
      <w:pPr>
        <w:ind w:firstLine="708"/>
        <w:rPr>
          <w:rFonts w:ascii="Tahoma" w:hAnsi="Tahoma" w:cs="Tahoma"/>
          <w:b/>
          <w:shadow/>
          <w:lang w:val="pt-BR"/>
        </w:rPr>
      </w:pPr>
    </w:p>
    <w:p w:rsidR="004C463C" w:rsidRDefault="004C463C" w:rsidP="004C463C">
      <w:pPr>
        <w:ind w:firstLine="708"/>
        <w:rPr>
          <w:rFonts w:ascii="Tahoma" w:hAnsi="Tahoma" w:cs="Tahoma"/>
          <w:b/>
          <w:shadow/>
          <w:lang w:val="pt-BR"/>
        </w:rPr>
      </w:pPr>
    </w:p>
    <w:p w:rsidR="004C463C" w:rsidRDefault="004C463C" w:rsidP="004C463C">
      <w:pPr>
        <w:ind w:firstLine="708"/>
        <w:rPr>
          <w:rFonts w:ascii="Tahoma" w:hAnsi="Tahoma" w:cs="Tahoma"/>
          <w:b/>
          <w:shadow/>
          <w:lang w:val="pt-BR"/>
        </w:rPr>
      </w:pPr>
    </w:p>
    <w:p w:rsidR="004C463C"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Pr="00F107B5" w:rsidRDefault="004C463C" w:rsidP="004C463C">
      <w:pPr>
        <w:ind w:firstLine="708"/>
        <w:rPr>
          <w:rFonts w:ascii="Tahoma" w:hAnsi="Tahoma" w:cs="Tahoma"/>
          <w:b/>
          <w:shadow/>
          <w:lang w:val="pt-BR"/>
        </w:rPr>
      </w:pPr>
    </w:p>
    <w:p w:rsidR="004C463C" w:rsidRPr="00E54A4A" w:rsidRDefault="004C463C" w:rsidP="004C463C">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4C463C" w:rsidRPr="00E54A4A" w:rsidRDefault="004C463C" w:rsidP="004C463C">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4C463C" w:rsidRPr="00E54A4A" w:rsidRDefault="004C463C" w:rsidP="004C463C">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4C463C" w:rsidRPr="00E54A4A" w:rsidRDefault="004C463C" w:rsidP="004C463C">
      <w:pPr>
        <w:pStyle w:val="BodyText2"/>
        <w:tabs>
          <w:tab w:val="left" w:pos="7740"/>
        </w:tabs>
        <w:rPr>
          <w:rFonts w:cs="Tahoma"/>
          <w:sz w:val="18"/>
          <w:szCs w:val="18"/>
        </w:rPr>
      </w:pPr>
      <w:r w:rsidRPr="00E54A4A">
        <w:rPr>
          <w:rFonts w:cs="Tahoma"/>
          <w:sz w:val="18"/>
          <w:szCs w:val="18"/>
        </w:rPr>
        <w:t>Navas Rondón.</w:t>
      </w:r>
    </w:p>
    <w:p w:rsidR="004C463C" w:rsidRDefault="004C463C" w:rsidP="004C463C"/>
    <w:p w:rsidR="004C463C" w:rsidRDefault="004C463C" w:rsidP="004C463C"/>
    <w:p w:rsidR="004C463C" w:rsidRDefault="004C463C" w:rsidP="004C463C"/>
    <w:p w:rsidR="004C463C" w:rsidRDefault="004C463C" w:rsidP="004C463C"/>
    <w:p w:rsidR="00DD5730" w:rsidRDefault="004C463C"/>
    <w:sectPr w:rsidR="00DD5730" w:rsidSect="00D5007D">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63C" w:rsidRDefault="004C463C" w:rsidP="004C463C">
      <w:r>
        <w:separator/>
      </w:r>
    </w:p>
  </w:endnote>
  <w:endnote w:type="continuationSeparator" w:id="1">
    <w:p w:rsidR="004C463C" w:rsidRDefault="004C463C" w:rsidP="004C463C">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A" w:rsidRDefault="004C463C" w:rsidP="00D5007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D64BA" w:rsidRDefault="004C463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A" w:rsidRPr="00864C03" w:rsidRDefault="004C463C">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4</w:t>
    </w:r>
    <w:r w:rsidRPr="00864C03">
      <w:rPr>
        <w:rStyle w:val="Nmerodepgina"/>
        <w:i/>
        <w:sz w:val="20"/>
      </w:rPr>
      <w:fldChar w:fldCharType="end"/>
    </w:r>
  </w:p>
  <w:p w:rsidR="00AD64BA" w:rsidRDefault="004C463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63C" w:rsidRDefault="004C463C" w:rsidP="004C463C">
      <w:r>
        <w:separator/>
      </w:r>
    </w:p>
  </w:footnote>
  <w:footnote w:type="continuationSeparator" w:id="1">
    <w:p w:rsidR="004C463C" w:rsidRDefault="004C463C" w:rsidP="004C463C">
      <w:r>
        <w:continuationSeparator/>
      </w:r>
    </w:p>
  </w:footnote>
  <w:footnote w:id="2">
    <w:p w:rsidR="004C463C" w:rsidRDefault="004C463C" w:rsidP="004C463C">
      <w:pPr>
        <w:pStyle w:val="Textonotapie"/>
        <w:jc w:val="both"/>
        <w:rPr>
          <w:rFonts w:ascii="Tahoma" w:hAnsi="Tahoma" w:cs="Tahoma"/>
          <w:sz w:val="16"/>
          <w:szCs w:val="16"/>
        </w:rPr>
      </w:pPr>
      <w:r>
        <w:rPr>
          <w:rStyle w:val="Refdenotaalpie"/>
        </w:rPr>
        <w:footnoteRef/>
      </w:r>
      <w:r>
        <w:rPr>
          <w:rFonts w:ascii="Tahoma" w:hAnsi="Tahoma" w:cs="Tahoma"/>
          <w:b/>
          <w:sz w:val="16"/>
          <w:szCs w:val="16"/>
        </w:rPr>
        <w:t>Artículo 294.- Causales de aplicación de sanción a los proveedores, participantes postores y contratistas.-</w:t>
      </w:r>
      <w:r>
        <w:rPr>
          <w:rFonts w:ascii="Tahoma" w:hAnsi="Tahoma" w:cs="Tahoma"/>
          <w:sz w:val="16"/>
          <w:szCs w:val="16"/>
        </w:rPr>
        <w:t xml:space="preserve"> El Tribunal impondrá sanción administrativa de suspensión o inhabilitación temporal o definitiva a los proveedores, participantes postores y/o contratistas que:</w:t>
      </w:r>
    </w:p>
    <w:p w:rsidR="004C463C" w:rsidRDefault="004C463C" w:rsidP="004C463C">
      <w:pPr>
        <w:pStyle w:val="Textonotapie"/>
        <w:jc w:val="both"/>
        <w:rPr>
          <w:rFonts w:ascii="Tahoma" w:hAnsi="Tahoma" w:cs="Tahoma"/>
          <w:sz w:val="16"/>
          <w:szCs w:val="16"/>
        </w:rPr>
      </w:pPr>
      <w:r>
        <w:rPr>
          <w:rFonts w:ascii="Tahoma" w:hAnsi="Tahoma" w:cs="Tahoma"/>
          <w:sz w:val="16"/>
          <w:szCs w:val="16"/>
        </w:rPr>
        <w:t>(…)  1) No mantenga su oferta hasta el otorgamiento de la Buena Pro y de resultar ganadores, hasta la suscripción del contrato; no suscriban injustificadamente la orden de compra  o de servicio emitida a su favor</w:t>
      </w:r>
      <w:proofErr w:type="gramStart"/>
      <w:r>
        <w:rPr>
          <w:rFonts w:ascii="Tahoma" w:hAnsi="Tahoma" w:cs="Tahoma"/>
          <w:sz w:val="16"/>
          <w:szCs w:val="16"/>
        </w:rPr>
        <w:t>.(</w:t>
      </w:r>
      <w:proofErr w:type="gramEnd"/>
      <w:r>
        <w:rPr>
          <w:rFonts w:ascii="Tahoma" w:hAnsi="Tahoma" w:cs="Tahoma"/>
          <w:sz w:val="16"/>
          <w:szCs w:val="16"/>
        </w:rPr>
        <w:t>…)”.</w:t>
      </w:r>
    </w:p>
    <w:p w:rsidR="004C463C" w:rsidRDefault="004C463C" w:rsidP="004C463C">
      <w:pPr>
        <w:pStyle w:val="Textonotapie"/>
        <w:rPr>
          <w:rFonts w:ascii="Tahoma" w:hAnsi="Tahoma" w:cs="Tahoma"/>
          <w:szCs w:val="16"/>
        </w:rPr>
      </w:pPr>
    </w:p>
    <w:p w:rsidR="004C463C" w:rsidRDefault="004C463C" w:rsidP="004C463C">
      <w:pPr>
        <w:pStyle w:val="Textonotapie"/>
      </w:pPr>
    </w:p>
  </w:footnote>
  <w:footnote w:id="3">
    <w:p w:rsidR="004C463C" w:rsidRPr="00652807" w:rsidRDefault="004C463C" w:rsidP="004C463C">
      <w:pPr>
        <w:pStyle w:val="Textonotapie"/>
        <w:ind w:left="360" w:hanging="360"/>
        <w:jc w:val="both"/>
        <w:rPr>
          <w:rFonts w:ascii="Tahoma" w:hAnsi="Tahoma" w:cs="Tahoma"/>
          <w:sz w:val="16"/>
          <w:szCs w:val="16"/>
        </w:rPr>
      </w:pPr>
      <w:r w:rsidRPr="000075CC">
        <w:rPr>
          <w:rStyle w:val="Refdenotaalpie"/>
          <w:rFonts w:ascii="Bookman Old Style" w:hAnsi="Bookman Old Style"/>
          <w:sz w:val="18"/>
          <w:szCs w:val="18"/>
        </w:rPr>
        <w:footnoteRef/>
      </w:r>
      <w:r w:rsidRPr="000075CC">
        <w:rPr>
          <w:rFonts w:ascii="Bookman Old Style" w:hAnsi="Bookman Old Style"/>
          <w:sz w:val="18"/>
          <w:szCs w:val="18"/>
        </w:rPr>
        <w:t xml:space="preserve"> </w:t>
      </w:r>
      <w:r>
        <w:rPr>
          <w:rFonts w:ascii="Bookman Old Style" w:hAnsi="Bookman Old Style"/>
          <w:sz w:val="18"/>
          <w:szCs w:val="18"/>
        </w:rPr>
        <w:tab/>
      </w:r>
      <w:r w:rsidRPr="00652807">
        <w:rPr>
          <w:rFonts w:ascii="Tahoma" w:hAnsi="Tahoma" w:cs="Tahoma"/>
          <w:sz w:val="16"/>
          <w:szCs w:val="16"/>
        </w:rPr>
        <w:t>El artículo 137º fue modificado por el artículo 2º del Decreto Supremo N</w:t>
      </w:r>
      <w:proofErr w:type="gramStart"/>
      <w:r w:rsidRPr="00652807">
        <w:rPr>
          <w:rFonts w:ascii="Tahoma" w:hAnsi="Tahoma" w:cs="Tahoma"/>
          <w:sz w:val="16"/>
          <w:szCs w:val="16"/>
        </w:rPr>
        <w:t>.º</w:t>
      </w:r>
      <w:proofErr w:type="gramEnd"/>
      <w:r w:rsidRPr="00652807">
        <w:rPr>
          <w:rFonts w:ascii="Tahoma" w:hAnsi="Tahoma" w:cs="Tahoma"/>
          <w:sz w:val="16"/>
          <w:szCs w:val="16"/>
        </w:rPr>
        <w:t xml:space="preserve"> 028-2007-EF publicado el 03 de marzo de 2007 en el Diario Oficial El Peruano.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4A7E7E0A"/>
    <w:multiLevelType w:val="hybridMultilevel"/>
    <w:tmpl w:val="62CEF9BC"/>
    <w:lvl w:ilvl="0" w:tplc="4AD425DA">
      <w:start w:val="2"/>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BA81EEC"/>
    <w:multiLevelType w:val="hybridMultilevel"/>
    <w:tmpl w:val="99028EDA"/>
    <w:lvl w:ilvl="0" w:tplc="E62A7EF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4C463C"/>
    <w:rsid w:val="004C463C"/>
    <w:rsid w:val="005F15D1"/>
    <w:rsid w:val="00896EE1"/>
    <w:rsid w:val="00C453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63C"/>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4C463C"/>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4C463C"/>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4C463C"/>
  </w:style>
  <w:style w:type="paragraph" w:styleId="Textoindependiente">
    <w:name w:val="Body Text"/>
    <w:basedOn w:val="Normal"/>
    <w:link w:val="TextoindependienteCar"/>
    <w:rsid w:val="004C463C"/>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4C463C"/>
    <w:rPr>
      <w:rFonts w:ascii="Tahoma" w:eastAsia="Times New Roman" w:hAnsi="Tahoma" w:cs="Times New Roman"/>
      <w:szCs w:val="20"/>
      <w:lang w:val="es-ES_tradnl" w:eastAsia="es-ES"/>
    </w:rPr>
  </w:style>
  <w:style w:type="paragraph" w:customStyle="1" w:styleId="BodyText2">
    <w:name w:val="Body Text 2"/>
    <w:basedOn w:val="Normal"/>
    <w:rsid w:val="004C463C"/>
    <w:pPr>
      <w:jc w:val="both"/>
    </w:pPr>
    <w:rPr>
      <w:rFonts w:ascii="Tahoma" w:hAnsi="Tahoma"/>
      <w:sz w:val="22"/>
    </w:rPr>
  </w:style>
  <w:style w:type="paragraph" w:styleId="Textoindependiente3">
    <w:name w:val="Body Text 3"/>
    <w:basedOn w:val="Normal"/>
    <w:link w:val="Textoindependiente3Car"/>
    <w:rsid w:val="004C463C"/>
    <w:pPr>
      <w:spacing w:after="120"/>
    </w:pPr>
    <w:rPr>
      <w:sz w:val="16"/>
      <w:szCs w:val="16"/>
      <w:lang w:val="es-PE"/>
    </w:rPr>
  </w:style>
  <w:style w:type="character" w:customStyle="1" w:styleId="Textoindependiente3Car">
    <w:name w:val="Texto independiente 3 Car"/>
    <w:basedOn w:val="Fuentedeprrafopredeter"/>
    <w:link w:val="Textoindependiente3"/>
    <w:rsid w:val="004C463C"/>
    <w:rPr>
      <w:rFonts w:ascii="Times New Roman" w:eastAsia="Times New Roman" w:hAnsi="Times New Roman" w:cs="Times New Roman"/>
      <w:sz w:val="16"/>
      <w:szCs w:val="16"/>
      <w:lang w:val="es-PE" w:eastAsia="es-ES"/>
    </w:rPr>
  </w:style>
  <w:style w:type="paragraph" w:styleId="NormalWeb">
    <w:name w:val="Normal (Web)"/>
    <w:basedOn w:val="Normal"/>
    <w:rsid w:val="004C463C"/>
    <w:pPr>
      <w:spacing w:before="100" w:beforeAutospacing="1" w:after="100" w:afterAutospacing="1"/>
    </w:pPr>
    <w:rPr>
      <w:sz w:val="24"/>
      <w:szCs w:val="24"/>
    </w:rPr>
  </w:style>
  <w:style w:type="paragraph" w:styleId="Textonotapie">
    <w:name w:val="footnote text"/>
    <w:basedOn w:val="Normal"/>
    <w:link w:val="TextonotapieCar"/>
    <w:semiHidden/>
    <w:rsid w:val="004C463C"/>
  </w:style>
  <w:style w:type="character" w:customStyle="1" w:styleId="TextonotapieCar">
    <w:name w:val="Texto nota pie Car"/>
    <w:basedOn w:val="Fuentedeprrafopredeter"/>
    <w:link w:val="Textonotapie"/>
    <w:semiHidden/>
    <w:rsid w:val="004C463C"/>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4C463C"/>
    <w:rPr>
      <w:vertAlign w:val="superscript"/>
    </w:rPr>
  </w:style>
  <w:style w:type="paragraph" w:styleId="Textoindependiente2">
    <w:name w:val="Body Text 2"/>
    <w:basedOn w:val="Normal"/>
    <w:link w:val="Textoindependiente2Car"/>
    <w:rsid w:val="004C463C"/>
    <w:pPr>
      <w:spacing w:after="120" w:line="480" w:lineRule="auto"/>
    </w:pPr>
    <w:rPr>
      <w:lang w:val="es-PE"/>
    </w:rPr>
  </w:style>
  <w:style w:type="character" w:customStyle="1" w:styleId="Textoindependiente2Car">
    <w:name w:val="Texto independiente 2 Car"/>
    <w:basedOn w:val="Fuentedeprrafopredeter"/>
    <w:link w:val="Textoindependiente2"/>
    <w:rsid w:val="004C463C"/>
    <w:rPr>
      <w:rFonts w:ascii="Times New Roman" w:eastAsia="Times New Roman" w:hAnsi="Times New Roman" w:cs="Times New Roman"/>
      <w:sz w:val="20"/>
      <w:szCs w:val="20"/>
      <w:lang w:val="es-PE"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1424</Words>
  <Characters>7836</Characters>
  <Application>Microsoft Office Word</Application>
  <DocSecurity>0</DocSecurity>
  <Lines>65</Lines>
  <Paragraphs>18</Paragraphs>
  <ScaleCrop>false</ScaleCrop>
  <Company/>
  <LinksUpToDate>false</LinksUpToDate>
  <CharactersWithSpaces>9242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1985-2007</dc:title>
  <dc:subject>APLICACIÓN DE SANCION CONTRA EL SEÑOR DANIEL APOLINARIO GARCIA</dc:subject>
  <dc:creator>TRIBUNAL</dc:creator>
  <cp:keywords>NO SUSCRIBIR CONTRATO</cp:keywords>
  <dc:description/>
  <cp:lastModifiedBy>jcabrera</cp:lastModifiedBy>
  <cp:revision>1</cp:revision>
  <dcterms:created xsi:type="dcterms:W3CDTF">2007-12-13T20:12:00Z</dcterms:created>
  <dcterms:modified xsi:type="dcterms:W3CDTF">2007-12-13T20:15:00Z</dcterms:modified>
  <cp:category>RESOLUCION - TRIBUNAL</cp:category>
</cp:coreProperties>
</file>