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689D" w:rsidRDefault="00AC689D" w:rsidP="00AC689D">
      <w:pPr>
        <w:tabs>
          <w:tab w:val="left" w:pos="2520"/>
          <w:tab w:val="left" w:pos="2880"/>
          <w:tab w:val="left" w:pos="6840"/>
        </w:tabs>
        <w:ind w:left="2520" w:right="2060" w:hanging="900"/>
        <w:jc w:val="both"/>
        <w:rPr>
          <w:rFonts w:ascii="Tahoma" w:hAnsi="Tahoma" w:cs="Tahoma"/>
          <w:b/>
          <w:i/>
        </w:rPr>
      </w:pPr>
      <w:r>
        <w:rPr>
          <w:rFonts w:ascii="Tahoma" w:hAnsi="Tahoma" w:cs="Tahoma"/>
          <w:b/>
          <w:i/>
        </w:rPr>
        <w:t xml:space="preserve">                 RESOLUCIÓN N</w:t>
      </w:r>
      <w:proofErr w:type="gramStart"/>
      <w:r>
        <w:rPr>
          <w:rFonts w:ascii="Tahoma" w:hAnsi="Tahoma" w:cs="Tahoma"/>
          <w:b/>
          <w:i/>
        </w:rPr>
        <w:t>.º</w:t>
      </w:r>
      <w:proofErr w:type="gramEnd"/>
      <w:r>
        <w:rPr>
          <w:rFonts w:ascii="Tahoma" w:hAnsi="Tahoma" w:cs="Tahoma"/>
          <w:b/>
          <w:i/>
        </w:rPr>
        <w:t xml:space="preserve"> 1965-2007/TC-S3</w:t>
      </w:r>
    </w:p>
    <w:p w:rsidR="00AC689D" w:rsidRDefault="00AC689D" w:rsidP="00AC689D">
      <w:pPr>
        <w:tabs>
          <w:tab w:val="left" w:pos="2520"/>
          <w:tab w:val="left" w:pos="2880"/>
          <w:tab w:val="left" w:pos="6840"/>
        </w:tabs>
        <w:ind w:left="2520" w:right="2060" w:hanging="900"/>
        <w:jc w:val="both"/>
        <w:rPr>
          <w:rFonts w:ascii="Tahoma" w:hAnsi="Tahoma" w:cs="Tahoma"/>
          <w:b/>
          <w:i/>
        </w:rPr>
      </w:pPr>
    </w:p>
    <w:p w:rsidR="00AC689D" w:rsidRPr="00B50A71" w:rsidRDefault="00AC689D" w:rsidP="00AC689D">
      <w:pPr>
        <w:tabs>
          <w:tab w:val="left" w:pos="2520"/>
          <w:tab w:val="left" w:pos="2880"/>
          <w:tab w:val="left" w:pos="6840"/>
        </w:tabs>
        <w:ind w:left="2520" w:right="2060" w:hanging="900"/>
        <w:jc w:val="both"/>
        <w:rPr>
          <w:rFonts w:ascii="Tahoma" w:hAnsi="Tahoma" w:cs="Tahoma"/>
          <w:i/>
          <w:lang w:val="es-ES_tradnl"/>
        </w:rPr>
      </w:pPr>
      <w:r w:rsidRPr="00F107B5">
        <w:rPr>
          <w:rFonts w:ascii="Tahoma" w:hAnsi="Tahoma" w:cs="Tahoma"/>
          <w:b/>
          <w:i/>
        </w:rPr>
        <w:t>Sumilla</w:t>
      </w:r>
      <w:r w:rsidRPr="001C2AE2">
        <w:rPr>
          <w:rFonts w:ascii="Tahoma" w:hAnsi="Tahoma" w:cs="Tahoma"/>
          <w:b/>
          <w:i/>
        </w:rPr>
        <w:t>:</w:t>
      </w:r>
      <w:r>
        <w:rPr>
          <w:rFonts w:ascii="Tahoma" w:hAnsi="Tahoma" w:cs="Tahoma"/>
          <w:b/>
          <w:i/>
        </w:rPr>
        <w:t xml:space="preserve"> </w:t>
      </w:r>
      <w:r w:rsidRPr="00B50A71">
        <w:rPr>
          <w:rFonts w:ascii="Tahoma" w:hAnsi="Tahoma" w:cs="Tahoma"/>
          <w:i/>
          <w:lang w:val="es-MX"/>
        </w:rPr>
        <w:t xml:space="preserve">Para </w:t>
      </w:r>
      <w:r w:rsidRPr="00B50A71">
        <w:rPr>
          <w:rFonts w:ascii="Tahoma" w:hAnsi="Tahoma" w:cs="Tahoma"/>
          <w:i/>
        </w:rPr>
        <w:t>la configuración de los supuestos de hecho de la norma que contiene la infracción imputada se requiere acreditar la falsedad o inexactitud del documento cuestionado; es decir, que éste no haya sido expedido por el órgano emisor correspondiente, que siendo válidamente expedido haya sido adulterado en su contenido, o que éste sea incongruente con la realidad, produciendo un falseamiento de ésta, a través del quebrantamiento de los Principios de Moralidad y de Presunción de Veracidad.</w:t>
      </w:r>
    </w:p>
    <w:p w:rsidR="00AC689D" w:rsidRDefault="00AC689D" w:rsidP="00AC689D">
      <w:pPr>
        <w:tabs>
          <w:tab w:val="left" w:pos="2700"/>
          <w:tab w:val="left" w:pos="2880"/>
          <w:tab w:val="left" w:pos="6840"/>
        </w:tabs>
        <w:ind w:left="2700" w:right="2060" w:hanging="1080"/>
        <w:jc w:val="both"/>
        <w:rPr>
          <w:rFonts w:ascii="Tahoma" w:hAnsi="Tahoma" w:cs="Tahoma"/>
          <w:i/>
          <w:lang w:val="es-ES_tradnl"/>
        </w:rPr>
      </w:pPr>
    </w:p>
    <w:p w:rsidR="00AC689D" w:rsidRPr="00584C07" w:rsidRDefault="00AC689D" w:rsidP="00AC689D">
      <w:pPr>
        <w:tabs>
          <w:tab w:val="left" w:pos="2700"/>
          <w:tab w:val="left" w:pos="2880"/>
          <w:tab w:val="left" w:pos="6840"/>
        </w:tabs>
        <w:ind w:left="2700" w:right="2060" w:hanging="1080"/>
        <w:jc w:val="both"/>
        <w:rPr>
          <w:rFonts w:ascii="Tahoma" w:hAnsi="Tahoma" w:cs="Tahoma"/>
          <w:i/>
          <w:lang w:val="es-ES_tradnl"/>
        </w:rPr>
      </w:pPr>
    </w:p>
    <w:p w:rsidR="00AC689D" w:rsidRDefault="00AC689D" w:rsidP="00AC689D">
      <w:pPr>
        <w:pStyle w:val="Textoindependiente3"/>
        <w:ind w:left="4956" w:firstLine="84"/>
        <w:rPr>
          <w:rFonts w:ascii="Tahoma" w:hAnsi="Tahoma" w:cs="Tahoma"/>
          <w:b/>
          <w:sz w:val="20"/>
          <w:szCs w:val="20"/>
        </w:rPr>
      </w:pPr>
      <w:r w:rsidRPr="00F107B5">
        <w:rPr>
          <w:rFonts w:ascii="Tahoma" w:hAnsi="Tahoma" w:cs="Tahoma"/>
          <w:b/>
          <w:sz w:val="20"/>
          <w:szCs w:val="20"/>
        </w:rPr>
        <w:t xml:space="preserve">Lima,  </w:t>
      </w:r>
      <w:r>
        <w:rPr>
          <w:rFonts w:ascii="Tahoma" w:hAnsi="Tahoma" w:cs="Tahoma"/>
          <w:b/>
          <w:sz w:val="20"/>
          <w:szCs w:val="20"/>
        </w:rPr>
        <w:t>20 DE NOVIEMBRE DE 2007</w:t>
      </w:r>
    </w:p>
    <w:p w:rsidR="00AC689D" w:rsidRPr="00F107B5" w:rsidRDefault="00AC689D" w:rsidP="00AC689D">
      <w:pPr>
        <w:pStyle w:val="Textoindependiente3"/>
        <w:ind w:left="4956" w:firstLine="84"/>
        <w:rPr>
          <w:rFonts w:ascii="Tahoma" w:hAnsi="Tahoma" w:cs="Tahoma"/>
          <w:b/>
          <w:sz w:val="20"/>
          <w:szCs w:val="20"/>
        </w:rPr>
      </w:pPr>
    </w:p>
    <w:p w:rsidR="00AC689D" w:rsidRPr="00F107B5" w:rsidRDefault="00AC689D" w:rsidP="00AC689D">
      <w:pPr>
        <w:jc w:val="both"/>
        <w:rPr>
          <w:rFonts w:ascii="Tahoma" w:hAnsi="Tahoma" w:cs="Tahoma"/>
        </w:rPr>
      </w:pPr>
      <w:r w:rsidRPr="00B75B0E">
        <w:rPr>
          <w:rFonts w:ascii="Tahoma" w:hAnsi="Tahoma" w:cs="Tahoma"/>
        </w:rPr>
        <w:t>Visto</w:t>
      </w:r>
      <w:r w:rsidRPr="00F107B5">
        <w:rPr>
          <w:rFonts w:ascii="Tahoma" w:hAnsi="Tahoma" w:cs="Tahoma"/>
        </w:rPr>
        <w:t xml:space="preserve"> en sesión de fecha </w:t>
      </w:r>
      <w:r>
        <w:rPr>
          <w:rFonts w:ascii="Tahoma" w:hAnsi="Tahoma" w:cs="Tahoma"/>
        </w:rPr>
        <w:t>19</w:t>
      </w:r>
      <w:r w:rsidRPr="00F107B5">
        <w:rPr>
          <w:rFonts w:ascii="Tahoma" w:hAnsi="Tahoma" w:cs="Tahoma"/>
        </w:rPr>
        <w:t xml:space="preserve"> de</w:t>
      </w:r>
      <w:r>
        <w:rPr>
          <w:rFonts w:ascii="Tahoma" w:hAnsi="Tahoma" w:cs="Tahoma"/>
        </w:rPr>
        <w:t xml:space="preserve"> noviembre </w:t>
      </w:r>
      <w:r w:rsidRPr="00F107B5">
        <w:rPr>
          <w:rFonts w:ascii="Tahoma" w:hAnsi="Tahoma" w:cs="Tahoma"/>
        </w:rPr>
        <w:t>de 2007 de la Tercera Sala del Tribunal de Contrataciones y Adquisiciones del Estado el Expediente N.°</w:t>
      </w:r>
      <w:r>
        <w:rPr>
          <w:rFonts w:ascii="Tahoma" w:hAnsi="Tahoma" w:cs="Tahoma"/>
        </w:rPr>
        <w:t xml:space="preserve"> 187</w:t>
      </w:r>
      <w:r w:rsidRPr="00F107B5">
        <w:rPr>
          <w:rFonts w:ascii="Tahoma" w:hAnsi="Tahoma" w:cs="Tahoma"/>
        </w:rPr>
        <w:t>.2007.TC, sobre el procedimiento de aplicación de sanción a</w:t>
      </w:r>
      <w:r>
        <w:rPr>
          <w:rFonts w:ascii="Tahoma" w:hAnsi="Tahoma" w:cs="Tahoma"/>
        </w:rPr>
        <w:t xml:space="preserve"> la </w:t>
      </w:r>
      <w:r>
        <w:rPr>
          <w:rFonts w:ascii="Tahoma" w:hAnsi="Tahoma" w:cs="Tahoma"/>
          <w:lang w:val="es-PE"/>
        </w:rPr>
        <w:t>firma Repuestos y Servicios Generales “RESEGEN” del señor Frank Guillermo Ávila García</w:t>
      </w:r>
      <w:r w:rsidRPr="001C2AE2">
        <w:rPr>
          <w:rFonts w:ascii="Tahoma" w:hAnsi="Tahoma" w:cs="Tahoma"/>
        </w:rPr>
        <w:t>,</w:t>
      </w:r>
      <w:r w:rsidRPr="00F107B5">
        <w:rPr>
          <w:rFonts w:ascii="Tahoma" w:hAnsi="Tahoma" w:cs="Tahoma"/>
        </w:rPr>
        <w:t xml:space="preserve"> por</w:t>
      </w:r>
      <w:r>
        <w:rPr>
          <w:rFonts w:ascii="Tahoma" w:hAnsi="Tahoma" w:cs="Tahoma"/>
        </w:rPr>
        <w:t xml:space="preserve"> supuesta responsabilidad en la presentación de documentos falsos o inexactos durante el desarrollo del proceso de selección </w:t>
      </w:r>
      <w:r w:rsidRPr="00616E2F">
        <w:rPr>
          <w:rFonts w:ascii="Tahoma" w:hAnsi="Tahoma" w:cs="Tahoma"/>
          <w:lang w:val="es-PE"/>
        </w:rPr>
        <w:t xml:space="preserve">Adjudicación </w:t>
      </w:r>
      <w:r>
        <w:rPr>
          <w:rFonts w:ascii="Tahoma" w:hAnsi="Tahoma" w:cs="Tahoma"/>
          <w:lang w:val="es-PE"/>
        </w:rPr>
        <w:t xml:space="preserve">de Menor Cuantía </w:t>
      </w:r>
      <w:r w:rsidRPr="00616E2F">
        <w:rPr>
          <w:rFonts w:ascii="Tahoma" w:hAnsi="Tahoma" w:cs="Tahoma"/>
          <w:lang w:val="es-PE"/>
        </w:rPr>
        <w:t xml:space="preserve">N.º </w:t>
      </w:r>
      <w:r>
        <w:rPr>
          <w:rFonts w:ascii="Tahoma" w:hAnsi="Tahoma" w:cs="Tahoma"/>
          <w:lang w:val="es-PE"/>
        </w:rPr>
        <w:t>0050</w:t>
      </w:r>
      <w:r w:rsidRPr="00616E2F">
        <w:rPr>
          <w:rFonts w:ascii="Tahoma" w:hAnsi="Tahoma" w:cs="Tahoma"/>
          <w:lang w:val="es-PE"/>
        </w:rPr>
        <w:t>-2006-</w:t>
      </w:r>
      <w:r>
        <w:rPr>
          <w:rFonts w:ascii="Tahoma" w:hAnsi="Tahoma" w:cs="Tahoma"/>
          <w:lang w:val="es-PE"/>
        </w:rPr>
        <w:t>GR-LL-PECH-II Convocatoria,</w:t>
      </w:r>
      <w:r>
        <w:rPr>
          <w:rFonts w:ascii="Tahoma" w:hAnsi="Tahoma" w:cs="Tahoma"/>
        </w:rPr>
        <w:t xml:space="preserve"> efectuada por </w:t>
      </w:r>
      <w:r>
        <w:rPr>
          <w:rFonts w:ascii="Tahoma" w:hAnsi="Tahoma" w:cs="Tahoma"/>
          <w:lang w:val="es-PE"/>
        </w:rPr>
        <w:t xml:space="preserve">el Proyecto Especial </w:t>
      </w:r>
      <w:proofErr w:type="spellStart"/>
      <w:r>
        <w:rPr>
          <w:rFonts w:ascii="Tahoma" w:hAnsi="Tahoma" w:cs="Tahoma"/>
          <w:lang w:val="es-PE"/>
        </w:rPr>
        <w:t>Chavimochic</w:t>
      </w:r>
      <w:proofErr w:type="spellEnd"/>
      <w:r>
        <w:rPr>
          <w:rFonts w:ascii="Tahoma" w:hAnsi="Tahoma" w:cs="Tahoma"/>
        </w:rPr>
        <w:t xml:space="preserve">, </w:t>
      </w:r>
      <w:r w:rsidRPr="00616E2F">
        <w:rPr>
          <w:rFonts w:ascii="Tahoma" w:hAnsi="Tahoma" w:cs="Tahoma"/>
          <w:lang w:val="es-PE"/>
        </w:rPr>
        <w:t xml:space="preserve">para la </w:t>
      </w:r>
      <w:r>
        <w:rPr>
          <w:rFonts w:ascii="Tahoma" w:hAnsi="Tahoma" w:cs="Tahoma"/>
          <w:lang w:val="es-PE"/>
        </w:rPr>
        <w:t>adquisición de repuestos para motocicletas</w:t>
      </w:r>
      <w:r w:rsidRPr="00F107B5">
        <w:rPr>
          <w:rFonts w:ascii="Tahoma" w:hAnsi="Tahoma" w:cs="Tahoma"/>
        </w:rPr>
        <w:t>;</w:t>
      </w:r>
      <w:r w:rsidRPr="00F107B5">
        <w:rPr>
          <w:rFonts w:ascii="Tahoma" w:hAnsi="Tahoma" w:cs="Tahoma"/>
          <w:color w:val="000000"/>
        </w:rPr>
        <w:t xml:space="preserve"> y atendiendo a los siguientes:    </w:t>
      </w:r>
    </w:p>
    <w:p w:rsidR="00AC689D" w:rsidRDefault="00AC689D" w:rsidP="00AC689D">
      <w:pPr>
        <w:pStyle w:val="Textoindependiente"/>
        <w:widowControl/>
        <w:tabs>
          <w:tab w:val="left" w:pos="540"/>
        </w:tabs>
        <w:suppressAutoHyphens w:val="0"/>
        <w:rPr>
          <w:rFonts w:cs="Tahoma"/>
          <w:sz w:val="20"/>
        </w:rPr>
      </w:pPr>
    </w:p>
    <w:p w:rsidR="00AC689D" w:rsidRPr="00F107B5" w:rsidRDefault="00AC689D" w:rsidP="00AC689D">
      <w:pPr>
        <w:pStyle w:val="Textoindependiente"/>
        <w:widowControl/>
        <w:tabs>
          <w:tab w:val="left" w:pos="540"/>
        </w:tabs>
        <w:suppressAutoHyphens w:val="0"/>
        <w:rPr>
          <w:rFonts w:cs="Tahoma"/>
          <w:sz w:val="20"/>
        </w:rPr>
      </w:pPr>
    </w:p>
    <w:p w:rsidR="00AC689D" w:rsidRDefault="00AC689D" w:rsidP="00AC689D">
      <w:pPr>
        <w:jc w:val="both"/>
        <w:rPr>
          <w:rFonts w:ascii="Tahoma" w:hAnsi="Tahoma" w:cs="Tahoma"/>
          <w:b/>
          <w:shadow/>
        </w:rPr>
      </w:pPr>
      <w:r w:rsidRPr="00F107B5">
        <w:rPr>
          <w:rFonts w:ascii="Tahoma" w:hAnsi="Tahoma" w:cs="Tahoma"/>
          <w:b/>
          <w:shadow/>
        </w:rPr>
        <w:t>ANTECEDENTES:</w:t>
      </w:r>
    </w:p>
    <w:p w:rsidR="00AC689D" w:rsidRDefault="00AC689D" w:rsidP="00AC689D">
      <w:pPr>
        <w:jc w:val="both"/>
        <w:rPr>
          <w:rFonts w:ascii="Tahoma" w:hAnsi="Tahoma" w:cs="Tahoma"/>
          <w:b/>
          <w:lang w:val="es-PE"/>
        </w:rPr>
      </w:pPr>
    </w:p>
    <w:p w:rsidR="00AC689D" w:rsidRPr="00616E2F" w:rsidRDefault="00AC689D" w:rsidP="00AC689D">
      <w:pPr>
        <w:jc w:val="both"/>
        <w:rPr>
          <w:rFonts w:ascii="Tahoma" w:hAnsi="Tahoma" w:cs="Tahoma"/>
          <w:b/>
          <w:lang w:val="es-PE"/>
        </w:rPr>
      </w:pPr>
    </w:p>
    <w:p w:rsidR="00AC689D" w:rsidRPr="00616E2F" w:rsidRDefault="00AC689D" w:rsidP="00AC689D">
      <w:pPr>
        <w:pStyle w:val="NormalWeb"/>
        <w:numPr>
          <w:ilvl w:val="0"/>
          <w:numId w:val="1"/>
        </w:numPr>
        <w:tabs>
          <w:tab w:val="clear" w:pos="720"/>
          <w:tab w:val="num" w:pos="900"/>
        </w:tabs>
        <w:spacing w:before="0" w:beforeAutospacing="0" w:after="0" w:afterAutospacing="0"/>
        <w:ind w:left="900" w:hanging="540"/>
        <w:jc w:val="both"/>
        <w:rPr>
          <w:rFonts w:ascii="Tahoma" w:hAnsi="Tahoma" w:cs="Tahoma"/>
          <w:sz w:val="20"/>
          <w:szCs w:val="20"/>
        </w:rPr>
      </w:pPr>
      <w:r w:rsidRPr="00616E2F">
        <w:rPr>
          <w:rFonts w:ascii="Tahoma" w:hAnsi="Tahoma" w:cs="Tahoma"/>
          <w:sz w:val="20"/>
          <w:szCs w:val="20"/>
          <w:lang w:val="es-PE"/>
        </w:rPr>
        <w:t>El 0</w:t>
      </w:r>
      <w:r>
        <w:rPr>
          <w:rFonts w:ascii="Tahoma" w:hAnsi="Tahoma" w:cs="Tahoma"/>
          <w:sz w:val="20"/>
          <w:szCs w:val="20"/>
          <w:lang w:val="es-PE"/>
        </w:rPr>
        <w:t>4</w:t>
      </w:r>
      <w:r w:rsidRPr="00616E2F">
        <w:rPr>
          <w:rFonts w:ascii="Tahoma" w:hAnsi="Tahoma" w:cs="Tahoma"/>
          <w:sz w:val="20"/>
          <w:szCs w:val="20"/>
          <w:lang w:val="es-PE"/>
        </w:rPr>
        <w:t xml:space="preserve"> de </w:t>
      </w:r>
      <w:r>
        <w:rPr>
          <w:rFonts w:ascii="Tahoma" w:hAnsi="Tahoma" w:cs="Tahoma"/>
          <w:sz w:val="20"/>
          <w:szCs w:val="20"/>
          <w:lang w:val="es-PE"/>
        </w:rPr>
        <w:t xml:space="preserve">abril </w:t>
      </w:r>
      <w:r w:rsidRPr="00616E2F">
        <w:rPr>
          <w:rFonts w:ascii="Tahoma" w:hAnsi="Tahoma" w:cs="Tahoma"/>
          <w:sz w:val="20"/>
          <w:szCs w:val="20"/>
          <w:lang w:val="es-PE"/>
        </w:rPr>
        <w:t xml:space="preserve">de 2006, </w:t>
      </w:r>
      <w:r>
        <w:rPr>
          <w:rFonts w:ascii="Tahoma" w:hAnsi="Tahoma" w:cs="Tahoma"/>
          <w:sz w:val="20"/>
          <w:szCs w:val="20"/>
          <w:lang w:val="es-PE"/>
        </w:rPr>
        <w:t xml:space="preserve">el Proyecto Especial </w:t>
      </w:r>
      <w:proofErr w:type="spellStart"/>
      <w:r>
        <w:rPr>
          <w:rFonts w:ascii="Tahoma" w:hAnsi="Tahoma" w:cs="Tahoma"/>
          <w:sz w:val="20"/>
          <w:szCs w:val="20"/>
          <w:lang w:val="es-PE"/>
        </w:rPr>
        <w:t>Chavimochic</w:t>
      </w:r>
      <w:proofErr w:type="spellEnd"/>
      <w:r w:rsidRPr="00616E2F">
        <w:rPr>
          <w:rFonts w:ascii="Tahoma" w:hAnsi="Tahoma" w:cs="Tahoma"/>
          <w:sz w:val="20"/>
          <w:szCs w:val="20"/>
          <w:lang w:val="es-PE"/>
        </w:rPr>
        <w:t xml:space="preserve">, en lo sucesivo la Entidad, convocó a la Adjudicación </w:t>
      </w:r>
      <w:r>
        <w:rPr>
          <w:rFonts w:ascii="Tahoma" w:hAnsi="Tahoma" w:cs="Tahoma"/>
          <w:sz w:val="20"/>
          <w:szCs w:val="20"/>
          <w:lang w:val="es-PE"/>
        </w:rPr>
        <w:t xml:space="preserve">de Menor Cuantía </w:t>
      </w:r>
      <w:r w:rsidRPr="00616E2F">
        <w:rPr>
          <w:rFonts w:ascii="Tahoma" w:hAnsi="Tahoma" w:cs="Tahoma"/>
          <w:sz w:val="20"/>
          <w:szCs w:val="20"/>
          <w:lang w:val="es-PE"/>
        </w:rPr>
        <w:t>N</w:t>
      </w:r>
      <w:proofErr w:type="gramStart"/>
      <w:r w:rsidRPr="00616E2F">
        <w:rPr>
          <w:rFonts w:ascii="Tahoma" w:hAnsi="Tahoma" w:cs="Tahoma"/>
          <w:sz w:val="20"/>
          <w:szCs w:val="20"/>
          <w:lang w:val="es-PE"/>
        </w:rPr>
        <w:t>.º</w:t>
      </w:r>
      <w:proofErr w:type="gramEnd"/>
      <w:r w:rsidRPr="00616E2F">
        <w:rPr>
          <w:rFonts w:ascii="Tahoma" w:hAnsi="Tahoma" w:cs="Tahoma"/>
          <w:sz w:val="20"/>
          <w:szCs w:val="20"/>
          <w:lang w:val="es-PE"/>
        </w:rPr>
        <w:t xml:space="preserve"> </w:t>
      </w:r>
      <w:r>
        <w:rPr>
          <w:rFonts w:ascii="Tahoma" w:hAnsi="Tahoma" w:cs="Tahoma"/>
          <w:sz w:val="20"/>
          <w:szCs w:val="20"/>
          <w:lang w:val="es-PE"/>
        </w:rPr>
        <w:t>0050</w:t>
      </w:r>
      <w:r w:rsidRPr="00616E2F">
        <w:rPr>
          <w:rFonts w:ascii="Tahoma" w:hAnsi="Tahoma" w:cs="Tahoma"/>
          <w:sz w:val="20"/>
          <w:szCs w:val="20"/>
          <w:lang w:val="es-PE"/>
        </w:rPr>
        <w:t>-2006-</w:t>
      </w:r>
      <w:r>
        <w:rPr>
          <w:rFonts w:ascii="Tahoma" w:hAnsi="Tahoma" w:cs="Tahoma"/>
          <w:sz w:val="20"/>
          <w:szCs w:val="20"/>
          <w:lang w:val="es-PE"/>
        </w:rPr>
        <w:t>GR-LL-PECH-II Convocatoria</w:t>
      </w:r>
      <w:r w:rsidRPr="00616E2F">
        <w:rPr>
          <w:rFonts w:ascii="Tahoma" w:hAnsi="Tahoma" w:cs="Tahoma"/>
          <w:sz w:val="20"/>
          <w:szCs w:val="20"/>
          <w:lang w:val="es-PE"/>
        </w:rPr>
        <w:t xml:space="preserve">, para la </w:t>
      </w:r>
      <w:r>
        <w:rPr>
          <w:rFonts w:ascii="Tahoma" w:hAnsi="Tahoma" w:cs="Tahoma"/>
          <w:sz w:val="20"/>
          <w:szCs w:val="20"/>
          <w:lang w:val="es-PE"/>
        </w:rPr>
        <w:t>adquisición de repuestos para motocicletas, por un valor referencial ascendente S/. 28, 889.50 Nuevos Soles.</w:t>
      </w:r>
    </w:p>
    <w:p w:rsidR="00AC689D" w:rsidRPr="00616E2F" w:rsidRDefault="00AC689D" w:rsidP="00AC689D">
      <w:pPr>
        <w:pStyle w:val="NormalWeb"/>
        <w:spacing w:before="0" w:beforeAutospacing="0" w:after="0" w:afterAutospacing="0"/>
        <w:ind w:left="360"/>
        <w:jc w:val="both"/>
        <w:rPr>
          <w:rFonts w:ascii="Tahoma" w:hAnsi="Tahoma" w:cs="Tahoma"/>
          <w:sz w:val="20"/>
          <w:szCs w:val="20"/>
        </w:rPr>
      </w:pPr>
    </w:p>
    <w:p w:rsidR="00AC689D" w:rsidRPr="00F01F29" w:rsidRDefault="00AC689D" w:rsidP="00AC689D">
      <w:pPr>
        <w:pStyle w:val="NormalWeb"/>
        <w:numPr>
          <w:ilvl w:val="0"/>
          <w:numId w:val="2"/>
        </w:numPr>
        <w:tabs>
          <w:tab w:val="clear" w:pos="720"/>
          <w:tab w:val="num" w:pos="900"/>
        </w:tabs>
        <w:spacing w:before="0" w:beforeAutospacing="0" w:after="0" w:afterAutospacing="0"/>
        <w:ind w:left="900" w:hanging="540"/>
        <w:jc w:val="both"/>
        <w:rPr>
          <w:rFonts w:ascii="Tahoma" w:hAnsi="Tahoma" w:cs="Tahoma"/>
          <w:sz w:val="20"/>
          <w:szCs w:val="20"/>
        </w:rPr>
      </w:pPr>
      <w:r w:rsidRPr="00616E2F">
        <w:rPr>
          <w:rFonts w:ascii="Tahoma" w:hAnsi="Tahoma" w:cs="Tahoma"/>
          <w:sz w:val="20"/>
          <w:szCs w:val="20"/>
          <w:lang w:val="es-PE"/>
        </w:rPr>
        <w:t xml:space="preserve">El </w:t>
      </w:r>
      <w:r>
        <w:rPr>
          <w:rFonts w:ascii="Tahoma" w:hAnsi="Tahoma" w:cs="Tahoma"/>
          <w:sz w:val="20"/>
          <w:szCs w:val="20"/>
          <w:lang w:val="es-PE"/>
        </w:rPr>
        <w:t>06</w:t>
      </w:r>
      <w:r w:rsidRPr="00616E2F">
        <w:rPr>
          <w:rFonts w:ascii="Tahoma" w:hAnsi="Tahoma" w:cs="Tahoma"/>
          <w:sz w:val="20"/>
          <w:szCs w:val="20"/>
          <w:lang w:val="es-PE"/>
        </w:rPr>
        <w:t xml:space="preserve"> de</w:t>
      </w:r>
      <w:r>
        <w:rPr>
          <w:rFonts w:ascii="Tahoma" w:hAnsi="Tahoma" w:cs="Tahoma"/>
          <w:sz w:val="20"/>
          <w:szCs w:val="20"/>
          <w:lang w:val="es-PE"/>
        </w:rPr>
        <w:t xml:space="preserve"> abril</w:t>
      </w:r>
      <w:r w:rsidRPr="00616E2F">
        <w:rPr>
          <w:rFonts w:ascii="Tahoma" w:hAnsi="Tahoma" w:cs="Tahoma"/>
          <w:sz w:val="20"/>
          <w:szCs w:val="20"/>
          <w:lang w:val="es-PE"/>
        </w:rPr>
        <w:t xml:space="preserve"> de 2006, se llevó a cabo el acto de presentación de propuestas, con la participación de la </w:t>
      </w:r>
      <w:r>
        <w:rPr>
          <w:rFonts w:ascii="Tahoma" w:hAnsi="Tahoma" w:cs="Tahoma"/>
          <w:sz w:val="20"/>
          <w:szCs w:val="20"/>
          <w:lang w:val="es-PE"/>
        </w:rPr>
        <w:t>firma Repuestos y Servicios Generales “</w:t>
      </w:r>
      <w:proofErr w:type="spellStart"/>
      <w:r>
        <w:rPr>
          <w:rFonts w:ascii="Tahoma" w:hAnsi="Tahoma" w:cs="Tahoma"/>
          <w:sz w:val="20"/>
          <w:szCs w:val="20"/>
          <w:lang w:val="es-PE"/>
        </w:rPr>
        <w:t>RESEGEN”del</w:t>
      </w:r>
      <w:proofErr w:type="spellEnd"/>
      <w:r>
        <w:rPr>
          <w:rFonts w:ascii="Tahoma" w:hAnsi="Tahoma" w:cs="Tahoma"/>
          <w:sz w:val="20"/>
          <w:szCs w:val="20"/>
          <w:lang w:val="es-PE"/>
        </w:rPr>
        <w:t xml:space="preserve"> señor Frank Guillermo Ávila García</w:t>
      </w:r>
      <w:r w:rsidRPr="00616E2F">
        <w:rPr>
          <w:rFonts w:ascii="Tahoma" w:hAnsi="Tahoma" w:cs="Tahoma"/>
          <w:sz w:val="20"/>
          <w:szCs w:val="20"/>
          <w:lang w:val="es-PE"/>
        </w:rPr>
        <w:t>, en adelante el Postor.</w:t>
      </w:r>
      <w:r>
        <w:rPr>
          <w:rFonts w:ascii="Tahoma" w:hAnsi="Tahoma" w:cs="Tahoma"/>
          <w:sz w:val="20"/>
          <w:szCs w:val="20"/>
          <w:lang w:val="es-PE"/>
        </w:rPr>
        <w:t xml:space="preserve"> En virtud a la calificación realzada por el Comité Especial, se procedió otorgar la buena pro a favor del Postor, respecto de los ítems N</w:t>
      </w:r>
      <w:proofErr w:type="gramStart"/>
      <w:r>
        <w:rPr>
          <w:rFonts w:ascii="Tahoma" w:hAnsi="Tahoma" w:cs="Tahoma"/>
          <w:sz w:val="20"/>
          <w:szCs w:val="20"/>
          <w:lang w:val="es-PE"/>
        </w:rPr>
        <w:t>.º</w:t>
      </w:r>
      <w:proofErr w:type="gramEnd"/>
      <w:r>
        <w:rPr>
          <w:rFonts w:ascii="Tahoma" w:hAnsi="Tahoma" w:cs="Tahoma"/>
          <w:sz w:val="20"/>
          <w:szCs w:val="20"/>
          <w:lang w:val="es-PE"/>
        </w:rPr>
        <w:t xml:space="preserve"> 01: Repuestos para motocicleta XL-125 e </w:t>
      </w:r>
      <w:proofErr w:type="spellStart"/>
      <w:r>
        <w:rPr>
          <w:rFonts w:ascii="Tahoma" w:hAnsi="Tahoma" w:cs="Tahoma"/>
          <w:sz w:val="20"/>
          <w:szCs w:val="20"/>
          <w:lang w:val="es-PE"/>
        </w:rPr>
        <w:t>Item</w:t>
      </w:r>
      <w:proofErr w:type="spellEnd"/>
      <w:r>
        <w:rPr>
          <w:rFonts w:ascii="Tahoma" w:hAnsi="Tahoma" w:cs="Tahoma"/>
          <w:sz w:val="20"/>
          <w:szCs w:val="20"/>
          <w:lang w:val="es-PE"/>
        </w:rPr>
        <w:t xml:space="preserve"> N.º 02: Repuestos para motocicleta  XTZ-125K.</w:t>
      </w:r>
    </w:p>
    <w:p w:rsidR="00AC689D" w:rsidRPr="00616E2F" w:rsidRDefault="00AC689D" w:rsidP="00AC689D">
      <w:pPr>
        <w:pStyle w:val="NormalWeb"/>
        <w:spacing w:before="0" w:beforeAutospacing="0" w:after="0" w:afterAutospacing="0"/>
        <w:ind w:left="360"/>
        <w:jc w:val="both"/>
        <w:rPr>
          <w:rFonts w:ascii="Tahoma" w:hAnsi="Tahoma" w:cs="Tahoma"/>
          <w:sz w:val="20"/>
          <w:szCs w:val="20"/>
        </w:rPr>
      </w:pPr>
    </w:p>
    <w:p w:rsidR="00AC689D" w:rsidRDefault="00AC689D" w:rsidP="00AC689D">
      <w:pPr>
        <w:pStyle w:val="NormalWeb"/>
        <w:numPr>
          <w:ilvl w:val="0"/>
          <w:numId w:val="2"/>
        </w:numPr>
        <w:tabs>
          <w:tab w:val="clear" w:pos="720"/>
          <w:tab w:val="num" w:pos="900"/>
        </w:tabs>
        <w:spacing w:before="0" w:beforeAutospacing="0" w:after="0" w:afterAutospacing="0"/>
        <w:ind w:left="900" w:hanging="540"/>
        <w:jc w:val="both"/>
        <w:rPr>
          <w:rFonts w:ascii="Tahoma" w:hAnsi="Tahoma" w:cs="Tahoma"/>
          <w:sz w:val="20"/>
          <w:szCs w:val="20"/>
        </w:rPr>
      </w:pPr>
      <w:r>
        <w:rPr>
          <w:rFonts w:ascii="Tahoma" w:hAnsi="Tahoma" w:cs="Tahoma"/>
          <w:sz w:val="20"/>
          <w:szCs w:val="20"/>
        </w:rPr>
        <w:t>Como consecuencia del examen especial practicado a la Unidad de Abastecimiento y Servicios Generales, se solicitó a la Brigada de Infantería 32 del Ejército Peruano informe respecto a la veracidad de ciertos documentos presentados como parte de la propuesta técnica del postor.</w:t>
      </w:r>
    </w:p>
    <w:p w:rsidR="00AC689D" w:rsidRDefault="00AC689D" w:rsidP="00AC689D">
      <w:pPr>
        <w:pStyle w:val="NormalWeb"/>
        <w:spacing w:before="0" w:beforeAutospacing="0" w:after="0" w:afterAutospacing="0"/>
        <w:jc w:val="both"/>
        <w:rPr>
          <w:rFonts w:ascii="Tahoma" w:hAnsi="Tahoma" w:cs="Tahoma"/>
          <w:sz w:val="20"/>
          <w:szCs w:val="20"/>
        </w:rPr>
      </w:pPr>
    </w:p>
    <w:p w:rsidR="00AC689D" w:rsidRDefault="00AC689D" w:rsidP="00AC689D">
      <w:pPr>
        <w:pStyle w:val="NormalWeb"/>
        <w:numPr>
          <w:ilvl w:val="0"/>
          <w:numId w:val="2"/>
        </w:numPr>
        <w:tabs>
          <w:tab w:val="clear" w:pos="720"/>
          <w:tab w:val="num" w:pos="900"/>
        </w:tabs>
        <w:spacing w:before="0" w:beforeAutospacing="0" w:after="0" w:afterAutospacing="0"/>
        <w:ind w:left="900" w:hanging="540"/>
        <w:jc w:val="both"/>
        <w:rPr>
          <w:rFonts w:ascii="Tahoma" w:hAnsi="Tahoma" w:cs="Tahoma"/>
          <w:sz w:val="20"/>
          <w:szCs w:val="20"/>
        </w:rPr>
      </w:pPr>
      <w:r>
        <w:rPr>
          <w:rFonts w:ascii="Tahoma" w:hAnsi="Tahoma" w:cs="Tahoma"/>
          <w:sz w:val="20"/>
          <w:szCs w:val="20"/>
        </w:rPr>
        <w:t>Al respecto, de la información remitida mediante Oficio N</w:t>
      </w:r>
      <w:proofErr w:type="gramStart"/>
      <w:r>
        <w:rPr>
          <w:rFonts w:ascii="Tahoma" w:hAnsi="Tahoma" w:cs="Tahoma"/>
          <w:sz w:val="20"/>
          <w:szCs w:val="20"/>
        </w:rPr>
        <w:t>.º</w:t>
      </w:r>
      <w:proofErr w:type="gramEnd"/>
      <w:r>
        <w:rPr>
          <w:rFonts w:ascii="Tahoma" w:hAnsi="Tahoma" w:cs="Tahoma"/>
          <w:sz w:val="20"/>
          <w:szCs w:val="20"/>
        </w:rPr>
        <w:t xml:space="preserve"> 708 SETES/CG 32 Brig. </w:t>
      </w:r>
      <w:proofErr w:type="spellStart"/>
      <w:r>
        <w:rPr>
          <w:rFonts w:ascii="Tahoma" w:hAnsi="Tahoma" w:cs="Tahoma"/>
          <w:sz w:val="20"/>
          <w:szCs w:val="20"/>
        </w:rPr>
        <w:t>Inf</w:t>
      </w:r>
      <w:proofErr w:type="spellEnd"/>
      <w:r>
        <w:rPr>
          <w:rFonts w:ascii="Tahoma" w:hAnsi="Tahoma" w:cs="Tahoma"/>
          <w:sz w:val="20"/>
          <w:szCs w:val="20"/>
        </w:rPr>
        <w:t>./ Trujillo de fecha 20 de setiembre de 2006, se informó lo siguiente:</w:t>
      </w:r>
    </w:p>
    <w:p w:rsidR="00AC689D" w:rsidRDefault="00AC689D" w:rsidP="00AC689D">
      <w:pPr>
        <w:pStyle w:val="NormalWeb"/>
        <w:spacing w:before="0" w:beforeAutospacing="0" w:after="0" w:afterAutospacing="0"/>
        <w:jc w:val="both"/>
        <w:rPr>
          <w:rFonts w:ascii="Tahoma" w:hAnsi="Tahoma" w:cs="Tahoma"/>
          <w:sz w:val="20"/>
          <w:szCs w:val="20"/>
        </w:rPr>
      </w:pPr>
      <w:r>
        <w:rPr>
          <w:rFonts w:ascii="Tahoma" w:hAnsi="Tahoma" w:cs="Tahoma"/>
          <w:sz w:val="20"/>
          <w:szCs w:val="20"/>
        </w:rPr>
        <w:t xml:space="preserve">         </w:t>
      </w:r>
    </w:p>
    <w:p w:rsidR="00AC689D" w:rsidRDefault="00AC689D" w:rsidP="00AC689D">
      <w:pPr>
        <w:pStyle w:val="NormalWeb"/>
        <w:numPr>
          <w:ilvl w:val="0"/>
          <w:numId w:val="3"/>
        </w:numPr>
        <w:spacing w:before="0" w:beforeAutospacing="0" w:after="0" w:afterAutospacing="0"/>
        <w:jc w:val="both"/>
        <w:rPr>
          <w:rFonts w:ascii="Tahoma" w:hAnsi="Tahoma" w:cs="Tahoma"/>
          <w:sz w:val="20"/>
          <w:szCs w:val="20"/>
        </w:rPr>
      </w:pPr>
      <w:r>
        <w:rPr>
          <w:rFonts w:ascii="Tahoma" w:hAnsi="Tahoma" w:cs="Tahoma"/>
          <w:sz w:val="20"/>
          <w:szCs w:val="20"/>
        </w:rPr>
        <w:t xml:space="preserve">Las Facturas </w:t>
      </w:r>
      <w:proofErr w:type="spellStart"/>
      <w:r>
        <w:rPr>
          <w:rFonts w:ascii="Tahoma" w:hAnsi="Tahoma" w:cs="Tahoma"/>
          <w:sz w:val="20"/>
          <w:szCs w:val="20"/>
        </w:rPr>
        <w:t>Nros</w:t>
      </w:r>
      <w:proofErr w:type="spellEnd"/>
      <w:r>
        <w:rPr>
          <w:rFonts w:ascii="Tahoma" w:hAnsi="Tahoma" w:cs="Tahoma"/>
          <w:sz w:val="20"/>
          <w:szCs w:val="20"/>
        </w:rPr>
        <w:t xml:space="preserve"> 001-0000020 y 001-0000031, emitidas a favor del Brigada de Infantería 32 del Ejército Peruano, con fechas 24 y 31 de octubre de 2005 y por los importes de S/. </w:t>
      </w:r>
      <w:r>
        <w:rPr>
          <w:rFonts w:ascii="Tahoma" w:hAnsi="Tahoma" w:cs="Tahoma"/>
          <w:sz w:val="20"/>
          <w:szCs w:val="20"/>
        </w:rPr>
        <w:lastRenderedPageBreak/>
        <w:t>2,439.00 y S/. 1,883.00 Nuevos Soles respectivamente no se encuentran registrados en sus archivos.</w:t>
      </w:r>
    </w:p>
    <w:p w:rsidR="00AC689D" w:rsidRDefault="00AC689D" w:rsidP="00AC689D">
      <w:pPr>
        <w:pStyle w:val="NormalWeb"/>
        <w:spacing w:before="0" w:beforeAutospacing="0" w:after="0" w:afterAutospacing="0"/>
        <w:jc w:val="both"/>
        <w:rPr>
          <w:rFonts w:ascii="Tahoma" w:hAnsi="Tahoma" w:cs="Tahoma"/>
          <w:sz w:val="20"/>
          <w:szCs w:val="20"/>
        </w:rPr>
      </w:pPr>
    </w:p>
    <w:p w:rsidR="00AC689D" w:rsidRPr="00616E2F" w:rsidRDefault="00AC689D" w:rsidP="00AC689D">
      <w:pPr>
        <w:pStyle w:val="NormalWeb"/>
        <w:numPr>
          <w:ilvl w:val="0"/>
          <w:numId w:val="2"/>
        </w:numPr>
        <w:tabs>
          <w:tab w:val="clear" w:pos="720"/>
          <w:tab w:val="num" w:pos="900"/>
        </w:tabs>
        <w:spacing w:before="0" w:beforeAutospacing="0" w:after="0" w:afterAutospacing="0"/>
        <w:ind w:left="900" w:hanging="540"/>
        <w:jc w:val="both"/>
        <w:rPr>
          <w:rFonts w:ascii="Tahoma" w:hAnsi="Tahoma" w:cs="Tahoma"/>
          <w:sz w:val="20"/>
          <w:szCs w:val="20"/>
        </w:rPr>
      </w:pPr>
      <w:r>
        <w:rPr>
          <w:rFonts w:ascii="Tahoma" w:hAnsi="Tahoma" w:cs="Tahoma"/>
          <w:sz w:val="20"/>
          <w:szCs w:val="20"/>
        </w:rPr>
        <w:t>Por otro lado, la Entidad indicó que la Factura N</w:t>
      </w:r>
      <w:proofErr w:type="gramStart"/>
      <w:r>
        <w:rPr>
          <w:rFonts w:ascii="Tahoma" w:hAnsi="Tahoma" w:cs="Tahoma"/>
          <w:sz w:val="20"/>
          <w:szCs w:val="20"/>
        </w:rPr>
        <w:t>.º</w:t>
      </w:r>
      <w:proofErr w:type="gramEnd"/>
      <w:r>
        <w:rPr>
          <w:rFonts w:ascii="Tahoma" w:hAnsi="Tahoma" w:cs="Tahoma"/>
          <w:sz w:val="20"/>
          <w:szCs w:val="20"/>
        </w:rPr>
        <w:t xml:space="preserve"> 001-0000025 presentada por el Postor en su propuesta técnica por el importe de S/. 1, 883.00 Nuevos Soles, cuya fotocopia figura a nombre de la UGEL BOLIVAR, existe en el archivo de Tesorería del Proyecto Especial </w:t>
      </w:r>
      <w:proofErr w:type="spellStart"/>
      <w:r>
        <w:rPr>
          <w:rFonts w:ascii="Tahoma" w:hAnsi="Tahoma" w:cs="Tahoma"/>
          <w:sz w:val="20"/>
          <w:szCs w:val="20"/>
        </w:rPr>
        <w:t>Chavimochic</w:t>
      </w:r>
      <w:proofErr w:type="spellEnd"/>
      <w:r>
        <w:rPr>
          <w:rFonts w:ascii="Tahoma" w:hAnsi="Tahoma" w:cs="Tahoma"/>
          <w:sz w:val="20"/>
          <w:szCs w:val="20"/>
        </w:rPr>
        <w:t>, con el mismo número de facturación, pero por un importe distinto, el importe es de S/. 1323.00 tramitada con la Orden de Compra N</w:t>
      </w:r>
      <w:proofErr w:type="gramStart"/>
      <w:r>
        <w:rPr>
          <w:rFonts w:ascii="Tahoma" w:hAnsi="Tahoma" w:cs="Tahoma"/>
          <w:sz w:val="20"/>
          <w:szCs w:val="20"/>
        </w:rPr>
        <w:t>.º</w:t>
      </w:r>
      <w:proofErr w:type="gramEnd"/>
      <w:r>
        <w:rPr>
          <w:rFonts w:ascii="Tahoma" w:hAnsi="Tahoma" w:cs="Tahoma"/>
          <w:sz w:val="20"/>
          <w:szCs w:val="20"/>
        </w:rPr>
        <w:t xml:space="preserve"> B100811 de fecha 25 de octubre de 2005 y cancelada mediante el comprobante de pago N.º RDR3157 de fecha 28 de octubre de 2005.</w:t>
      </w:r>
    </w:p>
    <w:p w:rsidR="00AC689D" w:rsidRPr="00616E2F" w:rsidRDefault="00AC689D" w:rsidP="00AC689D">
      <w:pPr>
        <w:pStyle w:val="NormalWeb"/>
        <w:spacing w:before="0" w:beforeAutospacing="0" w:after="0" w:afterAutospacing="0"/>
        <w:ind w:left="360"/>
        <w:jc w:val="both"/>
        <w:rPr>
          <w:rFonts w:ascii="Tahoma" w:hAnsi="Tahoma" w:cs="Tahoma"/>
          <w:sz w:val="20"/>
          <w:szCs w:val="20"/>
        </w:rPr>
      </w:pPr>
    </w:p>
    <w:p w:rsidR="00AC689D" w:rsidRDefault="00AC689D" w:rsidP="00AC689D">
      <w:pPr>
        <w:pStyle w:val="NormalWeb"/>
        <w:numPr>
          <w:ilvl w:val="0"/>
          <w:numId w:val="2"/>
        </w:numPr>
        <w:tabs>
          <w:tab w:val="clear" w:pos="720"/>
          <w:tab w:val="num" w:pos="900"/>
        </w:tabs>
        <w:spacing w:before="0" w:beforeAutospacing="0" w:after="0" w:afterAutospacing="0"/>
        <w:ind w:left="900" w:hanging="540"/>
        <w:jc w:val="both"/>
        <w:rPr>
          <w:rFonts w:ascii="Tahoma" w:hAnsi="Tahoma" w:cs="Tahoma"/>
          <w:sz w:val="20"/>
          <w:szCs w:val="20"/>
        </w:rPr>
      </w:pPr>
      <w:r w:rsidRPr="00616E2F">
        <w:rPr>
          <w:rFonts w:ascii="Tahoma" w:hAnsi="Tahoma" w:cs="Tahoma"/>
          <w:sz w:val="20"/>
          <w:szCs w:val="20"/>
        </w:rPr>
        <w:t xml:space="preserve">Mediante </w:t>
      </w:r>
      <w:r>
        <w:rPr>
          <w:rFonts w:ascii="Tahoma" w:hAnsi="Tahoma" w:cs="Tahoma"/>
          <w:sz w:val="20"/>
          <w:szCs w:val="20"/>
        </w:rPr>
        <w:t>escrito de</w:t>
      </w:r>
      <w:r w:rsidRPr="00616E2F">
        <w:rPr>
          <w:rFonts w:ascii="Tahoma" w:hAnsi="Tahoma" w:cs="Tahoma"/>
          <w:sz w:val="20"/>
          <w:szCs w:val="20"/>
        </w:rPr>
        <w:t xml:space="preserve"> </w:t>
      </w:r>
      <w:r>
        <w:rPr>
          <w:rFonts w:ascii="Tahoma" w:hAnsi="Tahoma" w:cs="Tahoma"/>
          <w:sz w:val="20"/>
          <w:szCs w:val="20"/>
        </w:rPr>
        <w:t>fecha 01 de febrero de 2007 la Entidad comunicó a este Colegiado los hechos antes expuestos, en virtud a ello, por decreto de fecha 05 de febrero de 2007 se dispuso el inicio del procedimiento administrativo sancionador contra el Postor por supuesta responsabilidad en la presentación de documentos falsos o inexactos, otorgándosele el plazo de diez días para que presente sus descargos, bajo apercibimiento de resolver con la documentación obrante en autos.</w:t>
      </w:r>
    </w:p>
    <w:p w:rsidR="00AC689D" w:rsidRPr="00616E2F" w:rsidRDefault="00AC689D" w:rsidP="00AC689D">
      <w:pPr>
        <w:pStyle w:val="NormalWeb"/>
        <w:spacing w:before="0" w:beforeAutospacing="0" w:after="0" w:afterAutospacing="0"/>
        <w:ind w:left="360"/>
        <w:jc w:val="both"/>
        <w:rPr>
          <w:rFonts w:ascii="Tahoma" w:hAnsi="Tahoma" w:cs="Tahoma"/>
          <w:sz w:val="20"/>
          <w:szCs w:val="20"/>
        </w:rPr>
      </w:pPr>
    </w:p>
    <w:p w:rsidR="00AC689D" w:rsidRDefault="00AC689D" w:rsidP="00AC689D">
      <w:pPr>
        <w:pStyle w:val="NormalWeb"/>
        <w:numPr>
          <w:ilvl w:val="0"/>
          <w:numId w:val="2"/>
        </w:numPr>
        <w:tabs>
          <w:tab w:val="clear" w:pos="720"/>
          <w:tab w:val="num" w:pos="900"/>
        </w:tabs>
        <w:spacing w:before="0" w:beforeAutospacing="0" w:after="0" w:afterAutospacing="0"/>
        <w:ind w:left="900" w:hanging="540"/>
        <w:jc w:val="both"/>
        <w:rPr>
          <w:rFonts w:ascii="Tahoma" w:hAnsi="Tahoma" w:cs="Tahoma"/>
          <w:sz w:val="20"/>
          <w:szCs w:val="20"/>
        </w:rPr>
      </w:pPr>
      <w:r>
        <w:rPr>
          <w:rFonts w:ascii="Tahoma" w:hAnsi="Tahoma" w:cs="Tahoma"/>
          <w:sz w:val="20"/>
          <w:szCs w:val="20"/>
        </w:rPr>
        <w:t>Al no haberse podido diligenciar la Cédula de Notificación N.º 3806/2007.TC al Postor a fin que presente sus descargos respectivos, por no contar con un domicilio cierto, la Secretaría del Tribunal, luego de agotar los medios necesarios para determinar otro domicilio valido del Postor, dispuso mediante decreto de fecha 28 de marzo de 2007, notificar vía publicación en el Boletín Oficial del Diario el Peruano el decreto de fecha 05 de febrero de 2007, a efectos que el Postor pueda ejercer su derecho de defensa. La publicación se realizó el 09 de mayo de 2007.</w:t>
      </w:r>
    </w:p>
    <w:p w:rsidR="00AC689D" w:rsidRDefault="00AC689D" w:rsidP="00AC689D">
      <w:pPr>
        <w:pStyle w:val="NormalWeb"/>
        <w:spacing w:before="0" w:beforeAutospacing="0" w:after="0" w:afterAutospacing="0"/>
        <w:jc w:val="both"/>
        <w:rPr>
          <w:rFonts w:ascii="Tahoma" w:hAnsi="Tahoma" w:cs="Tahoma"/>
          <w:sz w:val="20"/>
          <w:szCs w:val="20"/>
        </w:rPr>
      </w:pPr>
    </w:p>
    <w:p w:rsidR="00AC689D" w:rsidRPr="00132075" w:rsidRDefault="00AC689D" w:rsidP="00AC689D">
      <w:pPr>
        <w:pStyle w:val="NormalWeb"/>
        <w:numPr>
          <w:ilvl w:val="0"/>
          <w:numId w:val="2"/>
        </w:numPr>
        <w:tabs>
          <w:tab w:val="clear" w:pos="720"/>
          <w:tab w:val="num" w:pos="900"/>
        </w:tabs>
        <w:spacing w:before="0" w:beforeAutospacing="0" w:after="0" w:afterAutospacing="0"/>
        <w:ind w:left="900" w:hanging="540"/>
        <w:jc w:val="both"/>
        <w:rPr>
          <w:rFonts w:ascii="Tahoma" w:hAnsi="Tahoma" w:cs="Tahoma"/>
          <w:sz w:val="20"/>
          <w:szCs w:val="20"/>
          <w:lang w:val="es-PE"/>
        </w:rPr>
      </w:pPr>
      <w:r w:rsidRPr="00616E2F">
        <w:rPr>
          <w:rFonts w:ascii="Tahoma" w:hAnsi="Tahoma" w:cs="Tahoma"/>
          <w:sz w:val="20"/>
          <w:szCs w:val="20"/>
        </w:rPr>
        <w:t>Con Decreto de fecha 2</w:t>
      </w:r>
      <w:r>
        <w:rPr>
          <w:rFonts w:ascii="Tahoma" w:hAnsi="Tahoma" w:cs="Tahoma"/>
          <w:sz w:val="20"/>
          <w:szCs w:val="20"/>
        </w:rPr>
        <w:t>9</w:t>
      </w:r>
      <w:r w:rsidRPr="00616E2F">
        <w:rPr>
          <w:rFonts w:ascii="Tahoma" w:hAnsi="Tahoma" w:cs="Tahoma"/>
          <w:sz w:val="20"/>
          <w:szCs w:val="20"/>
        </w:rPr>
        <w:t xml:space="preserve"> de mayo de 2007, previa razón de la Secretaría del Tribunal, en virtud al incumplimiento del Postor en presentar sus descargos dentro del plazo establ</w:t>
      </w:r>
      <w:r>
        <w:rPr>
          <w:rFonts w:ascii="Tahoma" w:hAnsi="Tahoma" w:cs="Tahoma"/>
          <w:sz w:val="20"/>
          <w:szCs w:val="20"/>
        </w:rPr>
        <w:t>ecido, se dispuso la remisión del expediente administrativo a la Tercera Sala del Tribunal para que resuelva.</w:t>
      </w:r>
    </w:p>
    <w:p w:rsidR="00AC689D" w:rsidRDefault="00AC689D" w:rsidP="00AC689D">
      <w:pPr>
        <w:pStyle w:val="NormalWeb"/>
        <w:spacing w:before="0" w:beforeAutospacing="0" w:after="0" w:afterAutospacing="0"/>
        <w:jc w:val="both"/>
        <w:rPr>
          <w:rFonts w:ascii="Tahoma" w:hAnsi="Tahoma" w:cs="Tahoma"/>
          <w:sz w:val="20"/>
          <w:szCs w:val="20"/>
        </w:rPr>
      </w:pPr>
    </w:p>
    <w:p w:rsidR="00AC689D" w:rsidRDefault="00AC689D" w:rsidP="00AC689D">
      <w:pPr>
        <w:numPr>
          <w:ilvl w:val="0"/>
          <w:numId w:val="2"/>
        </w:numPr>
        <w:tabs>
          <w:tab w:val="clear" w:pos="720"/>
          <w:tab w:val="num" w:pos="900"/>
        </w:tabs>
        <w:ind w:left="900" w:hanging="540"/>
        <w:jc w:val="both"/>
        <w:rPr>
          <w:rFonts w:ascii="Tahoma" w:hAnsi="Tahoma" w:cs="Tahoma"/>
        </w:rPr>
      </w:pPr>
      <w:r>
        <w:rPr>
          <w:rFonts w:ascii="Tahoma" w:hAnsi="Tahoma" w:cs="Tahoma"/>
        </w:rPr>
        <w:t>Mediante Decreto de fecha 11 de octubre de 2007, se le solicitó a la Entidad cumpla con remitir copia legible del Oficio N</w:t>
      </w:r>
      <w:proofErr w:type="gramStart"/>
      <w:r>
        <w:rPr>
          <w:rFonts w:ascii="Tahoma" w:hAnsi="Tahoma" w:cs="Tahoma"/>
        </w:rPr>
        <w:t>.º</w:t>
      </w:r>
      <w:proofErr w:type="gramEnd"/>
      <w:r>
        <w:rPr>
          <w:rFonts w:ascii="Tahoma" w:hAnsi="Tahoma" w:cs="Tahoma"/>
        </w:rPr>
        <w:t xml:space="preserve"> 708-SETES/CG 32 Brig. </w:t>
      </w:r>
      <w:proofErr w:type="spellStart"/>
      <w:r>
        <w:rPr>
          <w:rFonts w:ascii="Tahoma" w:hAnsi="Tahoma" w:cs="Tahoma"/>
        </w:rPr>
        <w:t>Inf</w:t>
      </w:r>
      <w:proofErr w:type="spellEnd"/>
      <w:r>
        <w:rPr>
          <w:rFonts w:ascii="Tahoma" w:hAnsi="Tahoma" w:cs="Tahoma"/>
        </w:rPr>
        <w:t xml:space="preserve">. de fecha 18 de setiembre de 2006, mediante el cual el Ejército Peruano 32 Brigada de Infantería, indicó que las facturas </w:t>
      </w:r>
      <w:proofErr w:type="spellStart"/>
      <w:r>
        <w:rPr>
          <w:rFonts w:ascii="Tahoma" w:hAnsi="Tahoma" w:cs="Tahoma"/>
        </w:rPr>
        <w:t>Nros</w:t>
      </w:r>
      <w:proofErr w:type="spellEnd"/>
      <w:r>
        <w:rPr>
          <w:rFonts w:ascii="Tahoma" w:hAnsi="Tahoma" w:cs="Tahoma"/>
        </w:rPr>
        <w:t xml:space="preserve"> 001-0000020 y 001-0000031, giradas por la empresa Repuestos y Servicios Generales – RESEGEN, no se encuentran registradas en sus archivos.</w:t>
      </w:r>
    </w:p>
    <w:p w:rsidR="00AC689D" w:rsidRDefault="00AC689D" w:rsidP="00AC689D">
      <w:pPr>
        <w:jc w:val="both"/>
        <w:rPr>
          <w:rFonts w:ascii="Tahoma" w:hAnsi="Tahoma" w:cs="Tahoma"/>
        </w:rPr>
      </w:pPr>
    </w:p>
    <w:p w:rsidR="00AC689D" w:rsidRDefault="00AC689D" w:rsidP="00AC689D">
      <w:pPr>
        <w:numPr>
          <w:ilvl w:val="0"/>
          <w:numId w:val="2"/>
        </w:numPr>
        <w:tabs>
          <w:tab w:val="clear" w:pos="720"/>
          <w:tab w:val="num" w:pos="900"/>
        </w:tabs>
        <w:ind w:left="900" w:hanging="540"/>
        <w:jc w:val="both"/>
        <w:rPr>
          <w:rFonts w:ascii="Tahoma" w:hAnsi="Tahoma" w:cs="Tahoma"/>
        </w:rPr>
      </w:pPr>
      <w:r>
        <w:rPr>
          <w:rFonts w:ascii="Tahoma" w:hAnsi="Tahoma" w:cs="Tahoma"/>
        </w:rPr>
        <w:t>Con Oficio N</w:t>
      </w:r>
      <w:proofErr w:type="gramStart"/>
      <w:r>
        <w:rPr>
          <w:rFonts w:ascii="Tahoma" w:hAnsi="Tahoma" w:cs="Tahoma"/>
        </w:rPr>
        <w:t>.º</w:t>
      </w:r>
      <w:proofErr w:type="gramEnd"/>
      <w:r>
        <w:rPr>
          <w:rFonts w:ascii="Tahoma" w:hAnsi="Tahoma" w:cs="Tahoma"/>
        </w:rPr>
        <w:t xml:space="preserve"> 2728-2007-GR-LL/PECH-01 de fecha 22 de octubre de 2007 la Entidad cumplió con remitir la documentación solicitada.</w:t>
      </w:r>
    </w:p>
    <w:p w:rsidR="00AC689D" w:rsidRDefault="00AC689D" w:rsidP="00AC689D">
      <w:pPr>
        <w:pStyle w:val="NormalWeb"/>
        <w:tabs>
          <w:tab w:val="num" w:pos="900"/>
        </w:tabs>
        <w:spacing w:before="0" w:beforeAutospacing="0" w:after="0" w:afterAutospacing="0"/>
        <w:ind w:left="360"/>
        <w:jc w:val="both"/>
        <w:rPr>
          <w:rFonts w:ascii="Tahoma" w:hAnsi="Tahoma" w:cs="Tahoma"/>
          <w:sz w:val="20"/>
          <w:szCs w:val="20"/>
        </w:rPr>
      </w:pPr>
    </w:p>
    <w:p w:rsidR="00AC689D" w:rsidRPr="00F107B5" w:rsidRDefault="00AC689D" w:rsidP="00AC689D">
      <w:pPr>
        <w:pStyle w:val="NormalWeb"/>
        <w:tabs>
          <w:tab w:val="num" w:pos="900"/>
        </w:tabs>
        <w:spacing w:before="0" w:beforeAutospacing="0" w:after="0" w:afterAutospacing="0"/>
        <w:ind w:left="360"/>
        <w:jc w:val="both"/>
        <w:rPr>
          <w:rFonts w:ascii="Tahoma" w:hAnsi="Tahoma" w:cs="Tahoma"/>
          <w:sz w:val="20"/>
          <w:szCs w:val="20"/>
        </w:rPr>
      </w:pPr>
    </w:p>
    <w:p w:rsidR="00AC689D" w:rsidRDefault="00AC689D" w:rsidP="00AC689D">
      <w:pPr>
        <w:jc w:val="both"/>
        <w:rPr>
          <w:rFonts w:ascii="Tahoma" w:hAnsi="Tahoma" w:cs="Tahoma"/>
          <w:b/>
          <w:shadow/>
        </w:rPr>
      </w:pPr>
      <w:r w:rsidRPr="00F107B5">
        <w:rPr>
          <w:rFonts w:ascii="Tahoma" w:hAnsi="Tahoma" w:cs="Tahoma"/>
          <w:b/>
          <w:shadow/>
        </w:rPr>
        <w:t>FUNDAMENTACIÓN:</w:t>
      </w:r>
    </w:p>
    <w:p w:rsidR="00AC689D" w:rsidRDefault="00AC689D" w:rsidP="00AC689D">
      <w:pPr>
        <w:ind w:left="372"/>
        <w:jc w:val="both"/>
        <w:rPr>
          <w:rFonts w:ascii="Tahoma" w:hAnsi="Tahoma" w:cs="Tahoma"/>
        </w:rPr>
      </w:pPr>
    </w:p>
    <w:p w:rsidR="00AC689D" w:rsidRPr="00616E2F" w:rsidRDefault="00AC689D" w:rsidP="00AC689D">
      <w:pPr>
        <w:ind w:left="372"/>
        <w:jc w:val="both"/>
        <w:rPr>
          <w:rFonts w:ascii="Tahoma" w:hAnsi="Tahoma" w:cs="Tahoma"/>
        </w:rPr>
      </w:pPr>
    </w:p>
    <w:p w:rsidR="00AC689D" w:rsidRPr="00616E2F" w:rsidRDefault="00AC689D" w:rsidP="00AC689D">
      <w:pPr>
        <w:numPr>
          <w:ilvl w:val="0"/>
          <w:numId w:val="4"/>
        </w:numPr>
        <w:tabs>
          <w:tab w:val="clear" w:pos="720"/>
          <w:tab w:val="num" w:pos="454"/>
          <w:tab w:val="num" w:pos="900"/>
          <w:tab w:val="num" w:pos="1068"/>
        </w:tabs>
        <w:ind w:left="900" w:hanging="540"/>
        <w:jc w:val="both"/>
        <w:rPr>
          <w:rFonts w:ascii="Tahoma" w:hAnsi="Tahoma" w:cs="Tahoma"/>
          <w:lang w:val="es-MX"/>
        </w:rPr>
      </w:pPr>
      <w:r w:rsidRPr="00616E2F">
        <w:rPr>
          <w:rFonts w:ascii="Tahoma" w:hAnsi="Tahoma" w:cs="Tahoma"/>
          <w:lang w:val="es-MX"/>
        </w:rPr>
        <w:t xml:space="preserve">El presente caso está referido a la supuesta responsabilidad de la </w:t>
      </w:r>
      <w:r>
        <w:rPr>
          <w:rFonts w:ascii="Tahoma" w:hAnsi="Tahoma" w:cs="Tahoma"/>
          <w:lang w:val="es-PE"/>
        </w:rPr>
        <w:t>firma Repuestos y Servicios Generales “RESEGEN” del señor Frank Guillermo Ávila García</w:t>
      </w:r>
      <w:r w:rsidRPr="00616E2F">
        <w:rPr>
          <w:rFonts w:ascii="Tahoma" w:hAnsi="Tahoma" w:cs="Tahoma"/>
          <w:lang w:val="es-MX"/>
        </w:rPr>
        <w:t xml:space="preserve"> por la presentación de documentos falsos o inexactos durante la </w:t>
      </w:r>
      <w:r w:rsidRPr="00616E2F">
        <w:rPr>
          <w:rFonts w:ascii="Tahoma" w:hAnsi="Tahoma" w:cs="Tahoma"/>
          <w:lang w:val="es-PE"/>
        </w:rPr>
        <w:t xml:space="preserve">Adjudicación </w:t>
      </w:r>
      <w:r>
        <w:rPr>
          <w:rFonts w:ascii="Tahoma" w:hAnsi="Tahoma" w:cs="Tahoma"/>
          <w:lang w:val="es-PE"/>
        </w:rPr>
        <w:t xml:space="preserve">de Menor Cuantía </w:t>
      </w:r>
      <w:r w:rsidRPr="00616E2F">
        <w:rPr>
          <w:rFonts w:ascii="Tahoma" w:hAnsi="Tahoma" w:cs="Tahoma"/>
          <w:lang w:val="es-PE"/>
        </w:rPr>
        <w:t xml:space="preserve">N.º </w:t>
      </w:r>
      <w:r>
        <w:rPr>
          <w:rFonts w:ascii="Tahoma" w:hAnsi="Tahoma" w:cs="Tahoma"/>
          <w:lang w:val="es-PE"/>
        </w:rPr>
        <w:t>0050</w:t>
      </w:r>
      <w:r w:rsidRPr="00616E2F">
        <w:rPr>
          <w:rFonts w:ascii="Tahoma" w:hAnsi="Tahoma" w:cs="Tahoma"/>
          <w:lang w:val="es-PE"/>
        </w:rPr>
        <w:t>-2006-</w:t>
      </w:r>
      <w:r>
        <w:rPr>
          <w:rFonts w:ascii="Tahoma" w:hAnsi="Tahoma" w:cs="Tahoma"/>
          <w:lang w:val="es-PE"/>
        </w:rPr>
        <w:t>GR-LL-PECH-II Convocatoria</w:t>
      </w:r>
      <w:r w:rsidRPr="00616E2F">
        <w:rPr>
          <w:rFonts w:ascii="Tahoma" w:hAnsi="Tahoma" w:cs="Tahoma"/>
          <w:lang w:val="es-MX"/>
        </w:rPr>
        <w:t xml:space="preserve">, </w:t>
      </w:r>
      <w:r w:rsidRPr="00616E2F">
        <w:rPr>
          <w:rFonts w:ascii="Tahoma" w:hAnsi="Tahoma" w:cs="Tahoma"/>
        </w:rPr>
        <w:t>infracción tipificada en el numeral 9) del artículo 294 del Reglamento de la Ley de Contrataciones y Adquisiciones del Estado, aprobado por Decreto Supremo N.° 084-2004-PCM, en adelante el Reglamento, norma vigente durante la ocurrencia de los hechos imputados.</w:t>
      </w:r>
    </w:p>
    <w:p w:rsidR="00AC689D" w:rsidRPr="00616E2F" w:rsidRDefault="00AC689D" w:rsidP="00AC689D">
      <w:pPr>
        <w:tabs>
          <w:tab w:val="num" w:pos="1068"/>
        </w:tabs>
        <w:ind w:left="360"/>
        <w:jc w:val="both"/>
        <w:rPr>
          <w:rFonts w:ascii="Tahoma" w:hAnsi="Tahoma" w:cs="Tahoma"/>
          <w:lang w:val="es-MX"/>
        </w:rPr>
      </w:pPr>
    </w:p>
    <w:p w:rsidR="00AC689D" w:rsidRPr="00616E2F" w:rsidRDefault="00AC689D" w:rsidP="00AC689D">
      <w:pPr>
        <w:numPr>
          <w:ilvl w:val="0"/>
          <w:numId w:val="4"/>
        </w:numPr>
        <w:tabs>
          <w:tab w:val="clear" w:pos="720"/>
          <w:tab w:val="num" w:pos="900"/>
          <w:tab w:val="num" w:pos="1068"/>
        </w:tabs>
        <w:ind w:left="900" w:hanging="528"/>
        <w:jc w:val="both"/>
        <w:rPr>
          <w:rFonts w:ascii="Tahoma" w:hAnsi="Tahoma" w:cs="Tahoma"/>
        </w:rPr>
      </w:pPr>
      <w:r w:rsidRPr="00616E2F">
        <w:rPr>
          <w:rFonts w:ascii="Tahoma" w:hAnsi="Tahoma" w:cs="Tahoma"/>
          <w:lang w:val="es-MX"/>
        </w:rPr>
        <w:lastRenderedPageBreak/>
        <w:t xml:space="preserve">Para </w:t>
      </w:r>
      <w:r w:rsidRPr="00616E2F">
        <w:rPr>
          <w:rFonts w:ascii="Tahoma" w:hAnsi="Tahoma" w:cs="Tahoma"/>
        </w:rPr>
        <w:t xml:space="preserve">la configuración de los supuestos de hecho de la norma que contiene la infracción imputada se requiere acreditar la falsedad o inexactitud del documento cuestionado; es decir, que éste no haya sido expedido por el órgano emisor correspondiente, que siendo válidamente expedido haya sido adulterado en su contenido, o que éste sea incongruente con la realidad, produciendo un falseamiento de ésta, a través del quebrantamiento de los </w:t>
      </w:r>
      <w:r w:rsidRPr="00616E2F">
        <w:rPr>
          <w:rFonts w:ascii="Tahoma" w:hAnsi="Tahoma" w:cs="Tahoma"/>
          <w:i/>
        </w:rPr>
        <w:t>Principios de Moralidad</w:t>
      </w:r>
      <w:r w:rsidRPr="00616E2F">
        <w:rPr>
          <w:rFonts w:ascii="Tahoma" w:hAnsi="Tahoma" w:cs="Tahoma"/>
        </w:rPr>
        <w:t xml:space="preserve"> y de </w:t>
      </w:r>
      <w:r w:rsidRPr="00616E2F">
        <w:rPr>
          <w:rFonts w:ascii="Tahoma" w:hAnsi="Tahoma" w:cs="Tahoma"/>
          <w:i/>
        </w:rPr>
        <w:t>Presunción de Veracidad</w:t>
      </w:r>
      <w:r w:rsidRPr="00616E2F">
        <w:rPr>
          <w:rFonts w:ascii="Tahoma" w:hAnsi="Tahoma" w:cs="Tahoma"/>
        </w:rPr>
        <w:t>, de conformidad con lo establecido en el inciso 1) del artículo 3 del Texto Único Ordenado de la Ley de Contrataciones y Adquisiciones del Estado, aprobado por Decreto Supremo N.° 083-2004-PCM, en lo sucesivo la Ley, en concordancia con lo dispuesto en el numeral 1.7 del Artículo IV del Título Preliminar y el numeral 42.1 del artículo 42 de la Ley del Procedimiento Administrativo General, Ley N.° 27444.</w:t>
      </w:r>
    </w:p>
    <w:p w:rsidR="00AC689D" w:rsidRPr="00616E2F" w:rsidRDefault="00AC689D" w:rsidP="00AC689D">
      <w:pPr>
        <w:ind w:left="360"/>
        <w:jc w:val="both"/>
        <w:rPr>
          <w:rFonts w:ascii="Tahoma" w:hAnsi="Tahoma" w:cs="Tahoma"/>
        </w:rPr>
      </w:pPr>
    </w:p>
    <w:p w:rsidR="00AC689D" w:rsidRPr="00616E2F" w:rsidRDefault="00AC689D" w:rsidP="00AC689D">
      <w:pPr>
        <w:numPr>
          <w:ilvl w:val="0"/>
          <w:numId w:val="4"/>
        </w:numPr>
        <w:tabs>
          <w:tab w:val="clear" w:pos="720"/>
          <w:tab w:val="num" w:pos="900"/>
          <w:tab w:val="num" w:pos="1068"/>
        </w:tabs>
        <w:ind w:left="900" w:hanging="528"/>
        <w:jc w:val="both"/>
        <w:rPr>
          <w:rFonts w:ascii="Tahoma" w:hAnsi="Tahoma" w:cs="Tahoma"/>
        </w:rPr>
      </w:pPr>
      <w:r w:rsidRPr="00616E2F">
        <w:rPr>
          <w:rFonts w:ascii="Tahoma" w:hAnsi="Tahoma" w:cs="Tahoma"/>
        </w:rPr>
        <w:t>En el caso que nos ocupa, la imputación contra el Postor se refiere a la supuesta</w:t>
      </w:r>
      <w:r>
        <w:rPr>
          <w:rFonts w:ascii="Tahoma" w:hAnsi="Tahoma" w:cs="Tahoma"/>
        </w:rPr>
        <w:t xml:space="preserve"> responsabilidad por la presentación de documentos falsos, consistentes en los siguientes </w:t>
      </w:r>
      <w:r w:rsidRPr="00616E2F">
        <w:rPr>
          <w:rFonts w:ascii="Tahoma" w:hAnsi="Tahoma" w:cs="Tahoma"/>
        </w:rPr>
        <w:t xml:space="preserve"> documentos:</w:t>
      </w:r>
    </w:p>
    <w:p w:rsidR="00AC689D" w:rsidRPr="00616E2F" w:rsidRDefault="00AC689D" w:rsidP="00AC689D">
      <w:pPr>
        <w:ind w:left="372"/>
        <w:jc w:val="both"/>
        <w:rPr>
          <w:rFonts w:ascii="Tahoma" w:hAnsi="Tahoma" w:cs="Tahoma"/>
        </w:rPr>
      </w:pPr>
    </w:p>
    <w:p w:rsidR="00AC689D" w:rsidRDefault="00AC689D" w:rsidP="00AC689D">
      <w:pPr>
        <w:pStyle w:val="NormalWeb"/>
        <w:numPr>
          <w:ilvl w:val="0"/>
          <w:numId w:val="5"/>
        </w:numPr>
        <w:spacing w:before="0" w:beforeAutospacing="0" w:after="0" w:afterAutospacing="0"/>
        <w:jc w:val="both"/>
        <w:rPr>
          <w:rFonts w:ascii="Tahoma" w:hAnsi="Tahoma" w:cs="Tahoma"/>
          <w:sz w:val="20"/>
          <w:szCs w:val="20"/>
        </w:rPr>
      </w:pPr>
      <w:r>
        <w:rPr>
          <w:rFonts w:ascii="Tahoma" w:hAnsi="Tahoma" w:cs="Tahoma"/>
          <w:sz w:val="20"/>
          <w:szCs w:val="20"/>
        </w:rPr>
        <w:t>Factura N</w:t>
      </w:r>
      <w:proofErr w:type="gramStart"/>
      <w:r>
        <w:rPr>
          <w:rFonts w:ascii="Tahoma" w:hAnsi="Tahoma" w:cs="Tahoma"/>
          <w:sz w:val="20"/>
          <w:szCs w:val="20"/>
        </w:rPr>
        <w:t>.º</w:t>
      </w:r>
      <w:proofErr w:type="gramEnd"/>
      <w:r>
        <w:rPr>
          <w:rFonts w:ascii="Tahoma" w:hAnsi="Tahoma" w:cs="Tahoma"/>
          <w:sz w:val="20"/>
          <w:szCs w:val="20"/>
        </w:rPr>
        <w:t xml:space="preserve"> 001-0000020 girada a nombre de la Brigada de Infantería 32 del </w:t>
      </w:r>
      <w:r w:rsidRPr="000B2DD5">
        <w:rPr>
          <w:rFonts w:ascii="Tahoma" w:hAnsi="Tahoma" w:cs="Tahoma"/>
          <w:sz w:val="20"/>
          <w:szCs w:val="20"/>
        </w:rPr>
        <w:t xml:space="preserve">Ejército </w:t>
      </w:r>
      <w:r>
        <w:rPr>
          <w:rFonts w:ascii="Tahoma" w:hAnsi="Tahoma" w:cs="Tahoma"/>
          <w:sz w:val="20"/>
          <w:szCs w:val="20"/>
        </w:rPr>
        <w:t>Peruano de fecha 24 de octubre de 2005 por el importe de S/. 2,439.00 Nuevos Soles.</w:t>
      </w:r>
    </w:p>
    <w:p w:rsidR="00AC689D" w:rsidRPr="000B2DD5" w:rsidRDefault="00AC689D" w:rsidP="00AC689D">
      <w:pPr>
        <w:pStyle w:val="NormalWeb"/>
        <w:numPr>
          <w:ilvl w:val="0"/>
          <w:numId w:val="5"/>
        </w:numPr>
        <w:spacing w:before="0" w:beforeAutospacing="0" w:after="0" w:afterAutospacing="0"/>
        <w:jc w:val="both"/>
        <w:rPr>
          <w:rFonts w:ascii="Tahoma" w:hAnsi="Tahoma" w:cs="Tahoma"/>
          <w:sz w:val="20"/>
          <w:szCs w:val="20"/>
        </w:rPr>
      </w:pPr>
      <w:r w:rsidRPr="000B2DD5">
        <w:rPr>
          <w:rFonts w:ascii="Tahoma" w:hAnsi="Tahoma" w:cs="Tahoma"/>
          <w:sz w:val="20"/>
          <w:szCs w:val="20"/>
        </w:rPr>
        <w:t>Factura N</w:t>
      </w:r>
      <w:proofErr w:type="gramStart"/>
      <w:r w:rsidRPr="000B2DD5">
        <w:rPr>
          <w:rFonts w:ascii="Tahoma" w:hAnsi="Tahoma" w:cs="Tahoma"/>
          <w:sz w:val="20"/>
          <w:szCs w:val="20"/>
        </w:rPr>
        <w:t>.º</w:t>
      </w:r>
      <w:proofErr w:type="gramEnd"/>
      <w:r w:rsidRPr="000B2DD5">
        <w:rPr>
          <w:rFonts w:ascii="Tahoma" w:hAnsi="Tahoma" w:cs="Tahoma"/>
          <w:sz w:val="20"/>
          <w:szCs w:val="20"/>
        </w:rPr>
        <w:t xml:space="preserve"> 001-0000025 girada a nombre de la Brigada de Infantería 32 del Ejército Peruano, de fecha 27 de octubre de 2005 por el importe de S/. 1,883.00 Nuevos Soles.</w:t>
      </w:r>
    </w:p>
    <w:p w:rsidR="00AC689D" w:rsidRDefault="00AC689D" w:rsidP="00AC689D">
      <w:pPr>
        <w:pStyle w:val="NormalWeb"/>
        <w:numPr>
          <w:ilvl w:val="0"/>
          <w:numId w:val="5"/>
        </w:numPr>
        <w:spacing w:before="0" w:beforeAutospacing="0" w:after="0" w:afterAutospacing="0"/>
        <w:jc w:val="both"/>
        <w:rPr>
          <w:rFonts w:ascii="Tahoma" w:hAnsi="Tahoma" w:cs="Tahoma"/>
          <w:sz w:val="20"/>
          <w:szCs w:val="20"/>
        </w:rPr>
      </w:pPr>
      <w:r w:rsidRPr="000B2DD5">
        <w:rPr>
          <w:rFonts w:ascii="Tahoma" w:hAnsi="Tahoma" w:cs="Tahoma"/>
          <w:sz w:val="20"/>
          <w:szCs w:val="20"/>
        </w:rPr>
        <w:t>Factura N</w:t>
      </w:r>
      <w:proofErr w:type="gramStart"/>
      <w:r w:rsidRPr="000B2DD5">
        <w:rPr>
          <w:rFonts w:ascii="Tahoma" w:hAnsi="Tahoma" w:cs="Tahoma"/>
          <w:sz w:val="20"/>
          <w:szCs w:val="20"/>
        </w:rPr>
        <w:t>.º</w:t>
      </w:r>
      <w:proofErr w:type="gramEnd"/>
      <w:r w:rsidRPr="000B2DD5">
        <w:rPr>
          <w:rFonts w:ascii="Tahoma" w:hAnsi="Tahoma" w:cs="Tahoma"/>
          <w:sz w:val="20"/>
          <w:szCs w:val="20"/>
        </w:rPr>
        <w:t xml:space="preserve"> 001-00000</w:t>
      </w:r>
      <w:r>
        <w:rPr>
          <w:rFonts w:ascii="Tahoma" w:hAnsi="Tahoma" w:cs="Tahoma"/>
          <w:sz w:val="20"/>
          <w:szCs w:val="20"/>
        </w:rPr>
        <w:t>31</w:t>
      </w:r>
      <w:r w:rsidRPr="000B2DD5">
        <w:rPr>
          <w:rFonts w:ascii="Tahoma" w:hAnsi="Tahoma" w:cs="Tahoma"/>
          <w:sz w:val="20"/>
          <w:szCs w:val="20"/>
        </w:rPr>
        <w:t xml:space="preserve"> girada a nombre de la Brigada de Infantería 32 del Ejército Peruano, de fecha </w:t>
      </w:r>
      <w:r>
        <w:rPr>
          <w:rFonts w:ascii="Tahoma" w:hAnsi="Tahoma" w:cs="Tahoma"/>
          <w:sz w:val="20"/>
          <w:szCs w:val="20"/>
        </w:rPr>
        <w:t>31</w:t>
      </w:r>
      <w:r w:rsidRPr="000B2DD5">
        <w:rPr>
          <w:rFonts w:ascii="Tahoma" w:hAnsi="Tahoma" w:cs="Tahoma"/>
          <w:sz w:val="20"/>
          <w:szCs w:val="20"/>
        </w:rPr>
        <w:t xml:space="preserve"> de octubre de 2005 por el importe de S/. 1,</w:t>
      </w:r>
      <w:r>
        <w:rPr>
          <w:rFonts w:ascii="Tahoma" w:hAnsi="Tahoma" w:cs="Tahoma"/>
          <w:sz w:val="20"/>
          <w:szCs w:val="20"/>
        </w:rPr>
        <w:t>835</w:t>
      </w:r>
      <w:r w:rsidRPr="000B2DD5">
        <w:rPr>
          <w:rFonts w:ascii="Tahoma" w:hAnsi="Tahoma" w:cs="Tahoma"/>
          <w:sz w:val="20"/>
          <w:szCs w:val="20"/>
        </w:rPr>
        <w:t>.00 Nuevos Soles.</w:t>
      </w:r>
    </w:p>
    <w:p w:rsidR="00AC689D" w:rsidRPr="000B2DD5" w:rsidRDefault="00AC689D" w:rsidP="00AC689D">
      <w:pPr>
        <w:pStyle w:val="NormalWeb"/>
        <w:spacing w:before="0" w:beforeAutospacing="0" w:after="0" w:afterAutospacing="0"/>
        <w:ind w:left="1260"/>
        <w:jc w:val="both"/>
        <w:rPr>
          <w:rFonts w:ascii="Tahoma" w:hAnsi="Tahoma" w:cs="Tahoma"/>
          <w:sz w:val="20"/>
          <w:szCs w:val="20"/>
        </w:rPr>
      </w:pPr>
    </w:p>
    <w:p w:rsidR="00AC689D" w:rsidRDefault="00AC689D" w:rsidP="00AC689D">
      <w:pPr>
        <w:numPr>
          <w:ilvl w:val="0"/>
          <w:numId w:val="4"/>
        </w:numPr>
        <w:tabs>
          <w:tab w:val="clear" w:pos="720"/>
          <w:tab w:val="num" w:pos="900"/>
          <w:tab w:val="num" w:pos="1068"/>
        </w:tabs>
        <w:ind w:left="900" w:hanging="528"/>
        <w:jc w:val="both"/>
        <w:rPr>
          <w:rFonts w:ascii="Tahoma" w:hAnsi="Tahoma" w:cs="Tahoma"/>
        </w:rPr>
      </w:pPr>
      <w:r w:rsidRPr="00616E2F">
        <w:rPr>
          <w:rFonts w:ascii="Tahoma" w:hAnsi="Tahoma" w:cs="Tahoma"/>
        </w:rPr>
        <w:t xml:space="preserve">En aplicación del </w:t>
      </w:r>
      <w:r w:rsidRPr="00616E2F">
        <w:rPr>
          <w:rFonts w:ascii="Tahoma" w:hAnsi="Tahoma" w:cs="Tahoma"/>
          <w:i/>
        </w:rPr>
        <w:t xml:space="preserve">Principio de Privilegio de Controles Posteriores, </w:t>
      </w:r>
      <w:r w:rsidRPr="00616E2F">
        <w:rPr>
          <w:rFonts w:ascii="Tahoma" w:hAnsi="Tahoma" w:cs="Tahoma"/>
        </w:rPr>
        <w:t>contemplado en el numeral 1.16 del Artículo IV del Título Preliminar de la Ley N.° 27444,  la</w:t>
      </w:r>
      <w:r>
        <w:rPr>
          <w:rFonts w:ascii="Tahoma" w:hAnsi="Tahoma" w:cs="Tahoma"/>
        </w:rPr>
        <w:t xml:space="preserve"> Entidad solicitó a la </w:t>
      </w:r>
      <w:r w:rsidRPr="000B2DD5">
        <w:rPr>
          <w:rFonts w:ascii="Tahoma" w:hAnsi="Tahoma" w:cs="Tahoma"/>
        </w:rPr>
        <w:t>Brigada de Infantería 32 del Ejército Peruano</w:t>
      </w:r>
      <w:r>
        <w:rPr>
          <w:rFonts w:ascii="Tahoma" w:hAnsi="Tahoma" w:cs="Tahoma"/>
        </w:rPr>
        <w:t>, supuesta beneficiaria del servicio prestado, informe</w:t>
      </w:r>
      <w:r w:rsidRPr="00616E2F">
        <w:rPr>
          <w:rFonts w:ascii="Tahoma" w:hAnsi="Tahoma" w:cs="Tahoma"/>
        </w:rPr>
        <w:t xml:space="preserve"> si el Postor </w:t>
      </w:r>
      <w:r>
        <w:rPr>
          <w:rFonts w:ascii="Tahoma" w:hAnsi="Tahoma" w:cs="Tahoma"/>
        </w:rPr>
        <w:t>le suministró los bines detallados en los documentos cuestionados.</w:t>
      </w:r>
    </w:p>
    <w:p w:rsidR="00AC689D" w:rsidRDefault="00AC689D" w:rsidP="00AC689D">
      <w:pPr>
        <w:ind w:left="372"/>
        <w:jc w:val="both"/>
        <w:rPr>
          <w:rFonts w:ascii="Tahoma" w:hAnsi="Tahoma" w:cs="Tahoma"/>
        </w:rPr>
      </w:pPr>
    </w:p>
    <w:p w:rsidR="00AC689D" w:rsidRDefault="00AC689D" w:rsidP="00AC689D">
      <w:pPr>
        <w:numPr>
          <w:ilvl w:val="0"/>
          <w:numId w:val="4"/>
        </w:numPr>
        <w:tabs>
          <w:tab w:val="clear" w:pos="720"/>
          <w:tab w:val="num" w:pos="900"/>
          <w:tab w:val="num" w:pos="1068"/>
        </w:tabs>
        <w:ind w:left="900" w:hanging="528"/>
        <w:jc w:val="both"/>
        <w:rPr>
          <w:rFonts w:ascii="Tahoma" w:hAnsi="Tahoma" w:cs="Tahoma"/>
        </w:rPr>
      </w:pPr>
      <w:r w:rsidRPr="005A3B67">
        <w:rPr>
          <w:rFonts w:ascii="Tahoma" w:hAnsi="Tahoma" w:cs="Tahoma"/>
        </w:rPr>
        <w:t>En atención a dicho requerimiento, con Oficio N</w:t>
      </w:r>
      <w:proofErr w:type="gramStart"/>
      <w:r w:rsidRPr="005A3B67">
        <w:rPr>
          <w:rFonts w:ascii="Tahoma" w:hAnsi="Tahoma" w:cs="Tahoma"/>
        </w:rPr>
        <w:t>.º</w:t>
      </w:r>
      <w:proofErr w:type="gramEnd"/>
      <w:r w:rsidRPr="005A3B67">
        <w:rPr>
          <w:rFonts w:ascii="Tahoma" w:hAnsi="Tahoma" w:cs="Tahoma"/>
        </w:rPr>
        <w:t xml:space="preserve"> 708 SETES/CG 32 Brig. </w:t>
      </w:r>
      <w:proofErr w:type="spellStart"/>
      <w:r w:rsidRPr="005A3B67">
        <w:rPr>
          <w:rFonts w:ascii="Tahoma" w:hAnsi="Tahoma" w:cs="Tahoma"/>
        </w:rPr>
        <w:t>Inf</w:t>
      </w:r>
      <w:proofErr w:type="spellEnd"/>
      <w:r w:rsidRPr="005A3B67">
        <w:rPr>
          <w:rFonts w:ascii="Tahoma" w:hAnsi="Tahoma" w:cs="Tahoma"/>
        </w:rPr>
        <w:t xml:space="preserve">./ Trujillo de fecha 20 de setiembre de 2006, el Comandante General de la Brigada de Infantería 32 del Ejército Peruano indicó que las facturas </w:t>
      </w:r>
      <w:proofErr w:type="spellStart"/>
      <w:r w:rsidRPr="005A3B67">
        <w:rPr>
          <w:rFonts w:ascii="Tahoma" w:hAnsi="Tahoma" w:cs="Tahoma"/>
        </w:rPr>
        <w:t>Nros</w:t>
      </w:r>
      <w:proofErr w:type="spellEnd"/>
      <w:r w:rsidRPr="005A3B67">
        <w:rPr>
          <w:rFonts w:ascii="Tahoma" w:hAnsi="Tahoma" w:cs="Tahoma"/>
        </w:rPr>
        <w:t xml:space="preserve"> 001-0000020 y 001-0000031, con fechas 24 y 31 de octubre de 2005 y por los importes de S/. 2,439.00 y S/. 1,883.00 Nuevos Soles respectivamente</w:t>
      </w:r>
      <w:r>
        <w:rPr>
          <w:rFonts w:ascii="Tahoma" w:hAnsi="Tahoma" w:cs="Tahoma"/>
        </w:rPr>
        <w:t>,</w:t>
      </w:r>
      <w:r w:rsidRPr="005A3B67">
        <w:rPr>
          <w:rFonts w:ascii="Tahoma" w:hAnsi="Tahoma" w:cs="Tahoma"/>
        </w:rPr>
        <w:t xml:space="preserve"> no se encuentran registrados en sus archivos.</w:t>
      </w:r>
    </w:p>
    <w:p w:rsidR="00AC689D" w:rsidRDefault="00AC689D" w:rsidP="00AC689D">
      <w:pPr>
        <w:jc w:val="both"/>
        <w:rPr>
          <w:rFonts w:ascii="Tahoma" w:hAnsi="Tahoma" w:cs="Tahoma"/>
        </w:rPr>
      </w:pPr>
    </w:p>
    <w:p w:rsidR="00AC689D" w:rsidRPr="0040723D" w:rsidRDefault="00AC689D" w:rsidP="00AC689D">
      <w:pPr>
        <w:numPr>
          <w:ilvl w:val="0"/>
          <w:numId w:val="4"/>
        </w:numPr>
        <w:tabs>
          <w:tab w:val="clear" w:pos="720"/>
          <w:tab w:val="num" w:pos="900"/>
          <w:tab w:val="num" w:pos="1068"/>
        </w:tabs>
        <w:ind w:left="900" w:hanging="528"/>
        <w:jc w:val="both"/>
        <w:rPr>
          <w:rFonts w:ascii="Tahoma" w:hAnsi="Tahoma" w:cs="Tahoma"/>
          <w:i/>
        </w:rPr>
      </w:pPr>
      <w:r>
        <w:rPr>
          <w:rFonts w:ascii="Tahoma" w:hAnsi="Tahoma" w:cs="Tahoma"/>
        </w:rPr>
        <w:t>Respecto al otro documento</w:t>
      </w:r>
      <w:r w:rsidRPr="00901652">
        <w:rPr>
          <w:rFonts w:ascii="Tahoma" w:hAnsi="Tahoma" w:cs="Tahoma"/>
        </w:rPr>
        <w:t xml:space="preserve"> cuestionado</w:t>
      </w:r>
      <w:r>
        <w:rPr>
          <w:rFonts w:ascii="Tahoma" w:hAnsi="Tahoma" w:cs="Tahoma"/>
        </w:rPr>
        <w:t>,</w:t>
      </w:r>
      <w:r w:rsidRPr="00901652">
        <w:rPr>
          <w:rFonts w:ascii="Tahoma" w:hAnsi="Tahoma" w:cs="Tahoma"/>
        </w:rPr>
        <w:t xml:space="preserve"> Factura N</w:t>
      </w:r>
      <w:proofErr w:type="gramStart"/>
      <w:r w:rsidRPr="00901652">
        <w:rPr>
          <w:rFonts w:ascii="Tahoma" w:hAnsi="Tahoma" w:cs="Tahoma"/>
        </w:rPr>
        <w:t>.º</w:t>
      </w:r>
      <w:proofErr w:type="gramEnd"/>
      <w:r w:rsidRPr="00901652">
        <w:rPr>
          <w:rFonts w:ascii="Tahoma" w:hAnsi="Tahoma" w:cs="Tahoma"/>
        </w:rPr>
        <w:t xml:space="preserve"> 001-0000025 por el importe de S/. 1, 883.00 Nuevos Soles</w:t>
      </w:r>
      <w:r>
        <w:rPr>
          <w:rFonts w:ascii="Tahoma" w:hAnsi="Tahoma" w:cs="Tahoma"/>
        </w:rPr>
        <w:t>,</w:t>
      </w:r>
      <w:r w:rsidRPr="00901652">
        <w:rPr>
          <w:rFonts w:ascii="Tahoma" w:hAnsi="Tahoma" w:cs="Tahoma"/>
        </w:rPr>
        <w:t xml:space="preserve"> cuya fotocopia figura a nombre de la UGEL BOLIVAR,</w:t>
      </w:r>
      <w:r>
        <w:rPr>
          <w:rFonts w:ascii="Tahoma" w:hAnsi="Tahoma" w:cs="Tahoma"/>
        </w:rPr>
        <w:t xml:space="preserve"> debe indicarse que</w:t>
      </w:r>
      <w:r w:rsidRPr="00901652">
        <w:rPr>
          <w:rFonts w:ascii="Tahoma" w:hAnsi="Tahoma" w:cs="Tahoma"/>
        </w:rPr>
        <w:t xml:space="preserve"> existe en el archivo de </w:t>
      </w:r>
      <w:r>
        <w:rPr>
          <w:rFonts w:ascii="Tahoma" w:hAnsi="Tahoma" w:cs="Tahoma"/>
        </w:rPr>
        <w:t xml:space="preserve">la oficina de </w:t>
      </w:r>
      <w:r w:rsidRPr="00901652">
        <w:rPr>
          <w:rFonts w:ascii="Tahoma" w:hAnsi="Tahoma" w:cs="Tahoma"/>
        </w:rPr>
        <w:t xml:space="preserve">Tesorería </w:t>
      </w:r>
      <w:r>
        <w:rPr>
          <w:rFonts w:ascii="Tahoma" w:hAnsi="Tahoma" w:cs="Tahoma"/>
        </w:rPr>
        <w:t>de la Entidad</w:t>
      </w:r>
      <w:r w:rsidRPr="00901652">
        <w:rPr>
          <w:rFonts w:ascii="Tahoma" w:hAnsi="Tahoma" w:cs="Tahoma"/>
        </w:rPr>
        <w:t xml:space="preserve"> </w:t>
      </w:r>
      <w:r>
        <w:rPr>
          <w:rFonts w:ascii="Tahoma" w:hAnsi="Tahoma" w:cs="Tahoma"/>
        </w:rPr>
        <w:t xml:space="preserve">una factura con el mismo número, </w:t>
      </w:r>
      <w:r w:rsidRPr="00901652">
        <w:rPr>
          <w:rFonts w:ascii="Tahoma" w:hAnsi="Tahoma" w:cs="Tahoma"/>
        </w:rPr>
        <w:t xml:space="preserve">por el importe de S/. 1323.00 </w:t>
      </w:r>
      <w:r>
        <w:rPr>
          <w:rFonts w:ascii="Tahoma" w:hAnsi="Tahoma" w:cs="Tahoma"/>
        </w:rPr>
        <w:t xml:space="preserve">Nuevos Soles, </w:t>
      </w:r>
      <w:r w:rsidRPr="00901652">
        <w:rPr>
          <w:rFonts w:ascii="Tahoma" w:hAnsi="Tahoma" w:cs="Tahoma"/>
        </w:rPr>
        <w:t>tramitada con la Orden de Compra N.º B100811 de fecha 25 de octubre de 2005 y cancelada mediante el comprobante de pago N.º RDR3157</w:t>
      </w:r>
      <w:r>
        <w:rPr>
          <w:rFonts w:ascii="Tahoma" w:hAnsi="Tahoma" w:cs="Tahoma"/>
        </w:rPr>
        <w:t xml:space="preserve"> de fecha 28 de octubre de 2005, situación que verifica la  falsedad del documento presentado por el Postor como parte de su propuesta técnica, al haberse constatado su evidente discrepancia con los hechos realmente realizados ante la Entidad,</w:t>
      </w:r>
      <w:r w:rsidRPr="00072D1A">
        <w:rPr>
          <w:rFonts w:ascii="Tahoma" w:hAnsi="Tahoma" w:cs="Tahoma"/>
        </w:rPr>
        <w:t xml:space="preserve"> </w:t>
      </w:r>
      <w:r>
        <w:rPr>
          <w:rFonts w:ascii="Tahoma" w:hAnsi="Tahoma" w:cs="Tahoma"/>
        </w:rPr>
        <w:t xml:space="preserve">al cotejar dicho documento con la factura obrante en su registros, </w:t>
      </w:r>
      <w:r>
        <w:rPr>
          <w:rFonts w:ascii="Tahoma" w:hAnsi="Tahoma" w:cs="Tahoma"/>
          <w:lang w:val="es-PE"/>
        </w:rPr>
        <w:t>siendo</w:t>
      </w:r>
      <w:r w:rsidRPr="00616E2F">
        <w:rPr>
          <w:rFonts w:ascii="Tahoma" w:hAnsi="Tahoma" w:cs="Tahoma"/>
          <w:lang w:val="es-PE"/>
        </w:rPr>
        <w:t xml:space="preserve"> este hecho prueba suficiente que permite s</w:t>
      </w:r>
      <w:r>
        <w:rPr>
          <w:rFonts w:ascii="Tahoma" w:hAnsi="Tahoma" w:cs="Tahoma"/>
          <w:lang w:val="es-PE"/>
        </w:rPr>
        <w:t>ostener la responsabilidad del Postor en presentar documentación no concordante con la realidad, configurándose de esta manera</w:t>
      </w:r>
      <w:r w:rsidRPr="00072D1A">
        <w:rPr>
          <w:rFonts w:ascii="Tahoma" w:hAnsi="Tahoma" w:cs="Tahoma"/>
          <w:lang w:val="es-PE"/>
        </w:rPr>
        <w:t xml:space="preserve"> </w:t>
      </w:r>
      <w:r>
        <w:rPr>
          <w:rFonts w:ascii="Tahoma" w:hAnsi="Tahoma" w:cs="Tahoma"/>
          <w:lang w:val="es-PE"/>
        </w:rPr>
        <w:t>la causal invocada como sancionable.</w:t>
      </w:r>
    </w:p>
    <w:p w:rsidR="00AC689D" w:rsidRDefault="00AC689D" w:rsidP="00AC689D">
      <w:pPr>
        <w:jc w:val="both"/>
        <w:rPr>
          <w:rFonts w:ascii="Tahoma" w:hAnsi="Tahoma" w:cs="Tahoma"/>
          <w:i/>
        </w:rPr>
      </w:pPr>
    </w:p>
    <w:p w:rsidR="00AC689D" w:rsidRPr="008D61B5" w:rsidRDefault="00AC689D" w:rsidP="00AC689D">
      <w:pPr>
        <w:numPr>
          <w:ilvl w:val="0"/>
          <w:numId w:val="4"/>
        </w:numPr>
        <w:tabs>
          <w:tab w:val="clear" w:pos="720"/>
          <w:tab w:val="num" w:pos="900"/>
          <w:tab w:val="num" w:pos="1068"/>
        </w:tabs>
        <w:ind w:left="900" w:hanging="528"/>
        <w:jc w:val="both"/>
        <w:rPr>
          <w:rFonts w:ascii="Tahoma" w:hAnsi="Tahoma" w:cs="Tahoma"/>
          <w:i/>
        </w:rPr>
      </w:pPr>
      <w:r w:rsidRPr="00616E2F">
        <w:rPr>
          <w:rFonts w:ascii="Tahoma" w:hAnsi="Tahoma" w:cs="Tahoma"/>
        </w:rPr>
        <w:t>En ese orden de ideas</w:t>
      </w:r>
      <w:r>
        <w:rPr>
          <w:rFonts w:ascii="Tahoma" w:hAnsi="Tahoma" w:cs="Tahoma"/>
        </w:rPr>
        <w:t>,</w:t>
      </w:r>
      <w:r w:rsidRPr="00616E2F">
        <w:rPr>
          <w:rFonts w:ascii="Tahoma" w:hAnsi="Tahoma" w:cs="Tahoma"/>
        </w:rPr>
        <w:t xml:space="preserve"> </w:t>
      </w:r>
      <w:r w:rsidRPr="00616E2F">
        <w:rPr>
          <w:rFonts w:ascii="Tahoma" w:hAnsi="Tahoma" w:cs="Tahoma"/>
          <w:lang w:val="es-PE"/>
        </w:rPr>
        <w:t>éste Colegiado concluye que el</w:t>
      </w:r>
      <w:r>
        <w:rPr>
          <w:rFonts w:ascii="Tahoma" w:hAnsi="Tahoma" w:cs="Tahoma"/>
          <w:lang w:val="es-PE"/>
        </w:rPr>
        <w:t xml:space="preserve"> Postor ha presentado documentación falsa </w:t>
      </w:r>
      <w:r w:rsidRPr="00616E2F">
        <w:rPr>
          <w:rFonts w:ascii="Tahoma" w:hAnsi="Tahoma" w:cs="Tahoma"/>
          <w:lang w:val="es-PE"/>
        </w:rPr>
        <w:t>ante la Entidad, infracción tipificada en el numeral 9) d</w:t>
      </w:r>
      <w:r>
        <w:rPr>
          <w:rFonts w:ascii="Tahoma" w:hAnsi="Tahoma" w:cs="Tahoma"/>
          <w:lang w:val="es-PE"/>
        </w:rPr>
        <w:t xml:space="preserve">el artículo 294 del Reglamento, </w:t>
      </w:r>
      <w:r w:rsidRPr="00616E2F">
        <w:rPr>
          <w:rFonts w:ascii="Tahoma" w:hAnsi="Tahoma" w:cs="Tahoma"/>
        </w:rPr>
        <w:t>el cual dispone que debe imponerse sanción de inhabilitación para contratar con el estado por un periodo no menor de tres (3) meses ni mayor de un (1) año.</w:t>
      </w:r>
    </w:p>
    <w:p w:rsidR="00AC689D" w:rsidRDefault="00AC689D" w:rsidP="00AC689D">
      <w:pPr>
        <w:jc w:val="both"/>
        <w:rPr>
          <w:rFonts w:ascii="Tahoma" w:hAnsi="Tahoma" w:cs="Tahoma"/>
          <w:i/>
        </w:rPr>
      </w:pPr>
    </w:p>
    <w:p w:rsidR="00AC689D" w:rsidRPr="00FA20A2" w:rsidRDefault="00AC689D" w:rsidP="00AC689D">
      <w:pPr>
        <w:numPr>
          <w:ilvl w:val="0"/>
          <w:numId w:val="4"/>
        </w:numPr>
        <w:tabs>
          <w:tab w:val="clear" w:pos="720"/>
          <w:tab w:val="num" w:pos="900"/>
          <w:tab w:val="num" w:pos="1068"/>
        </w:tabs>
        <w:ind w:left="900" w:hanging="528"/>
        <w:jc w:val="both"/>
        <w:rPr>
          <w:rFonts w:ascii="Tahoma" w:hAnsi="Tahoma" w:cs="Tahoma"/>
          <w:i/>
        </w:rPr>
      </w:pPr>
      <w:r w:rsidRPr="00616E2F">
        <w:rPr>
          <w:rFonts w:ascii="Tahoma" w:hAnsi="Tahoma" w:cs="Tahoma"/>
        </w:rPr>
        <w:lastRenderedPageBreak/>
        <w:t>En este sentido, en cuanto a la graduación de la sanción imponible, debe tenerse en cuenta que entre los factores previstos en el Principio de Razonabilidad</w:t>
      </w:r>
      <w:r w:rsidRPr="00616E2F">
        <w:rPr>
          <w:rStyle w:val="Refdenotaalpie"/>
          <w:rFonts w:ascii="Tahoma" w:hAnsi="Tahoma" w:cs="Tahoma"/>
        </w:rPr>
        <w:footnoteReference w:id="2"/>
      </w:r>
      <w:r w:rsidRPr="00616E2F">
        <w:rPr>
          <w:rFonts w:ascii="Tahoma" w:hAnsi="Tahoma" w:cs="Tahoma"/>
        </w:rPr>
        <w:t>, consagrado en la Ley N.º 27444, Ley de Procedimiento Administrativo General, las sanciones no d</w:t>
      </w:r>
      <w:r>
        <w:rPr>
          <w:rFonts w:ascii="Tahoma" w:hAnsi="Tahoma" w:cs="Tahoma"/>
        </w:rPr>
        <w:t xml:space="preserve">eben ser desproporcionadas y </w:t>
      </w:r>
      <w:r w:rsidRPr="00616E2F">
        <w:rPr>
          <w:rFonts w:ascii="Tahoma" w:hAnsi="Tahoma" w:cs="Tahoma"/>
        </w:rPr>
        <w:t xml:space="preserve"> deben guardar atención con la conducta a reprimir, </w:t>
      </w:r>
      <w:r>
        <w:rPr>
          <w:rFonts w:ascii="Tahoma" w:hAnsi="Tahoma" w:cs="Tahoma"/>
        </w:rPr>
        <w:t xml:space="preserve">puesto que en el caso concreto se </w:t>
      </w:r>
      <w:r>
        <w:rPr>
          <w:rFonts w:ascii="Tahoma" w:hAnsi="Tahoma" w:cs="Tahoma"/>
          <w:lang w:val="es-PE"/>
        </w:rPr>
        <w:t>indujo a error al Comité Especial al momento de realizar la evaluación respectiva, ya que los documentos cuestionados sirvieron para acreditar experiencia del Postor y de esta forma le favoreció al ser adjudicado con el otorgamiento de la buena pro.</w:t>
      </w:r>
    </w:p>
    <w:p w:rsidR="00AC689D" w:rsidRDefault="00AC689D" w:rsidP="00AC689D">
      <w:pPr>
        <w:jc w:val="both"/>
        <w:rPr>
          <w:rFonts w:ascii="Tahoma" w:hAnsi="Tahoma" w:cs="Tahoma"/>
          <w:lang w:val="es-PE"/>
        </w:rPr>
      </w:pPr>
    </w:p>
    <w:p w:rsidR="00AC689D" w:rsidRPr="008077E1" w:rsidRDefault="00AC689D" w:rsidP="00AC689D">
      <w:pPr>
        <w:ind w:left="900"/>
        <w:jc w:val="both"/>
        <w:rPr>
          <w:rFonts w:ascii="Tahoma" w:hAnsi="Tahoma" w:cs="Tahoma"/>
          <w:i/>
        </w:rPr>
      </w:pPr>
      <w:r w:rsidRPr="00616E2F">
        <w:rPr>
          <w:rFonts w:ascii="Tahoma" w:hAnsi="Tahoma" w:cs="Tahoma"/>
        </w:rPr>
        <w:t>Por otro lado,  debe considerarse que la conducta realizada por el</w:t>
      </w:r>
      <w:r>
        <w:rPr>
          <w:rFonts w:ascii="Tahoma" w:hAnsi="Tahoma" w:cs="Tahoma"/>
        </w:rPr>
        <w:t xml:space="preserve"> Postor</w:t>
      </w:r>
      <w:r w:rsidRPr="00616E2F">
        <w:rPr>
          <w:rFonts w:ascii="Tahoma" w:hAnsi="Tahoma" w:cs="Tahoma"/>
        </w:rPr>
        <w:t xml:space="preserve"> no es reiterativa, es decir, no ha sido sancionado previamente por incurrir en algunos de los supuestos tipificados como sancionables por la normativa de contrataciones.</w:t>
      </w:r>
    </w:p>
    <w:p w:rsidR="00AC689D" w:rsidRDefault="00AC689D" w:rsidP="00AC689D">
      <w:pPr>
        <w:jc w:val="both"/>
        <w:rPr>
          <w:rFonts w:ascii="Tahoma" w:hAnsi="Tahoma" w:cs="Tahoma"/>
          <w:i/>
        </w:rPr>
      </w:pPr>
    </w:p>
    <w:p w:rsidR="00AC689D" w:rsidRPr="0053553F" w:rsidRDefault="00AC689D" w:rsidP="00AC689D">
      <w:pPr>
        <w:ind w:left="900"/>
        <w:jc w:val="both"/>
        <w:rPr>
          <w:rFonts w:ascii="Tahoma" w:hAnsi="Tahoma" w:cs="Tahoma"/>
          <w:i/>
        </w:rPr>
      </w:pPr>
      <w:r>
        <w:rPr>
          <w:rFonts w:ascii="Tahoma" w:hAnsi="Tahoma" w:cs="Tahoma"/>
          <w:lang w:val="es-PE"/>
        </w:rPr>
        <w:t xml:space="preserve">En virtud a ello, </w:t>
      </w:r>
      <w:r>
        <w:rPr>
          <w:rFonts w:ascii="Tahoma" w:hAnsi="Tahoma" w:cs="Tahoma"/>
        </w:rPr>
        <w:t xml:space="preserve"> </w:t>
      </w:r>
      <w:r w:rsidRPr="00616E2F">
        <w:rPr>
          <w:rFonts w:ascii="Tahoma" w:hAnsi="Tahoma" w:cs="Tahoma"/>
        </w:rPr>
        <w:t>atendiendo a la necesidad de que las empresas no deban verse privadas en su derecho de proveer al Estado más allá de lo estrictamente necesario para sa</w:t>
      </w:r>
      <w:r>
        <w:rPr>
          <w:rFonts w:ascii="Tahoma" w:hAnsi="Tahoma" w:cs="Tahoma"/>
        </w:rPr>
        <w:t xml:space="preserve">tisfacer los fines de la sanción, y considerando la conducta procesal del administrado imputado con los hechos, el cual no ha cumplido con presentar sus descargos en el presente procedimiento a pesar de haber sido requerido para ello, este Órgano Colegiado estima conveniente imponerle sanción administrativa de diez meses de inhabilitación temporal, en su derecho de </w:t>
      </w:r>
      <w:r w:rsidRPr="00616E2F">
        <w:rPr>
          <w:rFonts w:ascii="Tahoma" w:hAnsi="Tahoma" w:cs="Tahoma"/>
        </w:rPr>
        <w:t>participar en procesos de selección y contratar con el Estado</w:t>
      </w:r>
      <w:r>
        <w:rPr>
          <w:rFonts w:ascii="Tahoma" w:hAnsi="Tahoma" w:cs="Tahoma"/>
        </w:rPr>
        <w:t>.</w:t>
      </w:r>
    </w:p>
    <w:p w:rsidR="00AC689D" w:rsidRDefault="00AC689D" w:rsidP="00AC689D">
      <w:pPr>
        <w:ind w:left="900" w:hanging="720"/>
        <w:jc w:val="both"/>
        <w:rPr>
          <w:rFonts w:ascii="Tahoma" w:hAnsi="Tahoma" w:cs="Tahoma"/>
        </w:rPr>
      </w:pPr>
    </w:p>
    <w:p w:rsidR="00AC689D" w:rsidRPr="00F107B5" w:rsidRDefault="00AC689D" w:rsidP="00AC689D">
      <w:pPr>
        <w:ind w:left="900" w:hanging="720"/>
        <w:jc w:val="both"/>
        <w:rPr>
          <w:rFonts w:ascii="Tahoma" w:hAnsi="Tahoma" w:cs="Tahoma"/>
        </w:rPr>
      </w:pPr>
    </w:p>
    <w:p w:rsidR="00AC689D" w:rsidRPr="00F107B5" w:rsidRDefault="00AC689D" w:rsidP="00AC689D">
      <w:pPr>
        <w:jc w:val="both"/>
        <w:rPr>
          <w:rFonts w:ascii="Tahoma" w:hAnsi="Tahoma" w:cs="Tahoma"/>
        </w:rPr>
      </w:pPr>
      <w:r w:rsidRPr="00F107B5">
        <w:rPr>
          <w:rFonts w:ascii="Tahoma" w:hAnsi="Tahoma" w:cs="Tahoma"/>
        </w:rPr>
        <w:t xml:space="preserve">Por estos fundamentos, de conformidad con el informe de la Vocal Ponente doctora </w:t>
      </w:r>
      <w:proofErr w:type="spellStart"/>
      <w:r w:rsidRPr="00F107B5">
        <w:rPr>
          <w:rFonts w:ascii="Tahoma" w:hAnsi="Tahoma" w:cs="Tahoma"/>
        </w:rPr>
        <w:t>Janette</w:t>
      </w:r>
      <w:proofErr w:type="spellEnd"/>
      <w:r w:rsidRPr="00F107B5">
        <w:rPr>
          <w:rFonts w:ascii="Tahoma" w:hAnsi="Tahoma" w:cs="Tahoma"/>
        </w:rPr>
        <w:t xml:space="preserve"> </w:t>
      </w:r>
      <w:proofErr w:type="spellStart"/>
      <w:r w:rsidRPr="00F107B5">
        <w:rPr>
          <w:rFonts w:ascii="Tahoma" w:hAnsi="Tahoma" w:cs="Tahoma"/>
        </w:rPr>
        <w:t>Elke</w:t>
      </w:r>
      <w:proofErr w:type="spellEnd"/>
      <w:r w:rsidRPr="00F107B5">
        <w:rPr>
          <w:rFonts w:ascii="Tahoma" w:hAnsi="Tahoma" w:cs="Tahoma"/>
        </w:rPr>
        <w:t xml:space="preserve"> Ramírez </w:t>
      </w:r>
      <w:proofErr w:type="spellStart"/>
      <w:r w:rsidRPr="00F107B5">
        <w:rPr>
          <w:rFonts w:ascii="Tahoma" w:hAnsi="Tahoma" w:cs="Tahoma"/>
        </w:rPr>
        <w:t>Maynetto</w:t>
      </w:r>
      <w:proofErr w:type="spellEnd"/>
      <w:r w:rsidRPr="00F107B5">
        <w:rPr>
          <w:rFonts w:ascii="Tahoma" w:hAnsi="Tahoma" w:cs="Tahoma"/>
        </w:rPr>
        <w:t xml:space="preserve">, con la intervención de los doctores Juan Carlos Valdivia </w:t>
      </w:r>
      <w:proofErr w:type="spellStart"/>
      <w:r w:rsidRPr="00F107B5">
        <w:rPr>
          <w:rFonts w:ascii="Tahoma" w:hAnsi="Tahoma" w:cs="Tahoma"/>
        </w:rPr>
        <w:t>Huaringa</w:t>
      </w:r>
      <w:proofErr w:type="spellEnd"/>
      <w:r w:rsidRPr="00F107B5">
        <w:rPr>
          <w:rFonts w:ascii="Tahoma" w:hAnsi="Tahoma" w:cs="Tahoma"/>
        </w:rPr>
        <w:t xml:space="preserve"> y Carlos Vicente Navas Rondón, atendiendo a la </w:t>
      </w:r>
      <w:proofErr w:type="spellStart"/>
      <w:r w:rsidRPr="00F107B5">
        <w:rPr>
          <w:rFonts w:ascii="Tahoma" w:hAnsi="Tahoma" w:cs="Tahoma"/>
        </w:rPr>
        <w:t>reconformación</w:t>
      </w:r>
      <w:proofErr w:type="spellEnd"/>
      <w:r w:rsidRPr="00F107B5">
        <w:rPr>
          <w:rFonts w:ascii="Tahoma" w:hAnsi="Tahoma" w:cs="Tahoma"/>
        </w:rPr>
        <w:t xml:space="preserve"> de </w:t>
      </w:r>
      <w:smartTag w:uri="urn:schemas-microsoft-com:office:smarttags" w:element="PersonName">
        <w:smartTagPr>
          <w:attr w:name="ProductID" w:val="la Tercera Sala"/>
        </w:smartTagPr>
        <w:r w:rsidRPr="00F107B5">
          <w:rPr>
            <w:rFonts w:ascii="Tahoma" w:hAnsi="Tahoma" w:cs="Tahoma"/>
          </w:rPr>
          <w:t>la Tercera Sala</w:t>
        </w:r>
      </w:smartTag>
      <w:r w:rsidRPr="00F107B5">
        <w:rPr>
          <w:rFonts w:ascii="Tahoma" w:hAnsi="Tahoma" w:cs="Tahoma"/>
        </w:rPr>
        <w:t xml:space="preserve"> del Tribunal de Contrataciones y Adquisiciones del Estado, según lo dispuesto en </w:t>
      </w:r>
      <w:smartTag w:uri="urn:schemas-microsoft-com:office:smarttags" w:element="PersonName">
        <w:smartTagPr>
          <w:attr w:name="ProductID" w:val="la Resoluci￳n N.ﾺ"/>
        </w:smartTagPr>
        <w:r w:rsidRPr="00F107B5">
          <w:rPr>
            <w:rFonts w:ascii="Tahoma" w:hAnsi="Tahoma" w:cs="Tahoma"/>
          </w:rPr>
          <w:t>la Resolución N.º</w:t>
        </w:r>
      </w:smartTag>
      <w:r w:rsidRPr="00F107B5">
        <w:rPr>
          <w:rFonts w:ascii="Tahoma" w:hAnsi="Tahoma" w:cs="Tahoma"/>
        </w:rPr>
        <w:t xml:space="preserve"> 279-2007-CONSUCODE/PRE de fecha 21 de mayo de 2007, y de conformidad con las facultades conferidas en los artículos 53, 59 y 61 del Texto Único Ordenado de </w:t>
      </w:r>
      <w:smartTag w:uri="urn:schemas-microsoft-com:office:smarttags" w:element="PersonName">
        <w:smartTagPr>
          <w:attr w:name="ProductID" w:val="la Ley"/>
        </w:smartTagPr>
        <w:r w:rsidRPr="00F107B5">
          <w:rPr>
            <w:rFonts w:ascii="Tahoma" w:hAnsi="Tahoma" w:cs="Tahoma"/>
          </w:rPr>
          <w:t>la Ley</w:t>
        </w:r>
      </w:smartTag>
      <w:r w:rsidRPr="00F107B5">
        <w:rPr>
          <w:rFonts w:ascii="Tahoma" w:hAnsi="Tahoma" w:cs="Tahoma"/>
        </w:rPr>
        <w:t xml:space="preserve"> de Contrataciones y Adquisiciones del Estado, aprobado por Decreto Supremo N.º 083-2004-PCM, su Reglamento, aprobado por Decreto Supremo N.º 084-2004-PCM, y los artículos 17 y 18 del Reglamento de Organización y Funciones del CONSUCODE, aprobado por Decreto Supremos N.º 054-2007-EF; analizados los antecedentes y luego de agotado el correspondiente debate, por unanimidad;</w:t>
      </w:r>
    </w:p>
    <w:p w:rsidR="00AC689D" w:rsidRDefault="00AC689D" w:rsidP="00AC689D">
      <w:pPr>
        <w:tabs>
          <w:tab w:val="num" w:pos="360"/>
        </w:tabs>
        <w:ind w:left="-180" w:firstLine="180"/>
        <w:jc w:val="both"/>
        <w:rPr>
          <w:rFonts w:ascii="Tahoma" w:hAnsi="Tahoma" w:cs="Tahoma"/>
          <w:b/>
          <w:shadow/>
        </w:rPr>
      </w:pPr>
    </w:p>
    <w:p w:rsidR="00AC689D" w:rsidRPr="00F107B5" w:rsidRDefault="00AC689D" w:rsidP="00AC689D">
      <w:pPr>
        <w:tabs>
          <w:tab w:val="num" w:pos="360"/>
        </w:tabs>
        <w:ind w:left="-180" w:firstLine="180"/>
        <w:jc w:val="both"/>
        <w:rPr>
          <w:rFonts w:ascii="Tahoma" w:hAnsi="Tahoma" w:cs="Tahoma"/>
          <w:b/>
          <w:shadow/>
        </w:rPr>
      </w:pPr>
    </w:p>
    <w:p w:rsidR="00AC689D" w:rsidRPr="00F107B5" w:rsidRDefault="00AC689D" w:rsidP="00AC689D">
      <w:pPr>
        <w:tabs>
          <w:tab w:val="num" w:pos="360"/>
        </w:tabs>
        <w:ind w:left="-180" w:firstLine="180"/>
        <w:jc w:val="both"/>
        <w:rPr>
          <w:rFonts w:ascii="Tahoma" w:hAnsi="Tahoma" w:cs="Tahoma"/>
          <w:b/>
          <w:shadow/>
        </w:rPr>
      </w:pPr>
      <w:r w:rsidRPr="00F107B5">
        <w:rPr>
          <w:rFonts w:ascii="Tahoma" w:hAnsi="Tahoma" w:cs="Tahoma"/>
          <w:b/>
          <w:shadow/>
        </w:rPr>
        <w:t>LA SALA RESUELVE:</w:t>
      </w:r>
    </w:p>
    <w:p w:rsidR="00AC689D" w:rsidRDefault="00AC689D" w:rsidP="00AC689D">
      <w:pPr>
        <w:jc w:val="both"/>
        <w:rPr>
          <w:rFonts w:ascii="Tahoma" w:hAnsi="Tahoma" w:cs="Tahoma"/>
          <w:b/>
          <w:shadow/>
        </w:rPr>
      </w:pPr>
    </w:p>
    <w:p w:rsidR="00AC689D" w:rsidRPr="00616E2F" w:rsidRDefault="00AC689D" w:rsidP="00AC689D">
      <w:pPr>
        <w:jc w:val="both"/>
        <w:rPr>
          <w:rFonts w:ascii="Tahoma" w:hAnsi="Tahoma" w:cs="Tahoma"/>
          <w:b/>
          <w:shadow/>
        </w:rPr>
      </w:pPr>
    </w:p>
    <w:p w:rsidR="00AC689D" w:rsidRPr="00616E2F" w:rsidRDefault="00AC689D" w:rsidP="00AC689D">
      <w:pPr>
        <w:numPr>
          <w:ilvl w:val="0"/>
          <w:numId w:val="6"/>
        </w:numPr>
        <w:jc w:val="both"/>
        <w:rPr>
          <w:rFonts w:ascii="Tahoma" w:hAnsi="Tahoma" w:cs="Tahoma"/>
        </w:rPr>
      </w:pPr>
      <w:r w:rsidRPr="00616E2F">
        <w:rPr>
          <w:rFonts w:ascii="Tahoma" w:hAnsi="Tahoma" w:cs="Tahoma"/>
        </w:rPr>
        <w:t xml:space="preserve">Sancionar </w:t>
      </w:r>
      <w:r>
        <w:rPr>
          <w:rFonts w:ascii="Tahoma" w:hAnsi="Tahoma" w:cs="Tahoma"/>
        </w:rPr>
        <w:t xml:space="preserve">a la </w:t>
      </w:r>
      <w:r>
        <w:rPr>
          <w:rFonts w:ascii="Tahoma" w:hAnsi="Tahoma" w:cs="Tahoma"/>
          <w:lang w:val="es-PE"/>
        </w:rPr>
        <w:t xml:space="preserve">firma </w:t>
      </w:r>
      <w:r w:rsidRPr="00AC39BA">
        <w:rPr>
          <w:rFonts w:ascii="Tahoma" w:hAnsi="Tahoma" w:cs="Tahoma"/>
          <w:b/>
          <w:lang w:val="es-PE"/>
        </w:rPr>
        <w:t>Repuestos y Servicios Generales “RESEGEN” del señor Frank Guillermo Ávila García</w:t>
      </w:r>
      <w:r w:rsidRPr="00616E2F">
        <w:rPr>
          <w:rFonts w:ascii="Tahoma" w:hAnsi="Tahoma" w:cs="Tahoma"/>
        </w:rPr>
        <w:t xml:space="preserve"> con </w:t>
      </w:r>
      <w:r>
        <w:rPr>
          <w:rFonts w:ascii="Tahoma" w:hAnsi="Tahoma" w:cs="Tahoma"/>
        </w:rPr>
        <w:t>diez</w:t>
      </w:r>
      <w:r w:rsidRPr="00616E2F">
        <w:rPr>
          <w:rFonts w:ascii="Tahoma" w:hAnsi="Tahoma" w:cs="Tahoma"/>
          <w:b/>
        </w:rPr>
        <w:t xml:space="preserve"> (</w:t>
      </w:r>
      <w:r>
        <w:rPr>
          <w:rFonts w:ascii="Tahoma" w:hAnsi="Tahoma" w:cs="Tahoma"/>
          <w:b/>
        </w:rPr>
        <w:t>10</w:t>
      </w:r>
      <w:r w:rsidRPr="00616E2F">
        <w:rPr>
          <w:rFonts w:ascii="Tahoma" w:hAnsi="Tahoma" w:cs="Tahoma"/>
          <w:b/>
        </w:rPr>
        <w:t xml:space="preserve">) meses de inhabilitación temporal </w:t>
      </w:r>
      <w:r w:rsidRPr="00616E2F">
        <w:rPr>
          <w:rFonts w:ascii="Tahoma" w:hAnsi="Tahoma" w:cs="Tahoma"/>
        </w:rPr>
        <w:t>en su derecho de participar en procesos de selección y contratar con el Estado, por incurrir en la inf</w:t>
      </w:r>
      <w:r>
        <w:rPr>
          <w:rFonts w:ascii="Tahoma" w:hAnsi="Tahoma" w:cs="Tahoma"/>
        </w:rPr>
        <w:t>racción tipificada en el numera</w:t>
      </w:r>
      <w:r w:rsidRPr="00616E2F">
        <w:rPr>
          <w:rFonts w:ascii="Tahoma" w:hAnsi="Tahoma" w:cs="Tahoma"/>
        </w:rPr>
        <w:t xml:space="preserve">l </w:t>
      </w:r>
      <w:r>
        <w:rPr>
          <w:rFonts w:ascii="Tahoma" w:hAnsi="Tahoma" w:cs="Tahoma"/>
        </w:rPr>
        <w:t>9</w:t>
      </w:r>
      <w:r w:rsidRPr="00616E2F">
        <w:rPr>
          <w:rFonts w:ascii="Tahoma" w:hAnsi="Tahoma" w:cs="Tahoma"/>
        </w:rPr>
        <w:t xml:space="preserve">) del artículo </w:t>
      </w:r>
      <w:r>
        <w:rPr>
          <w:rFonts w:ascii="Tahoma" w:hAnsi="Tahoma" w:cs="Tahoma"/>
        </w:rPr>
        <w:t>294</w:t>
      </w:r>
      <w:r w:rsidRPr="00616E2F">
        <w:rPr>
          <w:rFonts w:ascii="Tahoma" w:hAnsi="Tahoma" w:cs="Tahoma"/>
        </w:rPr>
        <w:t xml:space="preserve"> del Reglamento; sanción que tendrá vigencia a partir del cuarto día hábil siguiente de </w:t>
      </w:r>
      <w:r>
        <w:rPr>
          <w:rFonts w:ascii="Tahoma" w:hAnsi="Tahoma" w:cs="Tahoma"/>
        </w:rPr>
        <w:t xml:space="preserve">notificada </w:t>
      </w:r>
      <w:r w:rsidRPr="00616E2F">
        <w:rPr>
          <w:rFonts w:ascii="Tahoma" w:hAnsi="Tahoma" w:cs="Tahoma"/>
        </w:rPr>
        <w:t>la presente resolución.</w:t>
      </w:r>
    </w:p>
    <w:p w:rsidR="00AC689D" w:rsidRPr="00616E2F" w:rsidRDefault="00AC689D" w:rsidP="00AC689D">
      <w:pPr>
        <w:jc w:val="both"/>
        <w:rPr>
          <w:rFonts w:ascii="Tahoma" w:hAnsi="Tahoma" w:cs="Tahoma"/>
        </w:rPr>
      </w:pPr>
    </w:p>
    <w:p w:rsidR="00AC689D" w:rsidRPr="00616E2F" w:rsidRDefault="00AC689D" w:rsidP="00AC689D">
      <w:pPr>
        <w:numPr>
          <w:ilvl w:val="0"/>
          <w:numId w:val="6"/>
        </w:numPr>
        <w:jc w:val="both"/>
        <w:rPr>
          <w:rFonts w:ascii="Tahoma" w:hAnsi="Tahoma" w:cs="Tahoma"/>
        </w:rPr>
      </w:pPr>
      <w:r w:rsidRPr="00616E2F">
        <w:rPr>
          <w:rFonts w:ascii="Tahoma" w:hAnsi="Tahoma" w:cs="Tahoma"/>
        </w:rPr>
        <w:t xml:space="preserve">Poner la presente resolución en conocimiento </w:t>
      </w:r>
      <w:r>
        <w:rPr>
          <w:rFonts w:ascii="Tahoma" w:hAnsi="Tahoma" w:cs="Tahoma"/>
        </w:rPr>
        <w:t xml:space="preserve">de </w:t>
      </w:r>
      <w:r w:rsidRPr="00616E2F">
        <w:rPr>
          <w:rFonts w:ascii="Tahoma" w:hAnsi="Tahoma" w:cs="Tahoma"/>
        </w:rPr>
        <w:t xml:space="preserve">la </w:t>
      </w:r>
      <w:r>
        <w:rPr>
          <w:rFonts w:ascii="Tahoma" w:hAnsi="Tahoma" w:cs="Tahoma"/>
        </w:rPr>
        <w:t>Subdirección del Registro Nacional de Proveedores</w:t>
      </w:r>
      <w:r w:rsidRPr="00616E2F">
        <w:rPr>
          <w:rFonts w:ascii="Tahoma" w:hAnsi="Tahoma" w:cs="Tahoma"/>
        </w:rPr>
        <w:t xml:space="preserve"> del  CONSUCODE para las anotaciones de ley.</w:t>
      </w:r>
    </w:p>
    <w:p w:rsidR="00AC689D" w:rsidRDefault="00AC689D" w:rsidP="00AC689D">
      <w:pPr>
        <w:jc w:val="both"/>
        <w:rPr>
          <w:rFonts w:ascii="Tahoma" w:hAnsi="Tahoma" w:cs="Tahoma"/>
        </w:rPr>
      </w:pPr>
    </w:p>
    <w:p w:rsidR="00AC689D" w:rsidRPr="00616E2F" w:rsidRDefault="00AC689D" w:rsidP="00AC689D">
      <w:pPr>
        <w:jc w:val="both"/>
        <w:rPr>
          <w:rFonts w:ascii="Tahoma" w:hAnsi="Tahoma" w:cs="Tahoma"/>
        </w:rPr>
      </w:pPr>
    </w:p>
    <w:p w:rsidR="00AC689D" w:rsidRPr="00616E2F" w:rsidRDefault="00AC689D" w:rsidP="00AC689D">
      <w:pPr>
        <w:numPr>
          <w:ilvl w:val="0"/>
          <w:numId w:val="6"/>
        </w:numPr>
        <w:jc w:val="both"/>
        <w:rPr>
          <w:rFonts w:ascii="Tahoma" w:hAnsi="Tahoma" w:cs="Tahoma"/>
        </w:rPr>
      </w:pPr>
      <w:r w:rsidRPr="00616E2F">
        <w:rPr>
          <w:rFonts w:ascii="Tahoma" w:hAnsi="Tahoma" w:cs="Tahoma"/>
        </w:rPr>
        <w:t>Poner la presente Resolución en conocimiento de la Presidencia del Consejo Superior de Contrataciones y Adquisiciones del Estado (CONSUCODE), para que en uso de sus atribuciones, adopte las medidas legales correspondientes.</w:t>
      </w:r>
    </w:p>
    <w:p w:rsidR="00AC689D" w:rsidRPr="00616E2F" w:rsidRDefault="00AC689D" w:rsidP="00AC689D">
      <w:pPr>
        <w:jc w:val="both"/>
        <w:rPr>
          <w:rFonts w:ascii="Tahoma" w:hAnsi="Tahoma" w:cs="Tahoma"/>
        </w:rPr>
      </w:pPr>
    </w:p>
    <w:p w:rsidR="00AC689D" w:rsidRDefault="00AC689D" w:rsidP="00AC689D">
      <w:pPr>
        <w:pStyle w:val="BodyText2"/>
        <w:rPr>
          <w:rFonts w:cs="Tahoma"/>
          <w:sz w:val="20"/>
        </w:rPr>
      </w:pPr>
    </w:p>
    <w:p w:rsidR="00AC689D" w:rsidRPr="00F107B5" w:rsidRDefault="00AC689D" w:rsidP="00AC689D">
      <w:pPr>
        <w:pStyle w:val="BodyText2"/>
        <w:ind w:firstLine="360"/>
        <w:rPr>
          <w:rFonts w:cs="Tahoma"/>
          <w:sz w:val="20"/>
        </w:rPr>
      </w:pPr>
      <w:r w:rsidRPr="00F107B5">
        <w:rPr>
          <w:rFonts w:cs="Tahoma"/>
          <w:sz w:val="20"/>
        </w:rPr>
        <w:t>Regístrese, comuníquese y publíquese.</w:t>
      </w:r>
    </w:p>
    <w:p w:rsidR="00AC689D" w:rsidRPr="00F107B5" w:rsidRDefault="00AC689D" w:rsidP="00AC689D">
      <w:pPr>
        <w:jc w:val="center"/>
        <w:rPr>
          <w:rFonts w:ascii="Tahoma" w:hAnsi="Tahoma" w:cs="Tahoma"/>
          <w:b/>
          <w:lang w:val="es-ES_tradnl"/>
        </w:rPr>
      </w:pPr>
    </w:p>
    <w:p w:rsidR="00AC689D" w:rsidRPr="00F107B5" w:rsidRDefault="00AC689D" w:rsidP="00AC689D">
      <w:pPr>
        <w:jc w:val="center"/>
        <w:rPr>
          <w:rFonts w:ascii="Tahoma" w:hAnsi="Tahoma" w:cs="Tahoma"/>
          <w:b/>
          <w:lang w:val="es-ES_tradnl"/>
        </w:rPr>
      </w:pPr>
    </w:p>
    <w:p w:rsidR="00AC689D" w:rsidRDefault="00AC689D" w:rsidP="00AC689D">
      <w:pPr>
        <w:jc w:val="center"/>
        <w:rPr>
          <w:rFonts w:ascii="Tahoma" w:hAnsi="Tahoma" w:cs="Tahoma"/>
          <w:b/>
        </w:rPr>
      </w:pPr>
    </w:p>
    <w:p w:rsidR="00AC689D" w:rsidRDefault="00AC689D" w:rsidP="00AC689D">
      <w:pPr>
        <w:jc w:val="center"/>
        <w:rPr>
          <w:rFonts w:ascii="Tahoma" w:hAnsi="Tahoma" w:cs="Tahoma"/>
          <w:b/>
        </w:rPr>
      </w:pPr>
    </w:p>
    <w:p w:rsidR="00AC689D" w:rsidRDefault="00AC689D" w:rsidP="00AC689D">
      <w:pPr>
        <w:jc w:val="center"/>
        <w:rPr>
          <w:rFonts w:ascii="Tahoma" w:hAnsi="Tahoma" w:cs="Tahoma"/>
          <w:b/>
        </w:rPr>
      </w:pPr>
    </w:p>
    <w:p w:rsidR="00AC689D" w:rsidRDefault="00AC689D" w:rsidP="00AC689D">
      <w:pPr>
        <w:jc w:val="center"/>
        <w:rPr>
          <w:rFonts w:ascii="Tahoma" w:hAnsi="Tahoma" w:cs="Tahoma"/>
          <w:b/>
        </w:rPr>
      </w:pPr>
    </w:p>
    <w:p w:rsidR="00AC689D" w:rsidRDefault="00AC689D" w:rsidP="00AC689D">
      <w:pPr>
        <w:jc w:val="center"/>
        <w:rPr>
          <w:rFonts w:ascii="Tahoma" w:hAnsi="Tahoma" w:cs="Tahoma"/>
          <w:b/>
        </w:rPr>
      </w:pPr>
    </w:p>
    <w:p w:rsidR="00AC689D" w:rsidRPr="00F107B5" w:rsidRDefault="00AC689D" w:rsidP="00AC689D">
      <w:pPr>
        <w:jc w:val="center"/>
        <w:rPr>
          <w:rFonts w:ascii="Tahoma" w:hAnsi="Tahoma" w:cs="Tahoma"/>
          <w:b/>
        </w:rPr>
      </w:pPr>
    </w:p>
    <w:p w:rsidR="00AC689D" w:rsidRPr="00F107B5" w:rsidRDefault="00AC689D" w:rsidP="00AC689D">
      <w:pPr>
        <w:jc w:val="center"/>
        <w:rPr>
          <w:rFonts w:ascii="Tahoma" w:hAnsi="Tahoma" w:cs="Tahoma"/>
          <w:b/>
        </w:rPr>
      </w:pPr>
    </w:p>
    <w:p w:rsidR="00AC689D" w:rsidRPr="00F107B5" w:rsidRDefault="00AC689D" w:rsidP="00AC689D">
      <w:pPr>
        <w:jc w:val="center"/>
        <w:rPr>
          <w:rFonts w:ascii="Tahoma" w:hAnsi="Tahoma" w:cs="Tahoma"/>
          <w:b/>
          <w:shadow/>
          <w:lang w:val="pt-BR"/>
        </w:rPr>
      </w:pPr>
      <w:r w:rsidRPr="00F107B5">
        <w:rPr>
          <w:rFonts w:ascii="Tahoma" w:hAnsi="Tahoma" w:cs="Tahoma"/>
          <w:b/>
          <w:shadow/>
          <w:lang w:val="pt-BR"/>
        </w:rPr>
        <w:t>PRESIDENTE</w:t>
      </w:r>
    </w:p>
    <w:p w:rsidR="00AC689D" w:rsidRPr="00F107B5" w:rsidRDefault="00AC689D" w:rsidP="00AC689D">
      <w:pPr>
        <w:jc w:val="center"/>
        <w:rPr>
          <w:rFonts w:ascii="Tahoma" w:hAnsi="Tahoma" w:cs="Tahoma"/>
          <w:b/>
          <w:shadow/>
          <w:lang w:val="pt-BR"/>
        </w:rPr>
      </w:pPr>
    </w:p>
    <w:p w:rsidR="00AC689D" w:rsidRPr="00F107B5" w:rsidRDefault="00AC689D" w:rsidP="00AC689D">
      <w:pPr>
        <w:jc w:val="center"/>
        <w:rPr>
          <w:rFonts w:ascii="Tahoma" w:hAnsi="Tahoma" w:cs="Tahoma"/>
          <w:b/>
          <w:shadow/>
          <w:lang w:val="pt-BR"/>
        </w:rPr>
      </w:pPr>
    </w:p>
    <w:p w:rsidR="00AC689D" w:rsidRPr="00F107B5" w:rsidRDefault="00AC689D" w:rsidP="00AC689D">
      <w:pPr>
        <w:jc w:val="center"/>
        <w:rPr>
          <w:rFonts w:ascii="Tahoma" w:hAnsi="Tahoma" w:cs="Tahoma"/>
          <w:b/>
          <w:shadow/>
          <w:lang w:val="pt-BR"/>
        </w:rPr>
      </w:pPr>
    </w:p>
    <w:p w:rsidR="00AC689D" w:rsidRPr="00F107B5" w:rsidRDefault="00AC689D" w:rsidP="00AC689D">
      <w:pPr>
        <w:jc w:val="center"/>
        <w:rPr>
          <w:rFonts w:ascii="Tahoma" w:hAnsi="Tahoma" w:cs="Tahoma"/>
          <w:b/>
          <w:shadow/>
          <w:lang w:val="pt-BR"/>
        </w:rPr>
      </w:pPr>
    </w:p>
    <w:p w:rsidR="00AC689D" w:rsidRPr="00F107B5" w:rsidRDefault="00AC689D" w:rsidP="00AC689D">
      <w:pPr>
        <w:jc w:val="center"/>
        <w:rPr>
          <w:rFonts w:ascii="Tahoma" w:hAnsi="Tahoma" w:cs="Tahoma"/>
          <w:b/>
          <w:shadow/>
          <w:lang w:val="pt-BR"/>
        </w:rPr>
      </w:pPr>
    </w:p>
    <w:p w:rsidR="00AC689D" w:rsidRPr="00F107B5" w:rsidRDefault="00AC689D" w:rsidP="00AC689D">
      <w:pPr>
        <w:ind w:left="708"/>
        <w:jc w:val="both"/>
        <w:rPr>
          <w:rFonts w:ascii="Tahoma" w:hAnsi="Tahoma" w:cs="Tahoma"/>
          <w:b/>
          <w:shadow/>
          <w:lang w:val="pt-BR"/>
        </w:rPr>
      </w:pPr>
      <w:r w:rsidRPr="00F107B5">
        <w:rPr>
          <w:rFonts w:ascii="Tahoma" w:hAnsi="Tahoma" w:cs="Tahoma"/>
          <w:b/>
          <w:shadow/>
          <w:lang w:val="pt-BR"/>
        </w:rPr>
        <w:t xml:space="preserve"> VOCAL           </w:t>
      </w:r>
      <w:r w:rsidRPr="00F107B5">
        <w:rPr>
          <w:rFonts w:ascii="Tahoma" w:hAnsi="Tahoma" w:cs="Tahoma"/>
          <w:b/>
          <w:shadow/>
          <w:lang w:val="pt-BR"/>
        </w:rPr>
        <w:tab/>
      </w:r>
      <w:r w:rsidRPr="00F107B5">
        <w:rPr>
          <w:rFonts w:ascii="Tahoma" w:hAnsi="Tahoma" w:cs="Tahoma"/>
          <w:b/>
          <w:shadow/>
          <w:lang w:val="pt-BR"/>
        </w:rPr>
        <w:tab/>
        <w:t xml:space="preserve">                                                                    VOCAL</w:t>
      </w:r>
    </w:p>
    <w:p w:rsidR="00AC689D" w:rsidRPr="00F107B5" w:rsidRDefault="00AC689D" w:rsidP="00AC689D">
      <w:pPr>
        <w:ind w:firstLine="708"/>
        <w:rPr>
          <w:rFonts w:ascii="Tahoma" w:hAnsi="Tahoma" w:cs="Tahoma"/>
          <w:b/>
          <w:shadow/>
          <w:lang w:val="pt-BR"/>
        </w:rPr>
      </w:pPr>
    </w:p>
    <w:p w:rsidR="00AC689D" w:rsidRPr="00F107B5" w:rsidRDefault="00AC689D" w:rsidP="00AC689D">
      <w:pPr>
        <w:ind w:firstLine="708"/>
        <w:rPr>
          <w:rFonts w:ascii="Tahoma" w:hAnsi="Tahoma" w:cs="Tahoma"/>
          <w:b/>
          <w:shadow/>
          <w:lang w:val="pt-BR"/>
        </w:rPr>
      </w:pPr>
    </w:p>
    <w:p w:rsidR="00AC689D" w:rsidRPr="00F107B5" w:rsidRDefault="00AC689D" w:rsidP="00AC689D">
      <w:pPr>
        <w:ind w:firstLine="708"/>
        <w:rPr>
          <w:rFonts w:ascii="Tahoma" w:hAnsi="Tahoma" w:cs="Tahoma"/>
          <w:b/>
          <w:shadow/>
          <w:lang w:val="pt-BR"/>
        </w:rPr>
      </w:pPr>
    </w:p>
    <w:p w:rsidR="00AC689D" w:rsidRDefault="00AC689D" w:rsidP="00AC689D">
      <w:pPr>
        <w:ind w:firstLine="708"/>
        <w:rPr>
          <w:rFonts w:ascii="Tahoma" w:hAnsi="Tahoma" w:cs="Tahoma"/>
          <w:b/>
          <w:shadow/>
          <w:lang w:val="pt-BR"/>
        </w:rPr>
      </w:pPr>
    </w:p>
    <w:p w:rsidR="00AC689D" w:rsidRDefault="00AC689D" w:rsidP="00AC689D">
      <w:pPr>
        <w:ind w:firstLine="708"/>
        <w:rPr>
          <w:rFonts w:ascii="Tahoma" w:hAnsi="Tahoma" w:cs="Tahoma"/>
          <w:b/>
          <w:shadow/>
          <w:lang w:val="pt-BR"/>
        </w:rPr>
      </w:pPr>
    </w:p>
    <w:p w:rsidR="00AC689D" w:rsidRDefault="00AC689D" w:rsidP="00AC689D">
      <w:pPr>
        <w:ind w:firstLine="708"/>
        <w:rPr>
          <w:rFonts w:ascii="Tahoma" w:hAnsi="Tahoma" w:cs="Tahoma"/>
          <w:b/>
          <w:shadow/>
          <w:lang w:val="pt-BR"/>
        </w:rPr>
      </w:pPr>
    </w:p>
    <w:p w:rsidR="00AC689D" w:rsidRDefault="00AC689D" w:rsidP="00AC689D">
      <w:pPr>
        <w:ind w:firstLine="708"/>
        <w:rPr>
          <w:rFonts w:ascii="Tahoma" w:hAnsi="Tahoma" w:cs="Tahoma"/>
          <w:b/>
          <w:shadow/>
          <w:lang w:val="pt-BR"/>
        </w:rPr>
      </w:pPr>
    </w:p>
    <w:p w:rsidR="00AC689D" w:rsidRDefault="00AC689D" w:rsidP="00AC689D">
      <w:pPr>
        <w:ind w:firstLine="708"/>
        <w:rPr>
          <w:rFonts w:ascii="Tahoma" w:hAnsi="Tahoma" w:cs="Tahoma"/>
          <w:b/>
          <w:shadow/>
          <w:lang w:val="pt-BR"/>
        </w:rPr>
      </w:pPr>
    </w:p>
    <w:p w:rsidR="00AC689D" w:rsidRPr="00F107B5" w:rsidRDefault="00AC689D" w:rsidP="00AC689D">
      <w:pPr>
        <w:ind w:firstLine="708"/>
        <w:rPr>
          <w:rFonts w:ascii="Tahoma" w:hAnsi="Tahoma" w:cs="Tahoma"/>
          <w:b/>
          <w:shadow/>
          <w:lang w:val="pt-BR"/>
        </w:rPr>
      </w:pPr>
    </w:p>
    <w:p w:rsidR="00AC689D" w:rsidRPr="00F107B5" w:rsidRDefault="00AC689D" w:rsidP="00AC689D">
      <w:pPr>
        <w:ind w:firstLine="708"/>
        <w:rPr>
          <w:rFonts w:ascii="Tahoma" w:hAnsi="Tahoma" w:cs="Tahoma"/>
          <w:b/>
          <w:shadow/>
          <w:lang w:val="pt-BR"/>
        </w:rPr>
      </w:pPr>
    </w:p>
    <w:p w:rsidR="00AC689D" w:rsidRPr="00F107B5" w:rsidRDefault="00AC689D" w:rsidP="00AC689D">
      <w:pPr>
        <w:ind w:firstLine="708"/>
        <w:rPr>
          <w:rFonts w:ascii="Tahoma" w:hAnsi="Tahoma" w:cs="Tahoma"/>
          <w:b/>
          <w:shadow/>
          <w:lang w:val="pt-BR"/>
        </w:rPr>
      </w:pPr>
    </w:p>
    <w:p w:rsidR="00AC689D" w:rsidRPr="00F107B5" w:rsidRDefault="00AC689D" w:rsidP="00AC689D">
      <w:pPr>
        <w:ind w:firstLine="708"/>
        <w:rPr>
          <w:rFonts w:ascii="Tahoma" w:hAnsi="Tahoma" w:cs="Tahoma"/>
          <w:b/>
          <w:shadow/>
          <w:lang w:val="pt-BR"/>
        </w:rPr>
      </w:pPr>
    </w:p>
    <w:p w:rsidR="00AC689D" w:rsidRPr="00E54A4A" w:rsidRDefault="00AC689D" w:rsidP="00AC689D">
      <w:pPr>
        <w:jc w:val="both"/>
        <w:rPr>
          <w:rFonts w:ascii="Tahoma" w:hAnsi="Tahoma" w:cs="Tahoma"/>
          <w:sz w:val="18"/>
          <w:szCs w:val="18"/>
          <w:lang w:val="pt-BR"/>
        </w:rPr>
      </w:pPr>
      <w:proofErr w:type="gramStart"/>
      <w:r w:rsidRPr="00E54A4A">
        <w:rPr>
          <w:rFonts w:ascii="Tahoma" w:hAnsi="Tahoma" w:cs="Tahoma"/>
          <w:sz w:val="18"/>
          <w:szCs w:val="18"/>
          <w:lang w:val="pt-BR"/>
        </w:rPr>
        <w:t>ss.</w:t>
      </w:r>
      <w:proofErr w:type="gramEnd"/>
    </w:p>
    <w:p w:rsidR="00AC689D" w:rsidRPr="00E54A4A" w:rsidRDefault="00AC689D" w:rsidP="00AC689D">
      <w:pPr>
        <w:pStyle w:val="BodyText2"/>
        <w:rPr>
          <w:rFonts w:cs="Tahoma"/>
          <w:sz w:val="18"/>
          <w:szCs w:val="18"/>
          <w:lang w:val="pt-BR"/>
        </w:rPr>
      </w:pPr>
      <w:proofErr w:type="spellStart"/>
      <w:r w:rsidRPr="00E54A4A">
        <w:rPr>
          <w:rFonts w:cs="Tahoma"/>
          <w:sz w:val="18"/>
          <w:szCs w:val="18"/>
          <w:lang w:val="pt-BR"/>
        </w:rPr>
        <w:t>Valdivia</w:t>
      </w:r>
      <w:proofErr w:type="spellEnd"/>
      <w:r w:rsidRPr="00E54A4A">
        <w:rPr>
          <w:rFonts w:cs="Tahoma"/>
          <w:sz w:val="18"/>
          <w:szCs w:val="18"/>
          <w:lang w:val="pt-BR"/>
        </w:rPr>
        <w:t xml:space="preserve"> </w:t>
      </w:r>
      <w:proofErr w:type="spellStart"/>
      <w:r w:rsidRPr="00E54A4A">
        <w:rPr>
          <w:rFonts w:cs="Tahoma"/>
          <w:sz w:val="18"/>
          <w:szCs w:val="18"/>
          <w:lang w:val="pt-BR"/>
        </w:rPr>
        <w:t>Huaringa</w:t>
      </w:r>
      <w:proofErr w:type="spellEnd"/>
      <w:r w:rsidRPr="00E54A4A">
        <w:rPr>
          <w:rFonts w:cs="Tahoma"/>
          <w:sz w:val="18"/>
          <w:szCs w:val="18"/>
          <w:lang w:val="pt-BR"/>
        </w:rPr>
        <w:t>.</w:t>
      </w:r>
    </w:p>
    <w:p w:rsidR="00AC689D" w:rsidRPr="00E54A4A" w:rsidRDefault="00AC689D" w:rsidP="00AC689D">
      <w:pPr>
        <w:pStyle w:val="BodyText2"/>
        <w:rPr>
          <w:rFonts w:cs="Tahoma"/>
          <w:sz w:val="18"/>
          <w:szCs w:val="18"/>
        </w:rPr>
      </w:pPr>
      <w:r w:rsidRPr="00E54A4A">
        <w:rPr>
          <w:rFonts w:cs="Tahoma"/>
          <w:sz w:val="18"/>
          <w:szCs w:val="18"/>
        </w:rPr>
        <w:t xml:space="preserve">Ramírez </w:t>
      </w:r>
      <w:proofErr w:type="spellStart"/>
      <w:r w:rsidRPr="00E54A4A">
        <w:rPr>
          <w:rFonts w:cs="Tahoma"/>
          <w:sz w:val="18"/>
          <w:szCs w:val="18"/>
        </w:rPr>
        <w:t>Maynetto</w:t>
      </w:r>
      <w:proofErr w:type="spellEnd"/>
      <w:r w:rsidRPr="00E54A4A">
        <w:rPr>
          <w:rFonts w:cs="Tahoma"/>
          <w:sz w:val="18"/>
          <w:szCs w:val="18"/>
        </w:rPr>
        <w:t>.</w:t>
      </w:r>
    </w:p>
    <w:p w:rsidR="00AC689D" w:rsidRPr="00E54A4A" w:rsidRDefault="00AC689D" w:rsidP="00AC689D">
      <w:pPr>
        <w:pStyle w:val="BodyText2"/>
        <w:tabs>
          <w:tab w:val="left" w:pos="7740"/>
        </w:tabs>
        <w:rPr>
          <w:rFonts w:cs="Tahoma"/>
          <w:sz w:val="18"/>
          <w:szCs w:val="18"/>
        </w:rPr>
      </w:pPr>
      <w:r w:rsidRPr="00E54A4A">
        <w:rPr>
          <w:rFonts w:cs="Tahoma"/>
          <w:sz w:val="18"/>
          <w:szCs w:val="18"/>
        </w:rPr>
        <w:t>Navas Rondón.</w:t>
      </w:r>
    </w:p>
    <w:p w:rsidR="00AC689D" w:rsidRDefault="00AC689D" w:rsidP="00AC689D"/>
    <w:p w:rsidR="00AC689D" w:rsidRDefault="00AC689D" w:rsidP="00AC689D"/>
    <w:p w:rsidR="00AC689D" w:rsidRDefault="00AC689D" w:rsidP="00AC689D"/>
    <w:p w:rsidR="00DD5730" w:rsidRDefault="005A5DB5"/>
    <w:sectPr w:rsidR="00DD5730" w:rsidSect="00B50A71">
      <w:footerReference w:type="even" r:id="rId7"/>
      <w:footerReference w:type="default" r:id="rId8"/>
      <w:pgSz w:w="11907" w:h="16840" w:code="9"/>
      <w:pgMar w:top="3235" w:right="1287" w:bottom="1618" w:left="1080" w:header="720" w:footer="107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689D" w:rsidRDefault="00AC689D" w:rsidP="00AC689D">
      <w:r>
        <w:separator/>
      </w:r>
    </w:p>
  </w:endnote>
  <w:endnote w:type="continuationSeparator" w:id="1">
    <w:p w:rsidR="00AC689D" w:rsidRDefault="00AC689D" w:rsidP="00AC68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F60" w:rsidRDefault="005A5DB5" w:rsidP="00B50A71">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586F60" w:rsidRDefault="005A5DB5">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F60" w:rsidRPr="00864C03" w:rsidRDefault="005A5DB5">
    <w:pPr>
      <w:pStyle w:val="Piedepgina"/>
      <w:framePr w:wrap="around" w:vAnchor="text" w:hAnchor="margin" w:xAlign="center" w:y="1"/>
      <w:rPr>
        <w:rStyle w:val="Nmerodepgina"/>
        <w:i/>
        <w:sz w:val="20"/>
      </w:rPr>
    </w:pPr>
    <w:r w:rsidRPr="00864C03">
      <w:rPr>
        <w:rStyle w:val="Nmerodepgina"/>
        <w:i/>
        <w:sz w:val="20"/>
      </w:rPr>
      <w:t xml:space="preserve">Página </w:t>
    </w:r>
    <w:r w:rsidRPr="00864C03">
      <w:rPr>
        <w:rStyle w:val="Nmerodepgina"/>
        <w:i/>
        <w:sz w:val="20"/>
      </w:rPr>
      <w:fldChar w:fldCharType="begin"/>
    </w:r>
    <w:r w:rsidRPr="00864C03">
      <w:rPr>
        <w:rStyle w:val="Nmerodepgina"/>
        <w:i/>
        <w:sz w:val="20"/>
      </w:rPr>
      <w:instrText xml:space="preserve"> PAGE </w:instrText>
    </w:r>
    <w:r w:rsidRPr="00864C03">
      <w:rPr>
        <w:rStyle w:val="Nmerodepgina"/>
        <w:i/>
        <w:sz w:val="20"/>
      </w:rPr>
      <w:fldChar w:fldCharType="separate"/>
    </w:r>
    <w:r w:rsidR="00AB64A0">
      <w:rPr>
        <w:rStyle w:val="Nmerodepgina"/>
        <w:i/>
        <w:noProof/>
        <w:sz w:val="20"/>
      </w:rPr>
      <w:t>1</w:t>
    </w:r>
    <w:r w:rsidRPr="00864C03">
      <w:rPr>
        <w:rStyle w:val="Nmerodepgina"/>
        <w:i/>
        <w:sz w:val="20"/>
      </w:rPr>
      <w:fldChar w:fldCharType="end"/>
    </w:r>
    <w:r w:rsidRPr="00864C03">
      <w:rPr>
        <w:rStyle w:val="Nmerodepgina"/>
        <w:i/>
        <w:sz w:val="20"/>
      </w:rPr>
      <w:t xml:space="preserve"> de </w:t>
    </w:r>
    <w:r w:rsidRPr="00864C03">
      <w:rPr>
        <w:rStyle w:val="Nmerodepgina"/>
        <w:i/>
        <w:sz w:val="20"/>
      </w:rPr>
      <w:fldChar w:fldCharType="begin"/>
    </w:r>
    <w:r w:rsidRPr="00864C03">
      <w:rPr>
        <w:rStyle w:val="Nmerodepgina"/>
        <w:i/>
        <w:sz w:val="20"/>
      </w:rPr>
      <w:instrText xml:space="preserve"> NUMPAGES </w:instrText>
    </w:r>
    <w:r w:rsidRPr="00864C03">
      <w:rPr>
        <w:rStyle w:val="Nmerodepgina"/>
        <w:i/>
        <w:sz w:val="20"/>
      </w:rPr>
      <w:fldChar w:fldCharType="separate"/>
    </w:r>
    <w:r w:rsidR="00AB64A0">
      <w:rPr>
        <w:rStyle w:val="Nmerodepgina"/>
        <w:i/>
        <w:noProof/>
        <w:sz w:val="20"/>
      </w:rPr>
      <w:t>5</w:t>
    </w:r>
    <w:r w:rsidRPr="00864C03">
      <w:rPr>
        <w:rStyle w:val="Nmerodepgina"/>
        <w:i/>
        <w:sz w:val="20"/>
      </w:rPr>
      <w:fldChar w:fldCharType="end"/>
    </w:r>
  </w:p>
  <w:p w:rsidR="00586F60" w:rsidRDefault="005A5DB5">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689D" w:rsidRDefault="00AC689D" w:rsidP="00AC689D">
      <w:r>
        <w:separator/>
      </w:r>
    </w:p>
  </w:footnote>
  <w:footnote w:type="continuationSeparator" w:id="1">
    <w:p w:rsidR="00AC689D" w:rsidRDefault="00AC689D" w:rsidP="00AC689D">
      <w:r>
        <w:continuationSeparator/>
      </w:r>
    </w:p>
  </w:footnote>
  <w:footnote w:id="2">
    <w:p w:rsidR="00AC689D" w:rsidRDefault="00AC689D" w:rsidP="00AC689D">
      <w:pPr>
        <w:pStyle w:val="Textonotapie"/>
        <w:jc w:val="both"/>
        <w:rPr>
          <w:rFonts w:ascii="Tahoma" w:hAnsi="Tahoma" w:cs="Tahoma"/>
          <w:b/>
          <w:sz w:val="16"/>
          <w:szCs w:val="16"/>
        </w:rPr>
      </w:pPr>
      <w:r>
        <w:rPr>
          <w:rStyle w:val="Refdenotaalpie"/>
          <w:rFonts w:ascii="Tahoma" w:hAnsi="Tahoma" w:cs="Tahoma"/>
        </w:rPr>
        <w:footnoteRef/>
      </w:r>
      <w:r>
        <w:rPr>
          <w:rFonts w:ascii="Tahoma" w:hAnsi="Tahoma" w:cs="Tahoma"/>
          <w:sz w:val="16"/>
          <w:szCs w:val="16"/>
        </w:rPr>
        <w:t xml:space="preserve"> </w:t>
      </w:r>
      <w:r>
        <w:rPr>
          <w:rFonts w:ascii="Tahoma" w:hAnsi="Tahoma" w:cs="Tahoma"/>
          <w:b/>
          <w:sz w:val="16"/>
          <w:szCs w:val="16"/>
        </w:rPr>
        <w:t>Artículo 230.- Principios de la potestad sancionadora administrativa</w:t>
      </w:r>
    </w:p>
    <w:p w:rsidR="00AC689D" w:rsidRDefault="00AC689D" w:rsidP="00AC689D">
      <w:pPr>
        <w:pStyle w:val="Textonotapie"/>
        <w:jc w:val="both"/>
        <w:rPr>
          <w:rFonts w:ascii="Tahoma" w:hAnsi="Tahoma" w:cs="Tahoma"/>
          <w:sz w:val="16"/>
          <w:szCs w:val="16"/>
        </w:rPr>
      </w:pPr>
      <w:r>
        <w:rPr>
          <w:rFonts w:ascii="Tahoma" w:hAnsi="Tahoma" w:cs="Tahoma"/>
          <w:sz w:val="16"/>
          <w:szCs w:val="16"/>
        </w:rPr>
        <w:t>La potestad sancionadora de todas las Entidades está regida adicionalmente por los siguientes principios especiales:</w:t>
      </w:r>
    </w:p>
    <w:p w:rsidR="00AC689D" w:rsidRDefault="00AC689D" w:rsidP="00AC689D">
      <w:pPr>
        <w:pStyle w:val="Textonotapie"/>
        <w:jc w:val="both"/>
        <w:rPr>
          <w:rFonts w:ascii="Tahoma" w:hAnsi="Tahoma" w:cs="Tahoma"/>
          <w:sz w:val="16"/>
          <w:szCs w:val="16"/>
        </w:rPr>
      </w:pPr>
      <w:r>
        <w:rPr>
          <w:rFonts w:ascii="Tahoma" w:hAnsi="Tahoma" w:cs="Tahoma"/>
          <w:sz w:val="16"/>
          <w:szCs w:val="16"/>
        </w:rPr>
        <w:t xml:space="preserve">(…) </w:t>
      </w:r>
      <w:r>
        <w:rPr>
          <w:rFonts w:ascii="Tahoma" w:hAnsi="Tahoma" w:cs="Tahoma"/>
          <w:b/>
          <w:sz w:val="16"/>
          <w:szCs w:val="16"/>
        </w:rPr>
        <w:t>3.- Razonabilidad</w:t>
      </w:r>
      <w:r>
        <w:rPr>
          <w:rFonts w:ascii="Tahoma" w:hAnsi="Tahoma" w:cs="Tahoma"/>
          <w:sz w:val="16"/>
          <w:szCs w:val="16"/>
        </w:rPr>
        <w:t>.- Las autoridades deben de prever que la comisión de la conducta sancionable no resulte más ventajosa para el infractor que cumplir las normas infringidas o asumir la sanción; así como que la determinación de la sanción considere criterios como la existencia de la o no intencionalidad, el perjuicio causado, las circunstancias de la comisión de la infracción y la repetición en la comisión de infracción.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657CD740"/>
    <w:lvl w:ilvl="0" w:tplc="34CA9DC4">
      <w:start w:val="1"/>
      <w:numFmt w:val="decimal"/>
      <w:lvlText w:val="%1."/>
      <w:lvlJc w:val="left"/>
      <w:pPr>
        <w:tabs>
          <w:tab w:val="num" w:pos="720"/>
        </w:tabs>
        <w:ind w:left="720" w:hanging="360"/>
      </w:pPr>
      <w:rPr>
        <w:b/>
        <w:i w:val="0"/>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9F24358"/>
    <w:multiLevelType w:val="hybridMultilevel"/>
    <w:tmpl w:val="F0C2F9F8"/>
    <w:lvl w:ilvl="0" w:tplc="3820B606">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1F1F2D26"/>
    <w:multiLevelType w:val="hybridMultilevel"/>
    <w:tmpl w:val="A5649B26"/>
    <w:lvl w:ilvl="0" w:tplc="0C0A0001">
      <w:start w:val="1"/>
      <w:numFmt w:val="bullet"/>
      <w:lvlText w:val=""/>
      <w:lvlJc w:val="left"/>
      <w:pPr>
        <w:tabs>
          <w:tab w:val="num" w:pos="1428"/>
        </w:tabs>
        <w:ind w:left="1428" w:hanging="360"/>
      </w:pPr>
      <w:rPr>
        <w:rFonts w:ascii="Symbol" w:hAnsi="Symbol" w:hint="default"/>
      </w:rPr>
    </w:lvl>
    <w:lvl w:ilvl="1" w:tplc="0C0A0003" w:tentative="1">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3">
    <w:nsid w:val="2D6C36DA"/>
    <w:multiLevelType w:val="multilevel"/>
    <w:tmpl w:val="6D6A14AC"/>
    <w:lvl w:ilvl="0">
      <w:start w:val="2"/>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37282E8C"/>
    <w:multiLevelType w:val="hybridMultilevel"/>
    <w:tmpl w:val="F2F896A4"/>
    <w:lvl w:ilvl="0" w:tplc="0C0A0001">
      <w:start w:val="1"/>
      <w:numFmt w:val="bullet"/>
      <w:lvlText w:val=""/>
      <w:lvlJc w:val="left"/>
      <w:pPr>
        <w:tabs>
          <w:tab w:val="num" w:pos="1620"/>
        </w:tabs>
        <w:ind w:left="1620" w:hanging="360"/>
      </w:pPr>
      <w:rPr>
        <w:rFonts w:ascii="Symbol" w:hAnsi="Symbol" w:hint="default"/>
      </w:rPr>
    </w:lvl>
    <w:lvl w:ilvl="1" w:tplc="0C0A0003" w:tentative="1">
      <w:start w:val="1"/>
      <w:numFmt w:val="bullet"/>
      <w:lvlText w:val="o"/>
      <w:lvlJc w:val="left"/>
      <w:pPr>
        <w:tabs>
          <w:tab w:val="num" w:pos="2340"/>
        </w:tabs>
        <w:ind w:left="2340" w:hanging="360"/>
      </w:pPr>
      <w:rPr>
        <w:rFonts w:ascii="Courier New" w:hAnsi="Courier New" w:cs="Courier New" w:hint="default"/>
      </w:rPr>
    </w:lvl>
    <w:lvl w:ilvl="2" w:tplc="0C0A0005" w:tentative="1">
      <w:start w:val="1"/>
      <w:numFmt w:val="bullet"/>
      <w:lvlText w:val=""/>
      <w:lvlJc w:val="left"/>
      <w:pPr>
        <w:tabs>
          <w:tab w:val="num" w:pos="3060"/>
        </w:tabs>
        <w:ind w:left="3060" w:hanging="360"/>
      </w:pPr>
      <w:rPr>
        <w:rFonts w:ascii="Wingdings" w:hAnsi="Wingdings" w:hint="default"/>
      </w:rPr>
    </w:lvl>
    <w:lvl w:ilvl="3" w:tplc="0C0A0001" w:tentative="1">
      <w:start w:val="1"/>
      <w:numFmt w:val="bullet"/>
      <w:lvlText w:val=""/>
      <w:lvlJc w:val="left"/>
      <w:pPr>
        <w:tabs>
          <w:tab w:val="num" w:pos="3780"/>
        </w:tabs>
        <w:ind w:left="3780" w:hanging="360"/>
      </w:pPr>
      <w:rPr>
        <w:rFonts w:ascii="Symbol" w:hAnsi="Symbol" w:hint="default"/>
      </w:rPr>
    </w:lvl>
    <w:lvl w:ilvl="4" w:tplc="0C0A0003" w:tentative="1">
      <w:start w:val="1"/>
      <w:numFmt w:val="bullet"/>
      <w:lvlText w:val="o"/>
      <w:lvlJc w:val="left"/>
      <w:pPr>
        <w:tabs>
          <w:tab w:val="num" w:pos="4500"/>
        </w:tabs>
        <w:ind w:left="4500" w:hanging="360"/>
      </w:pPr>
      <w:rPr>
        <w:rFonts w:ascii="Courier New" w:hAnsi="Courier New" w:cs="Courier New" w:hint="default"/>
      </w:rPr>
    </w:lvl>
    <w:lvl w:ilvl="5" w:tplc="0C0A0005" w:tentative="1">
      <w:start w:val="1"/>
      <w:numFmt w:val="bullet"/>
      <w:lvlText w:val=""/>
      <w:lvlJc w:val="left"/>
      <w:pPr>
        <w:tabs>
          <w:tab w:val="num" w:pos="5220"/>
        </w:tabs>
        <w:ind w:left="5220" w:hanging="360"/>
      </w:pPr>
      <w:rPr>
        <w:rFonts w:ascii="Wingdings" w:hAnsi="Wingdings" w:hint="default"/>
      </w:rPr>
    </w:lvl>
    <w:lvl w:ilvl="6" w:tplc="0C0A0001" w:tentative="1">
      <w:start w:val="1"/>
      <w:numFmt w:val="bullet"/>
      <w:lvlText w:val=""/>
      <w:lvlJc w:val="left"/>
      <w:pPr>
        <w:tabs>
          <w:tab w:val="num" w:pos="5940"/>
        </w:tabs>
        <w:ind w:left="5940" w:hanging="360"/>
      </w:pPr>
      <w:rPr>
        <w:rFonts w:ascii="Symbol" w:hAnsi="Symbol" w:hint="default"/>
      </w:rPr>
    </w:lvl>
    <w:lvl w:ilvl="7" w:tplc="0C0A0003" w:tentative="1">
      <w:start w:val="1"/>
      <w:numFmt w:val="bullet"/>
      <w:lvlText w:val="o"/>
      <w:lvlJc w:val="left"/>
      <w:pPr>
        <w:tabs>
          <w:tab w:val="num" w:pos="6660"/>
        </w:tabs>
        <w:ind w:left="6660" w:hanging="360"/>
      </w:pPr>
      <w:rPr>
        <w:rFonts w:ascii="Courier New" w:hAnsi="Courier New" w:cs="Courier New" w:hint="default"/>
      </w:rPr>
    </w:lvl>
    <w:lvl w:ilvl="8" w:tplc="0C0A0005" w:tentative="1">
      <w:start w:val="1"/>
      <w:numFmt w:val="bullet"/>
      <w:lvlText w:val=""/>
      <w:lvlJc w:val="left"/>
      <w:pPr>
        <w:tabs>
          <w:tab w:val="num" w:pos="7380"/>
        </w:tabs>
        <w:ind w:left="7380" w:hanging="360"/>
      </w:pPr>
      <w:rPr>
        <w:rFonts w:ascii="Wingdings" w:hAnsi="Wingdings" w:hint="default"/>
      </w:rPr>
    </w:lvl>
  </w:abstractNum>
  <w:abstractNum w:abstractNumId="5">
    <w:nsid w:val="4ADA5249"/>
    <w:multiLevelType w:val="multilevel"/>
    <w:tmpl w:val="29DEB438"/>
    <w:lvl w:ilvl="0">
      <w:start w:val="1"/>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hyphenationZone w:val="425"/>
  <w:characterSpacingControl w:val="doNotCompress"/>
  <w:footnotePr>
    <w:footnote w:id="0"/>
    <w:footnote w:id="1"/>
  </w:footnotePr>
  <w:endnotePr>
    <w:endnote w:id="0"/>
    <w:endnote w:id="1"/>
  </w:endnotePr>
  <w:compat/>
  <w:rsids>
    <w:rsidRoot w:val="00AC689D"/>
    <w:rsid w:val="005A5DB5"/>
    <w:rsid w:val="005F15D1"/>
    <w:rsid w:val="006F6B61"/>
    <w:rsid w:val="00896EE1"/>
    <w:rsid w:val="00AB64A0"/>
    <w:rsid w:val="00AC689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89D"/>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AC689D"/>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AC689D"/>
    <w:rPr>
      <w:rFonts w:ascii="Times New Roman" w:eastAsia="Times New Roman" w:hAnsi="Times New Roman" w:cs="Times New Roman"/>
      <w:sz w:val="24"/>
      <w:szCs w:val="20"/>
      <w:lang w:val="es-ES_tradnl" w:eastAsia="es-ES"/>
    </w:rPr>
  </w:style>
  <w:style w:type="character" w:styleId="Nmerodepgina">
    <w:name w:val="page number"/>
    <w:basedOn w:val="Fuentedeprrafopredeter"/>
    <w:rsid w:val="00AC689D"/>
  </w:style>
  <w:style w:type="paragraph" w:styleId="Textoindependiente">
    <w:name w:val="Body Text"/>
    <w:basedOn w:val="Normal"/>
    <w:link w:val="TextoindependienteCar"/>
    <w:rsid w:val="00AC689D"/>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AC689D"/>
    <w:rPr>
      <w:rFonts w:ascii="Tahoma" w:eastAsia="Times New Roman" w:hAnsi="Tahoma" w:cs="Times New Roman"/>
      <w:szCs w:val="20"/>
      <w:lang w:val="es-ES_tradnl" w:eastAsia="es-ES"/>
    </w:rPr>
  </w:style>
  <w:style w:type="paragraph" w:customStyle="1" w:styleId="BodyText2">
    <w:name w:val="Body Text 2"/>
    <w:basedOn w:val="Normal"/>
    <w:rsid w:val="00AC689D"/>
    <w:pPr>
      <w:jc w:val="both"/>
    </w:pPr>
    <w:rPr>
      <w:rFonts w:ascii="Tahoma" w:hAnsi="Tahoma"/>
      <w:sz w:val="22"/>
    </w:rPr>
  </w:style>
  <w:style w:type="paragraph" w:styleId="Textoindependiente3">
    <w:name w:val="Body Text 3"/>
    <w:basedOn w:val="Normal"/>
    <w:link w:val="Textoindependiente3Car"/>
    <w:rsid w:val="00AC689D"/>
    <w:pPr>
      <w:spacing w:after="120"/>
    </w:pPr>
    <w:rPr>
      <w:sz w:val="16"/>
      <w:szCs w:val="16"/>
      <w:lang w:val="es-PE"/>
    </w:rPr>
  </w:style>
  <w:style w:type="character" w:customStyle="1" w:styleId="Textoindependiente3Car">
    <w:name w:val="Texto independiente 3 Car"/>
    <w:basedOn w:val="Fuentedeprrafopredeter"/>
    <w:link w:val="Textoindependiente3"/>
    <w:rsid w:val="00AC689D"/>
    <w:rPr>
      <w:rFonts w:ascii="Times New Roman" w:eastAsia="Times New Roman" w:hAnsi="Times New Roman" w:cs="Times New Roman"/>
      <w:sz w:val="16"/>
      <w:szCs w:val="16"/>
      <w:lang w:val="es-PE" w:eastAsia="es-ES"/>
    </w:rPr>
  </w:style>
  <w:style w:type="paragraph" w:styleId="NormalWeb">
    <w:name w:val="Normal (Web)"/>
    <w:basedOn w:val="Normal"/>
    <w:rsid w:val="00AC689D"/>
    <w:pPr>
      <w:spacing w:before="100" w:beforeAutospacing="1" w:after="100" w:afterAutospacing="1"/>
    </w:pPr>
    <w:rPr>
      <w:sz w:val="24"/>
      <w:szCs w:val="24"/>
    </w:rPr>
  </w:style>
  <w:style w:type="paragraph" w:styleId="Textonotapie">
    <w:name w:val="footnote text"/>
    <w:basedOn w:val="Normal"/>
    <w:link w:val="TextonotapieCar"/>
    <w:semiHidden/>
    <w:rsid w:val="00AC689D"/>
  </w:style>
  <w:style w:type="character" w:customStyle="1" w:styleId="TextonotapieCar">
    <w:name w:val="Texto nota pie Car"/>
    <w:basedOn w:val="Fuentedeprrafopredeter"/>
    <w:link w:val="Textonotapie"/>
    <w:semiHidden/>
    <w:rsid w:val="00AC689D"/>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rsid w:val="00AC689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5</Pages>
  <Words>1966</Words>
  <Characters>10818</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1965-2007/TC-S3</dc:title>
  <dc:subject>APLICACIÓN DE SANCIÓN A LA EMPRESA RESEGEN</dc:subject>
  <dc:creator>TRIBUNAL</dc:creator>
  <cp:keywords>DOCUMENTO FALSO</cp:keywords>
  <dc:description/>
  <cp:lastModifiedBy>jcabrera</cp:lastModifiedBy>
  <cp:revision>2</cp:revision>
  <dcterms:created xsi:type="dcterms:W3CDTF">2007-12-13T19:32:00Z</dcterms:created>
  <dcterms:modified xsi:type="dcterms:W3CDTF">2007-12-13T20:05:00Z</dcterms:modified>
  <cp:category>RESOLUCION - TRIBUNAL</cp:category>
</cp:coreProperties>
</file>