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6B7" w:rsidRPr="00E156B7" w:rsidRDefault="00E156B7" w:rsidP="00E156B7">
      <w:pPr>
        <w:ind w:left="2700" w:right="764" w:hanging="900"/>
        <w:jc w:val="center"/>
        <w:rPr>
          <w:rFonts w:ascii="Tahoma" w:hAnsi="Tahoma" w:cs="Tahoma"/>
          <w:b/>
          <w:i/>
          <w:sz w:val="36"/>
          <w:szCs w:val="36"/>
        </w:rPr>
      </w:pPr>
      <w:r w:rsidRPr="00E156B7">
        <w:rPr>
          <w:rFonts w:ascii="Tahoma" w:hAnsi="Tahoma" w:cs="Tahoma"/>
          <w:b/>
          <w:i/>
          <w:sz w:val="36"/>
          <w:szCs w:val="36"/>
        </w:rPr>
        <w:t>1959-2007-TC-S3</w:t>
      </w:r>
    </w:p>
    <w:p w:rsidR="00E156B7" w:rsidRDefault="00E156B7" w:rsidP="00D57CA2">
      <w:pPr>
        <w:ind w:left="2700" w:right="764" w:hanging="900"/>
        <w:jc w:val="both"/>
        <w:rPr>
          <w:rFonts w:ascii="Tahoma" w:hAnsi="Tahoma" w:cs="Tahoma"/>
          <w:b/>
          <w:i/>
          <w:sz w:val="20"/>
          <w:szCs w:val="20"/>
        </w:rPr>
      </w:pPr>
    </w:p>
    <w:p w:rsidR="00360605" w:rsidRPr="00D57CA2" w:rsidRDefault="00360605" w:rsidP="00D57CA2">
      <w:pPr>
        <w:ind w:left="2700" w:right="764" w:hanging="900"/>
        <w:jc w:val="both"/>
        <w:rPr>
          <w:rFonts w:ascii="Tahoma" w:hAnsi="Tahoma" w:cs="Tahoma"/>
          <w:i/>
          <w:sz w:val="20"/>
          <w:szCs w:val="20"/>
        </w:rPr>
      </w:pPr>
      <w:r w:rsidRPr="00D57CA2">
        <w:rPr>
          <w:rFonts w:ascii="Tahoma" w:hAnsi="Tahoma" w:cs="Tahoma"/>
          <w:b/>
          <w:i/>
          <w:sz w:val="20"/>
          <w:szCs w:val="20"/>
        </w:rPr>
        <w:t xml:space="preserve">Sumilla: </w:t>
      </w:r>
      <w:r w:rsidR="00FD1EC1" w:rsidRPr="00D57CA2">
        <w:rPr>
          <w:rFonts w:ascii="Tahoma" w:hAnsi="Tahoma" w:cs="Tahoma"/>
          <w:i/>
          <w:sz w:val="20"/>
          <w:szCs w:val="20"/>
        </w:rPr>
        <w:t xml:space="preserve">Corresponde Sancionar a la empresa Editorial Trillas Sociedad Anónima de Capital Variable por la causal de sanción tipificada en el </w:t>
      </w:r>
      <w:r w:rsidRPr="00D57CA2">
        <w:rPr>
          <w:rFonts w:ascii="Tahoma" w:hAnsi="Tahoma" w:cs="Tahoma"/>
          <w:i/>
          <w:sz w:val="20"/>
          <w:szCs w:val="20"/>
        </w:rPr>
        <w:t xml:space="preserve">numeral </w:t>
      </w:r>
      <w:r w:rsidR="00FD1EC1" w:rsidRPr="00D57CA2">
        <w:rPr>
          <w:rFonts w:ascii="Tahoma" w:hAnsi="Tahoma" w:cs="Tahoma"/>
          <w:i/>
          <w:sz w:val="20"/>
          <w:szCs w:val="20"/>
        </w:rPr>
        <w:t>1</w:t>
      </w:r>
      <w:r w:rsidRPr="00D57CA2">
        <w:rPr>
          <w:rFonts w:ascii="Tahoma" w:hAnsi="Tahoma" w:cs="Tahoma"/>
          <w:i/>
          <w:sz w:val="20"/>
          <w:szCs w:val="20"/>
        </w:rPr>
        <w:t>) del artículo 294 del Reglamento</w:t>
      </w:r>
      <w:r w:rsidR="00FD1EC1" w:rsidRPr="00D57CA2">
        <w:rPr>
          <w:rFonts w:ascii="Tahoma" w:hAnsi="Tahoma" w:cs="Tahoma"/>
          <w:i/>
          <w:sz w:val="20"/>
          <w:szCs w:val="20"/>
        </w:rPr>
        <w:t xml:space="preserve"> de la Ley de Contrataciones y Adquisiciones del estado, aprobado por Decreto Supremo N.º 084-2004-PCM</w:t>
      </w:r>
      <w:r w:rsidRPr="00D57CA2">
        <w:rPr>
          <w:rFonts w:ascii="Tahoma" w:hAnsi="Tahoma" w:cs="Tahoma"/>
          <w:i/>
          <w:sz w:val="20"/>
          <w:szCs w:val="20"/>
        </w:rPr>
        <w:t>.</w:t>
      </w:r>
    </w:p>
    <w:p w:rsidR="00D278C8" w:rsidRPr="00D57CA2" w:rsidRDefault="00D278C8" w:rsidP="00D57CA2">
      <w:pPr>
        <w:pStyle w:val="Textoindependiente3"/>
        <w:ind w:left="2124" w:firstLine="708"/>
        <w:jc w:val="center"/>
        <w:rPr>
          <w:rFonts w:ascii="Tahoma" w:hAnsi="Tahoma" w:cs="Tahoma"/>
          <w:b/>
          <w:sz w:val="20"/>
          <w:szCs w:val="20"/>
        </w:rPr>
      </w:pPr>
    </w:p>
    <w:p w:rsidR="00360605" w:rsidRPr="00D57CA2" w:rsidRDefault="00360605" w:rsidP="00D57CA2">
      <w:pPr>
        <w:pStyle w:val="Textoindependiente3"/>
        <w:ind w:left="2124" w:firstLine="708"/>
        <w:jc w:val="center"/>
        <w:rPr>
          <w:rFonts w:ascii="Tahoma" w:hAnsi="Tahoma" w:cs="Tahoma"/>
          <w:b/>
          <w:sz w:val="20"/>
          <w:szCs w:val="20"/>
        </w:rPr>
      </w:pPr>
      <w:r w:rsidRPr="00D57CA2">
        <w:rPr>
          <w:rFonts w:ascii="Tahoma" w:hAnsi="Tahoma" w:cs="Tahoma"/>
          <w:b/>
          <w:sz w:val="20"/>
          <w:szCs w:val="20"/>
        </w:rPr>
        <w:t xml:space="preserve">     Lima, </w:t>
      </w:r>
      <w:r w:rsidR="00E156B7">
        <w:rPr>
          <w:rFonts w:ascii="Tahoma" w:hAnsi="Tahoma" w:cs="Tahoma"/>
          <w:b/>
          <w:sz w:val="20"/>
          <w:szCs w:val="20"/>
        </w:rPr>
        <w:t>20 de noviembre de 2007</w:t>
      </w:r>
    </w:p>
    <w:p w:rsidR="00360605" w:rsidRPr="00D57CA2" w:rsidRDefault="00360605" w:rsidP="00D57CA2">
      <w:pPr>
        <w:ind w:firstLine="720"/>
        <w:jc w:val="both"/>
        <w:rPr>
          <w:rFonts w:ascii="Tahoma" w:hAnsi="Tahoma" w:cs="Tahoma"/>
          <w:color w:val="000000"/>
          <w:sz w:val="20"/>
          <w:szCs w:val="20"/>
        </w:rPr>
      </w:pPr>
      <w:r w:rsidRPr="00D57CA2">
        <w:rPr>
          <w:rFonts w:ascii="Tahoma" w:hAnsi="Tahoma" w:cs="Tahoma"/>
          <w:b/>
          <w:sz w:val="20"/>
          <w:szCs w:val="20"/>
        </w:rPr>
        <w:t>Visto,</w:t>
      </w:r>
      <w:r w:rsidRPr="00D57CA2">
        <w:rPr>
          <w:rFonts w:ascii="Tahoma" w:hAnsi="Tahoma" w:cs="Tahoma"/>
          <w:sz w:val="20"/>
          <w:szCs w:val="20"/>
        </w:rPr>
        <w:t xml:space="preserve"> </w:t>
      </w:r>
      <w:r w:rsidRPr="00D57CA2">
        <w:rPr>
          <w:rFonts w:ascii="Tahoma" w:hAnsi="Tahoma" w:cs="Tahoma"/>
          <w:color w:val="000000"/>
          <w:sz w:val="20"/>
          <w:szCs w:val="20"/>
        </w:rPr>
        <w:t xml:space="preserve">en sesión de fecha </w:t>
      </w:r>
      <w:r w:rsidR="00B616E4" w:rsidRPr="00D57CA2">
        <w:rPr>
          <w:rFonts w:ascii="Tahoma" w:hAnsi="Tahoma" w:cs="Tahoma"/>
          <w:color w:val="000000"/>
          <w:sz w:val="20"/>
          <w:szCs w:val="20"/>
        </w:rPr>
        <w:t>1</w:t>
      </w:r>
      <w:r w:rsidRPr="00D57CA2">
        <w:rPr>
          <w:rFonts w:ascii="Tahoma" w:hAnsi="Tahoma" w:cs="Tahoma"/>
          <w:color w:val="000000"/>
          <w:sz w:val="20"/>
          <w:szCs w:val="20"/>
        </w:rPr>
        <w:t>2 de</w:t>
      </w:r>
      <w:r w:rsidR="00B616E4" w:rsidRPr="00D57CA2">
        <w:rPr>
          <w:rFonts w:ascii="Tahoma" w:hAnsi="Tahoma" w:cs="Tahoma"/>
          <w:color w:val="000000"/>
          <w:sz w:val="20"/>
          <w:szCs w:val="20"/>
        </w:rPr>
        <w:t xml:space="preserve"> noviembre </w:t>
      </w:r>
      <w:r w:rsidRPr="00D57CA2">
        <w:rPr>
          <w:rFonts w:ascii="Tahoma" w:hAnsi="Tahoma" w:cs="Tahoma"/>
          <w:color w:val="000000"/>
          <w:sz w:val="20"/>
          <w:szCs w:val="20"/>
        </w:rPr>
        <w:t>de 2007 de la Tercera Sala del Tribunal de Contrataciones y Adquisiciones del Estado el Expediente N.°</w:t>
      </w:r>
      <w:r w:rsidRPr="00D57CA2">
        <w:rPr>
          <w:rFonts w:ascii="Tahoma" w:hAnsi="Tahoma" w:cs="Tahoma"/>
          <w:sz w:val="20"/>
          <w:szCs w:val="20"/>
        </w:rPr>
        <w:t xml:space="preserve"> </w:t>
      </w:r>
      <w:r w:rsidR="00FD1EC1" w:rsidRPr="00D57CA2">
        <w:rPr>
          <w:rFonts w:ascii="Tahoma" w:hAnsi="Tahoma" w:cs="Tahoma"/>
          <w:sz w:val="20"/>
          <w:szCs w:val="20"/>
        </w:rPr>
        <w:t>484</w:t>
      </w:r>
      <w:r w:rsidRPr="00D57CA2">
        <w:rPr>
          <w:rFonts w:ascii="Tahoma" w:hAnsi="Tahoma" w:cs="Tahoma"/>
          <w:sz w:val="20"/>
          <w:szCs w:val="20"/>
        </w:rPr>
        <w:t>/200</w:t>
      </w:r>
      <w:r w:rsidR="00FD1EC1" w:rsidRPr="00D57CA2">
        <w:rPr>
          <w:rFonts w:ascii="Tahoma" w:hAnsi="Tahoma" w:cs="Tahoma"/>
          <w:sz w:val="20"/>
          <w:szCs w:val="20"/>
        </w:rPr>
        <w:t>5</w:t>
      </w:r>
      <w:r w:rsidRPr="00D57CA2">
        <w:rPr>
          <w:rFonts w:ascii="Tahoma" w:hAnsi="Tahoma" w:cs="Tahoma"/>
          <w:sz w:val="20"/>
          <w:szCs w:val="20"/>
        </w:rPr>
        <w:t>.TC</w:t>
      </w:r>
      <w:r w:rsidRPr="00D57CA2">
        <w:rPr>
          <w:rFonts w:ascii="Tahoma" w:hAnsi="Tahoma" w:cs="Tahoma"/>
          <w:color w:val="000000"/>
          <w:sz w:val="20"/>
          <w:szCs w:val="20"/>
        </w:rPr>
        <w:t xml:space="preserve"> sobre procedimiento administrativo sancionador contra </w:t>
      </w:r>
      <w:r w:rsidR="004054C5" w:rsidRPr="00D57CA2">
        <w:rPr>
          <w:rFonts w:ascii="Tahoma" w:hAnsi="Tahoma" w:cs="Tahoma"/>
          <w:sz w:val="20"/>
          <w:szCs w:val="20"/>
        </w:rPr>
        <w:t xml:space="preserve">la </w:t>
      </w:r>
      <w:r w:rsidR="00FD1EC1" w:rsidRPr="00D57CA2">
        <w:rPr>
          <w:rFonts w:ascii="Tahoma" w:hAnsi="Tahoma" w:cs="Tahoma"/>
          <w:sz w:val="20"/>
          <w:szCs w:val="20"/>
        </w:rPr>
        <w:t xml:space="preserve">empresa Editorial Trillas Sociedad Anónima de Capital Variable </w:t>
      </w:r>
      <w:r w:rsidRPr="00D57CA2">
        <w:rPr>
          <w:rFonts w:ascii="Tahoma" w:hAnsi="Tahoma" w:cs="Tahoma"/>
          <w:color w:val="000000"/>
          <w:sz w:val="20"/>
          <w:szCs w:val="20"/>
        </w:rPr>
        <w:t xml:space="preserve">por supuesta responsabilidad en la </w:t>
      </w:r>
      <w:r w:rsidR="00FD1EC1" w:rsidRPr="00D57CA2">
        <w:rPr>
          <w:rFonts w:ascii="Tahoma" w:hAnsi="Tahoma" w:cs="Tahoma"/>
          <w:color w:val="000000"/>
          <w:sz w:val="20"/>
          <w:szCs w:val="20"/>
        </w:rPr>
        <w:t xml:space="preserve">no suscripción injustificada del contrato, pese a resultar adjudicataria de la buena pro del ítem 3 de la </w:t>
      </w:r>
      <w:r w:rsidR="00FD1EC1" w:rsidRPr="00D57CA2">
        <w:rPr>
          <w:rFonts w:ascii="Tahoma" w:hAnsi="Tahoma" w:cs="Tahoma"/>
          <w:sz w:val="20"/>
          <w:szCs w:val="20"/>
        </w:rPr>
        <w:t>Licitación Pública Internacional N.º 0004-2004-ED para la adquisición de textos de biblioteca básica para docentes de Educación Primaria para 2005</w:t>
      </w:r>
      <w:r w:rsidRPr="00D57CA2">
        <w:rPr>
          <w:rFonts w:ascii="Tahoma" w:hAnsi="Tahoma" w:cs="Tahoma"/>
          <w:color w:val="000000"/>
          <w:sz w:val="20"/>
          <w:szCs w:val="20"/>
        </w:rPr>
        <w:t xml:space="preserve">, y; atendiendo a los siguientes:  </w:t>
      </w:r>
    </w:p>
    <w:p w:rsidR="00360605" w:rsidRPr="00D57CA2" w:rsidRDefault="00360605" w:rsidP="00D57CA2">
      <w:pPr>
        <w:ind w:firstLine="708"/>
        <w:jc w:val="both"/>
        <w:rPr>
          <w:rFonts w:ascii="Tahoma" w:hAnsi="Tahoma" w:cs="Tahoma"/>
          <w:color w:val="000000"/>
          <w:sz w:val="20"/>
          <w:szCs w:val="20"/>
        </w:rPr>
      </w:pPr>
    </w:p>
    <w:p w:rsidR="00360605" w:rsidRPr="00D57CA2" w:rsidRDefault="00360605" w:rsidP="00D57CA2">
      <w:pPr>
        <w:rPr>
          <w:rFonts w:ascii="Tahoma" w:hAnsi="Tahoma" w:cs="Tahoma"/>
          <w:b/>
          <w:shadow/>
          <w:sz w:val="20"/>
          <w:szCs w:val="20"/>
        </w:rPr>
      </w:pPr>
      <w:r w:rsidRPr="00D57CA2">
        <w:rPr>
          <w:rFonts w:ascii="Tahoma" w:hAnsi="Tahoma" w:cs="Tahoma"/>
          <w:b/>
          <w:shadow/>
          <w:sz w:val="20"/>
          <w:szCs w:val="20"/>
        </w:rPr>
        <w:t>ANTECEDENTES:</w:t>
      </w:r>
    </w:p>
    <w:p w:rsidR="005D7AA5" w:rsidRPr="00D57CA2" w:rsidRDefault="005D7AA5" w:rsidP="00D57CA2">
      <w:pPr>
        <w:jc w:val="both"/>
        <w:rPr>
          <w:rFonts w:ascii="Tahoma" w:hAnsi="Tahoma" w:cs="Tahoma"/>
          <w:sz w:val="20"/>
          <w:szCs w:val="20"/>
        </w:rPr>
      </w:pPr>
    </w:p>
    <w:p w:rsidR="005D7AA5" w:rsidRPr="00D57CA2" w:rsidRDefault="005D7AA5" w:rsidP="00D57CA2">
      <w:pPr>
        <w:numPr>
          <w:ilvl w:val="0"/>
          <w:numId w:val="5"/>
        </w:numPr>
        <w:tabs>
          <w:tab w:val="clear" w:pos="454"/>
          <w:tab w:val="num" w:pos="540"/>
        </w:tabs>
        <w:ind w:left="540" w:hanging="540"/>
        <w:jc w:val="both"/>
        <w:rPr>
          <w:rFonts w:ascii="Tahoma" w:hAnsi="Tahoma" w:cs="Tahoma"/>
          <w:sz w:val="20"/>
          <w:szCs w:val="20"/>
        </w:rPr>
      </w:pPr>
      <w:r w:rsidRPr="00D57CA2">
        <w:rPr>
          <w:rFonts w:ascii="Tahoma" w:hAnsi="Tahoma" w:cs="Tahoma"/>
          <w:sz w:val="20"/>
          <w:szCs w:val="20"/>
        </w:rPr>
        <w:t xml:space="preserve">El 15 de octubre de 2004, el Ministerio de Educación, en adelante </w:t>
      </w:r>
      <w:smartTag w:uri="urn:schemas-microsoft-com:office:smarttags" w:element="PersonName">
        <w:smartTagPr>
          <w:attr w:name="ProductID" w:val="la Entidad"/>
        </w:smartTagPr>
        <w:r w:rsidRPr="00D57CA2">
          <w:rPr>
            <w:rFonts w:ascii="Tahoma" w:hAnsi="Tahoma" w:cs="Tahoma"/>
            <w:sz w:val="20"/>
            <w:szCs w:val="20"/>
          </w:rPr>
          <w:t>la Entidad</w:t>
        </w:r>
      </w:smartTag>
      <w:r w:rsidRPr="00D57CA2">
        <w:rPr>
          <w:rFonts w:ascii="Tahoma" w:hAnsi="Tahoma" w:cs="Tahoma"/>
          <w:sz w:val="20"/>
          <w:szCs w:val="20"/>
        </w:rPr>
        <w:t>, convocó a la Licitación Pública Internacional N</w:t>
      </w:r>
      <w:proofErr w:type="gramStart"/>
      <w:r w:rsidRPr="00D57CA2">
        <w:rPr>
          <w:rFonts w:ascii="Tahoma" w:hAnsi="Tahoma" w:cs="Tahoma"/>
          <w:sz w:val="20"/>
          <w:szCs w:val="20"/>
        </w:rPr>
        <w:t>.º</w:t>
      </w:r>
      <w:proofErr w:type="gramEnd"/>
      <w:r w:rsidRPr="00D57CA2">
        <w:rPr>
          <w:rFonts w:ascii="Tahoma" w:hAnsi="Tahoma" w:cs="Tahoma"/>
          <w:sz w:val="20"/>
          <w:szCs w:val="20"/>
        </w:rPr>
        <w:t xml:space="preserve"> 0004-2004-ED para la adquisición de textos de biblioteca básica para docentes de Educación Primaria para 2005.</w:t>
      </w:r>
    </w:p>
    <w:p w:rsidR="005D7AA5" w:rsidRPr="00D57CA2" w:rsidRDefault="005D7AA5" w:rsidP="00D57CA2">
      <w:pPr>
        <w:numPr>
          <w:ilvl w:val="0"/>
          <w:numId w:val="5"/>
        </w:numPr>
        <w:tabs>
          <w:tab w:val="clear" w:pos="454"/>
          <w:tab w:val="num" w:pos="540"/>
        </w:tabs>
        <w:ind w:left="540" w:hanging="540"/>
        <w:jc w:val="both"/>
        <w:rPr>
          <w:rFonts w:ascii="Tahoma" w:hAnsi="Tahoma" w:cs="Tahoma"/>
          <w:sz w:val="20"/>
          <w:szCs w:val="20"/>
        </w:rPr>
      </w:pPr>
      <w:r w:rsidRPr="00D57CA2">
        <w:rPr>
          <w:rFonts w:ascii="Tahoma" w:hAnsi="Tahoma" w:cs="Tahoma"/>
          <w:sz w:val="20"/>
          <w:szCs w:val="20"/>
        </w:rPr>
        <w:t xml:space="preserve">El 3 de diciembre de 2004, como resultado del referido proceso, se otorgó </w:t>
      </w:r>
      <w:smartTag w:uri="urn:schemas-microsoft-com:office:smarttags" w:element="PersonName">
        <w:smartTagPr>
          <w:attr w:name="ProductID" w:val="la Buena"/>
        </w:smartTagPr>
        <w:r w:rsidRPr="00D57CA2">
          <w:rPr>
            <w:rFonts w:ascii="Tahoma" w:hAnsi="Tahoma" w:cs="Tahoma"/>
            <w:sz w:val="20"/>
            <w:szCs w:val="20"/>
          </w:rPr>
          <w:t>la Buena</w:t>
        </w:r>
      </w:smartTag>
      <w:r w:rsidRPr="00D57CA2">
        <w:rPr>
          <w:rFonts w:ascii="Tahoma" w:hAnsi="Tahoma" w:cs="Tahoma"/>
          <w:sz w:val="20"/>
          <w:szCs w:val="20"/>
        </w:rPr>
        <w:t xml:space="preserve"> Pro del ítem 3 a la empresa Editorial Trillas Sociedad Anónima de Capital Variable, en lo sucesivo el Postor.</w:t>
      </w:r>
    </w:p>
    <w:p w:rsidR="005D7AA5" w:rsidRPr="00D57CA2" w:rsidRDefault="005D7AA5" w:rsidP="00D57CA2">
      <w:pPr>
        <w:numPr>
          <w:ilvl w:val="0"/>
          <w:numId w:val="5"/>
        </w:numPr>
        <w:tabs>
          <w:tab w:val="clear" w:pos="454"/>
          <w:tab w:val="num" w:pos="540"/>
        </w:tabs>
        <w:ind w:left="540" w:hanging="540"/>
        <w:jc w:val="both"/>
        <w:rPr>
          <w:rFonts w:ascii="Tahoma" w:hAnsi="Tahoma" w:cs="Tahoma"/>
          <w:sz w:val="20"/>
          <w:szCs w:val="20"/>
        </w:rPr>
      </w:pPr>
      <w:r w:rsidRPr="00D57CA2">
        <w:rPr>
          <w:rFonts w:ascii="Tahoma" w:hAnsi="Tahoma" w:cs="Tahoma"/>
          <w:sz w:val="20"/>
          <w:szCs w:val="20"/>
        </w:rPr>
        <w:t>El 14 de diciembre de 2004, mediante Oficio N</w:t>
      </w:r>
      <w:proofErr w:type="gramStart"/>
      <w:r w:rsidRPr="00D57CA2">
        <w:rPr>
          <w:rFonts w:ascii="Tahoma" w:hAnsi="Tahoma" w:cs="Tahoma"/>
          <w:sz w:val="20"/>
          <w:szCs w:val="20"/>
        </w:rPr>
        <w:t>.º</w:t>
      </w:r>
      <w:proofErr w:type="gramEnd"/>
      <w:r w:rsidRPr="00D57CA2">
        <w:rPr>
          <w:rFonts w:ascii="Tahoma" w:hAnsi="Tahoma" w:cs="Tahoma"/>
          <w:sz w:val="20"/>
          <w:szCs w:val="20"/>
        </w:rPr>
        <w:t xml:space="preserve"> 322-2004-ME/SG-OA-ALC, la Entidad comunicó al Postor el consentimiento de la Buena Pro respecto del ítem N.º 3 del referido proceso de selección. Asimismo, procedió a citarlo para suscribir el respectivo contrato para el día 21 de diciembre de 2004 en las instalaciones de la Entidad, debiendo remitir para tal efecto los documentos correspondientes.</w:t>
      </w:r>
    </w:p>
    <w:p w:rsidR="005D7AA5" w:rsidRPr="00D57CA2" w:rsidRDefault="005D7AA5" w:rsidP="00D57CA2">
      <w:pPr>
        <w:numPr>
          <w:ilvl w:val="0"/>
          <w:numId w:val="5"/>
        </w:numPr>
        <w:tabs>
          <w:tab w:val="clear" w:pos="454"/>
          <w:tab w:val="num" w:pos="540"/>
        </w:tabs>
        <w:ind w:left="540" w:hanging="540"/>
        <w:jc w:val="both"/>
        <w:rPr>
          <w:rFonts w:ascii="Tahoma" w:hAnsi="Tahoma" w:cs="Tahoma"/>
          <w:sz w:val="20"/>
          <w:szCs w:val="20"/>
        </w:rPr>
      </w:pPr>
      <w:r w:rsidRPr="00D57CA2">
        <w:rPr>
          <w:rFonts w:ascii="Tahoma" w:hAnsi="Tahoma" w:cs="Tahoma"/>
          <w:sz w:val="20"/>
          <w:szCs w:val="20"/>
        </w:rPr>
        <w:t>No habiéndose apersonado el Postor a suscribir el contrato en la fecha señalada, mediante Oficio N</w:t>
      </w:r>
      <w:proofErr w:type="gramStart"/>
      <w:r w:rsidRPr="00D57CA2">
        <w:rPr>
          <w:rFonts w:ascii="Tahoma" w:hAnsi="Tahoma" w:cs="Tahoma"/>
          <w:sz w:val="20"/>
          <w:szCs w:val="20"/>
        </w:rPr>
        <w:t>.º</w:t>
      </w:r>
      <w:proofErr w:type="gramEnd"/>
      <w:r w:rsidRPr="00D57CA2">
        <w:rPr>
          <w:rFonts w:ascii="Tahoma" w:hAnsi="Tahoma" w:cs="Tahoma"/>
          <w:sz w:val="20"/>
          <w:szCs w:val="20"/>
        </w:rPr>
        <w:t xml:space="preserve"> 365-2004-ME/SG-OA-ALC, recibido por el Postor el 28 de diciembre de 2004, la Entidad procedió a citarlo por segunda y última vez a suscribir el contrato correspondiente para el día 29 de diciembre de 2004 en las instalaciones de la Entidad. </w:t>
      </w:r>
    </w:p>
    <w:p w:rsidR="005D7AA5" w:rsidRPr="00D57CA2" w:rsidRDefault="005D7AA5" w:rsidP="00D57CA2">
      <w:pPr>
        <w:numPr>
          <w:ilvl w:val="0"/>
          <w:numId w:val="5"/>
        </w:numPr>
        <w:tabs>
          <w:tab w:val="clear" w:pos="454"/>
          <w:tab w:val="num" w:pos="540"/>
        </w:tabs>
        <w:ind w:left="540" w:hanging="540"/>
        <w:jc w:val="both"/>
        <w:rPr>
          <w:rFonts w:ascii="Tahoma" w:hAnsi="Tahoma" w:cs="Tahoma"/>
          <w:sz w:val="20"/>
          <w:szCs w:val="20"/>
        </w:rPr>
      </w:pPr>
      <w:r w:rsidRPr="00D57CA2">
        <w:rPr>
          <w:rFonts w:ascii="Tahoma" w:hAnsi="Tahoma" w:cs="Tahoma"/>
          <w:sz w:val="20"/>
          <w:szCs w:val="20"/>
        </w:rPr>
        <w:t>El 19 de enero de 2005, mediante Oficio N.º 094-2005-ME/SG-OA-ALC, la Entidad comunicó al Postor la perdida de la Buena Pro al no haberse apersonado a la Entidad para la suscripción del respectivo contrato ni haber remitido de manera completa la documentación requerida.</w:t>
      </w:r>
    </w:p>
    <w:p w:rsidR="005D7AA5" w:rsidRPr="00D57CA2" w:rsidRDefault="005D7AA5" w:rsidP="00D57CA2">
      <w:pPr>
        <w:numPr>
          <w:ilvl w:val="0"/>
          <w:numId w:val="5"/>
        </w:numPr>
        <w:tabs>
          <w:tab w:val="clear" w:pos="454"/>
          <w:tab w:val="num" w:pos="540"/>
        </w:tabs>
        <w:ind w:left="540" w:hanging="540"/>
        <w:jc w:val="both"/>
        <w:rPr>
          <w:rFonts w:ascii="Tahoma" w:hAnsi="Tahoma" w:cs="Tahoma"/>
          <w:sz w:val="20"/>
          <w:szCs w:val="20"/>
        </w:rPr>
      </w:pPr>
      <w:r w:rsidRPr="00D57CA2">
        <w:rPr>
          <w:rFonts w:ascii="Tahoma" w:hAnsi="Tahoma" w:cs="Tahoma"/>
          <w:sz w:val="20"/>
          <w:szCs w:val="20"/>
        </w:rPr>
        <w:t>El 19 de abril de 2005, mediante escrito N</w:t>
      </w:r>
      <w:proofErr w:type="gramStart"/>
      <w:r w:rsidRPr="00D57CA2">
        <w:rPr>
          <w:rFonts w:ascii="Tahoma" w:hAnsi="Tahoma" w:cs="Tahoma"/>
          <w:sz w:val="20"/>
          <w:szCs w:val="20"/>
        </w:rPr>
        <w:t>.º</w:t>
      </w:r>
      <w:proofErr w:type="gramEnd"/>
      <w:r w:rsidRPr="00D57CA2">
        <w:rPr>
          <w:rFonts w:ascii="Tahoma" w:hAnsi="Tahoma" w:cs="Tahoma"/>
          <w:sz w:val="20"/>
          <w:szCs w:val="20"/>
        </w:rPr>
        <w:t xml:space="preserve"> 01, la Entidad Puso en conocimiento del Tribunal de Contrataciones y Adquisiciones del Estado, en lo sucesivo el Tribunal, que el Postor habría incurrido en supuesta responsabilidad por no suscribir injustificadamente el Contrato derivado del ítem N.º 3 del referido proceso de selección.</w:t>
      </w:r>
    </w:p>
    <w:p w:rsidR="005D7AA5" w:rsidRPr="00D57CA2" w:rsidRDefault="005D7AA5" w:rsidP="00D57CA2">
      <w:pPr>
        <w:numPr>
          <w:ilvl w:val="0"/>
          <w:numId w:val="5"/>
        </w:numPr>
        <w:tabs>
          <w:tab w:val="clear" w:pos="454"/>
          <w:tab w:val="num" w:pos="540"/>
        </w:tabs>
        <w:ind w:left="540" w:hanging="540"/>
        <w:jc w:val="both"/>
        <w:rPr>
          <w:rFonts w:ascii="Tahoma" w:hAnsi="Tahoma" w:cs="Tahoma"/>
          <w:sz w:val="20"/>
          <w:szCs w:val="20"/>
        </w:rPr>
      </w:pPr>
      <w:r w:rsidRPr="00D57CA2">
        <w:rPr>
          <w:rFonts w:ascii="Tahoma" w:hAnsi="Tahoma" w:cs="Tahoma"/>
          <w:sz w:val="20"/>
          <w:szCs w:val="20"/>
        </w:rPr>
        <w:t>Mediante decreto de fecha 20 de abril de 2005, el Tribunal dispuso el inicio del procedimiento administrativo sancionador al Postor por supuesta responsabilidad en no suscribir injustificadamente el Contrato, pese haber resultado favorecido con el otorgamiento de la Buena Pro respecto del ítem N.º 3 del citado proceso de selección.</w:t>
      </w:r>
    </w:p>
    <w:p w:rsidR="005D7AA5" w:rsidRPr="00D57CA2" w:rsidRDefault="005D7AA5" w:rsidP="00D57CA2">
      <w:pPr>
        <w:numPr>
          <w:ilvl w:val="0"/>
          <w:numId w:val="5"/>
        </w:numPr>
        <w:tabs>
          <w:tab w:val="clear" w:pos="454"/>
          <w:tab w:val="num" w:pos="540"/>
        </w:tabs>
        <w:ind w:left="540" w:hanging="540"/>
        <w:jc w:val="both"/>
        <w:rPr>
          <w:rFonts w:ascii="Tahoma" w:hAnsi="Tahoma" w:cs="Tahoma"/>
          <w:sz w:val="20"/>
          <w:szCs w:val="20"/>
        </w:rPr>
      </w:pPr>
      <w:r w:rsidRPr="00D57CA2">
        <w:rPr>
          <w:rFonts w:ascii="Tahoma" w:hAnsi="Tahoma" w:cs="Tahoma"/>
          <w:sz w:val="20"/>
          <w:szCs w:val="20"/>
        </w:rPr>
        <w:lastRenderedPageBreak/>
        <w:t>El 13 y 17 de mayo de 2005, mediante escrito N.º 1, y N.º 2, respectivamente, el Postor presentó sus descargos en los siguientes términos:</w:t>
      </w:r>
    </w:p>
    <w:p w:rsidR="005D7AA5" w:rsidRPr="00D57CA2" w:rsidRDefault="005D7AA5" w:rsidP="00D57CA2">
      <w:pPr>
        <w:numPr>
          <w:ilvl w:val="4"/>
          <w:numId w:val="5"/>
        </w:numPr>
        <w:tabs>
          <w:tab w:val="clear" w:pos="3600"/>
        </w:tabs>
        <w:ind w:left="900"/>
        <w:jc w:val="both"/>
        <w:rPr>
          <w:rFonts w:ascii="Tahoma" w:hAnsi="Tahoma" w:cs="Tahoma"/>
          <w:sz w:val="20"/>
          <w:szCs w:val="20"/>
        </w:rPr>
      </w:pPr>
      <w:r w:rsidRPr="00D57CA2">
        <w:rPr>
          <w:rFonts w:ascii="Tahoma" w:hAnsi="Tahoma" w:cs="Tahoma"/>
          <w:sz w:val="20"/>
          <w:szCs w:val="20"/>
        </w:rPr>
        <w:t xml:space="preserve">El representante legal de la Editorial Trillas S.A. de C.V. con fecha 18 de noviembre de 2004 otorgó poder amplio y suficiente al señor Juan Pelayo </w:t>
      </w:r>
      <w:proofErr w:type="spellStart"/>
      <w:r w:rsidRPr="00D57CA2">
        <w:rPr>
          <w:rFonts w:ascii="Tahoma" w:hAnsi="Tahoma" w:cs="Tahoma"/>
          <w:sz w:val="20"/>
          <w:szCs w:val="20"/>
        </w:rPr>
        <w:t>Egas</w:t>
      </w:r>
      <w:proofErr w:type="spellEnd"/>
      <w:r w:rsidRPr="00D57CA2">
        <w:rPr>
          <w:rFonts w:ascii="Tahoma" w:hAnsi="Tahoma" w:cs="Tahoma"/>
          <w:sz w:val="20"/>
          <w:szCs w:val="20"/>
        </w:rPr>
        <w:t xml:space="preserve"> Castro, ciudadano peruano, para que presente la propuestas técnica y económica en el referido proceso de selección y, de ser favorecido con el otorgamiento de la buena pro, firmar el contrato y cobrar el cheque respectivo. </w:t>
      </w:r>
    </w:p>
    <w:p w:rsidR="005D7AA5" w:rsidRPr="00D57CA2" w:rsidRDefault="005D7AA5" w:rsidP="00D57CA2">
      <w:pPr>
        <w:numPr>
          <w:ilvl w:val="4"/>
          <w:numId w:val="5"/>
        </w:numPr>
        <w:tabs>
          <w:tab w:val="clear" w:pos="3600"/>
        </w:tabs>
        <w:ind w:left="900"/>
        <w:jc w:val="both"/>
        <w:rPr>
          <w:rFonts w:ascii="Tahoma" w:hAnsi="Tahoma" w:cs="Tahoma"/>
          <w:sz w:val="20"/>
          <w:szCs w:val="20"/>
        </w:rPr>
      </w:pPr>
      <w:r w:rsidRPr="00D57CA2">
        <w:rPr>
          <w:rFonts w:ascii="Tahoma" w:hAnsi="Tahoma" w:cs="Tahoma"/>
          <w:sz w:val="20"/>
          <w:szCs w:val="20"/>
        </w:rPr>
        <w:t>Luego que nuestra empresa tomó conocimiento de la fecha de la firma del contrato de la adjudicación del ítem N</w:t>
      </w:r>
      <w:proofErr w:type="gramStart"/>
      <w:r w:rsidRPr="00D57CA2">
        <w:rPr>
          <w:rFonts w:ascii="Tahoma" w:hAnsi="Tahoma" w:cs="Tahoma"/>
          <w:sz w:val="20"/>
          <w:szCs w:val="20"/>
        </w:rPr>
        <w:t>.º</w:t>
      </w:r>
      <w:proofErr w:type="gramEnd"/>
      <w:r w:rsidRPr="00D57CA2">
        <w:rPr>
          <w:rFonts w:ascii="Tahoma" w:hAnsi="Tahoma" w:cs="Tahoma"/>
          <w:sz w:val="20"/>
          <w:szCs w:val="20"/>
        </w:rPr>
        <w:t xml:space="preserve"> 3 del referido proceso de selección, inició los trámites ante las autoridades mexicanas para la certificación del poder otorgado, para luego recibir la certificación del Consulado peruano en la ciudad de México D.F. y su legalización  ante el Ministerio de Relaciones Exteriores de la República del Perú en la ciudad de Lima. </w:t>
      </w:r>
      <w:r w:rsidRPr="00D57CA2">
        <w:rPr>
          <w:rFonts w:ascii="Tahoma" w:hAnsi="Tahoma" w:cs="Tahoma"/>
          <w:sz w:val="20"/>
          <w:szCs w:val="20"/>
          <w:u w:val="single"/>
        </w:rPr>
        <w:t>Este trámite se realizó en estricto cumplimiento de las instrucciones dadas por el Jefe del Área de Licitaciones y Contratos del Ministerio de Educación de la República del Perú contenidas en el acápite 4 del Oficio N.º 322-2004-ME/SG-OA-ALC</w:t>
      </w:r>
      <w:r w:rsidRPr="00D57CA2">
        <w:rPr>
          <w:rStyle w:val="Refdenotaalpie"/>
          <w:rFonts w:ascii="Tahoma" w:hAnsi="Tahoma" w:cs="Tahoma"/>
          <w:sz w:val="20"/>
          <w:szCs w:val="20"/>
        </w:rPr>
        <w:footnoteReference w:id="2"/>
      </w:r>
      <w:r w:rsidRPr="00D57CA2">
        <w:rPr>
          <w:rFonts w:ascii="Tahoma" w:hAnsi="Tahoma" w:cs="Tahoma"/>
          <w:sz w:val="20"/>
          <w:szCs w:val="20"/>
        </w:rPr>
        <w:t xml:space="preserve"> </w:t>
      </w:r>
    </w:p>
    <w:p w:rsidR="005D7AA5" w:rsidRPr="00D57CA2" w:rsidRDefault="005D7AA5" w:rsidP="00D57CA2">
      <w:pPr>
        <w:numPr>
          <w:ilvl w:val="4"/>
          <w:numId w:val="5"/>
        </w:numPr>
        <w:tabs>
          <w:tab w:val="clear" w:pos="3600"/>
        </w:tabs>
        <w:ind w:left="900"/>
        <w:jc w:val="both"/>
        <w:rPr>
          <w:rFonts w:ascii="Tahoma" w:hAnsi="Tahoma" w:cs="Tahoma"/>
          <w:sz w:val="20"/>
          <w:szCs w:val="20"/>
        </w:rPr>
      </w:pPr>
      <w:r w:rsidRPr="00D57CA2">
        <w:rPr>
          <w:rFonts w:ascii="Tahoma" w:hAnsi="Tahoma" w:cs="Tahoma"/>
          <w:sz w:val="20"/>
          <w:szCs w:val="20"/>
        </w:rPr>
        <w:t xml:space="preserve">A los tres días de notificada la buena pro consentida, el 17 de diciembre de 2004, el Subdirector Consultivo y de Contratos de la Dirección General Jurídica y de Servicios Legales del Gobierno del Distrito federal legalizó el sello y firma del notario que autorizó el documento de otorgamiento de poder. Sin embargo, por disposición interna de la República de los Estados Unidos Mexicanos se ordenó la suspensión de las actividades laborales en la dependencias del Archivo General de Notarias, la Secretaría de Gobernación y la Secretaría de Relaciones Exteriores a partir del 16 de diciembre de 2004 hasta el 3 de enero de 2005 inclusive entidades que debían certificar obligatoriamente los poderes otorgados a ser utilizados en el extranjero, lo cual nos imposibilitó conseguir los sellos del Archivo General de Notarias y de la Secretaría de Relaciones Exteriores de México, requisitos indispensables para que el Cónsul del Perú en México firme y selle el poder otorgado. </w:t>
      </w:r>
    </w:p>
    <w:p w:rsidR="005D7AA5" w:rsidRPr="00D57CA2" w:rsidRDefault="005D7AA5" w:rsidP="00D57CA2">
      <w:pPr>
        <w:numPr>
          <w:ilvl w:val="4"/>
          <w:numId w:val="5"/>
        </w:numPr>
        <w:tabs>
          <w:tab w:val="clear" w:pos="3600"/>
        </w:tabs>
        <w:ind w:left="900"/>
        <w:jc w:val="both"/>
        <w:rPr>
          <w:rFonts w:ascii="Tahoma" w:hAnsi="Tahoma" w:cs="Tahoma"/>
          <w:sz w:val="20"/>
          <w:szCs w:val="20"/>
        </w:rPr>
      </w:pPr>
      <w:r w:rsidRPr="00D57CA2">
        <w:rPr>
          <w:rFonts w:ascii="Tahoma" w:hAnsi="Tahoma" w:cs="Tahoma"/>
          <w:sz w:val="20"/>
          <w:szCs w:val="20"/>
        </w:rPr>
        <w:t xml:space="preserve">Ante esta situación, con fecha 27 de diciembre de 2004 comunicó a la Entidad los hechos antes mencionados a fin que les concediera una </w:t>
      </w:r>
      <w:proofErr w:type="spellStart"/>
      <w:r w:rsidRPr="00D57CA2">
        <w:rPr>
          <w:rFonts w:ascii="Tahoma" w:hAnsi="Tahoma" w:cs="Tahoma"/>
          <w:sz w:val="20"/>
          <w:szCs w:val="20"/>
        </w:rPr>
        <w:t>prorroga</w:t>
      </w:r>
      <w:proofErr w:type="spellEnd"/>
      <w:r w:rsidRPr="00D57CA2">
        <w:rPr>
          <w:rFonts w:ascii="Tahoma" w:hAnsi="Tahoma" w:cs="Tahoma"/>
          <w:sz w:val="20"/>
          <w:szCs w:val="20"/>
        </w:rPr>
        <w:t xml:space="preserve"> para la presentación de los documentos solicitados, dado el caso fortuito ocurrido. Finalmente, luego que se reanudaron las labores de las entidades públicas mexicanas, el 11 y 12 de enero de 2005 la Secretaría de Gobernación y la Secretaría de Relaciones Exteriores de México, respectivamente, certificaron el poder otorgado a nuestro apoderado, el señor Juan Pelayo </w:t>
      </w:r>
      <w:proofErr w:type="spellStart"/>
      <w:r w:rsidRPr="00D57CA2">
        <w:rPr>
          <w:rFonts w:ascii="Tahoma" w:hAnsi="Tahoma" w:cs="Tahoma"/>
          <w:sz w:val="20"/>
          <w:szCs w:val="20"/>
        </w:rPr>
        <w:t>Egas</w:t>
      </w:r>
      <w:proofErr w:type="spellEnd"/>
      <w:r w:rsidRPr="00D57CA2">
        <w:rPr>
          <w:rFonts w:ascii="Tahoma" w:hAnsi="Tahoma" w:cs="Tahoma"/>
          <w:sz w:val="20"/>
          <w:szCs w:val="20"/>
        </w:rPr>
        <w:t xml:space="preserve"> Castro, por lo que, con fecha 13 de enero de 2005 comunicó a la Entidad que contaba con el otorgamiento de poder legalizado y que los libros requeridos ya estaban fabricados desde el 23 de diciembre de 2004; sin embargo, pese a las dos comunicaciones formuladas a la Entidad, no se  recibió respuesta alguna.</w:t>
      </w:r>
    </w:p>
    <w:p w:rsidR="005D7AA5" w:rsidRPr="00D57CA2" w:rsidRDefault="005D7AA5" w:rsidP="00D57CA2">
      <w:pPr>
        <w:numPr>
          <w:ilvl w:val="4"/>
          <w:numId w:val="5"/>
        </w:numPr>
        <w:tabs>
          <w:tab w:val="clear" w:pos="3600"/>
        </w:tabs>
        <w:ind w:left="900"/>
        <w:jc w:val="both"/>
        <w:rPr>
          <w:rFonts w:ascii="Tahoma" w:hAnsi="Tahoma" w:cs="Tahoma"/>
          <w:sz w:val="20"/>
          <w:szCs w:val="20"/>
        </w:rPr>
      </w:pPr>
      <w:r w:rsidRPr="00D57CA2">
        <w:rPr>
          <w:rFonts w:ascii="Tahoma" w:hAnsi="Tahoma" w:cs="Tahoma"/>
          <w:sz w:val="20"/>
          <w:szCs w:val="20"/>
        </w:rPr>
        <w:t xml:space="preserve">En tal sentido, les causó extrañeza la pérdida de la buena pro, pese a las comunicaciones que formularon a la Entidad de que el producto ya se encontraba fabricado y listo para despachar, sólo estaban a la espera de la certificación del </w:t>
      </w:r>
      <w:r w:rsidRPr="00D57CA2">
        <w:rPr>
          <w:rFonts w:ascii="Tahoma" w:hAnsi="Tahoma" w:cs="Tahoma"/>
          <w:sz w:val="20"/>
          <w:szCs w:val="20"/>
        </w:rPr>
        <w:lastRenderedPageBreak/>
        <w:t>otorgamiento del poder por parte de las autoridades mexicanas, lo cual se generó por causas ajenas a su voluntad.</w:t>
      </w:r>
    </w:p>
    <w:p w:rsidR="005D7AA5" w:rsidRPr="00D57CA2" w:rsidRDefault="005D7AA5" w:rsidP="00D57CA2">
      <w:pPr>
        <w:numPr>
          <w:ilvl w:val="0"/>
          <w:numId w:val="5"/>
        </w:numPr>
        <w:tabs>
          <w:tab w:val="clear" w:pos="454"/>
          <w:tab w:val="num" w:pos="540"/>
        </w:tabs>
        <w:ind w:left="540" w:hanging="540"/>
        <w:jc w:val="both"/>
        <w:rPr>
          <w:rFonts w:ascii="Tahoma" w:hAnsi="Tahoma" w:cs="Tahoma"/>
          <w:sz w:val="20"/>
          <w:szCs w:val="20"/>
        </w:rPr>
      </w:pPr>
      <w:r w:rsidRPr="00D57CA2">
        <w:rPr>
          <w:rFonts w:ascii="Tahoma" w:hAnsi="Tahoma" w:cs="Tahoma"/>
          <w:sz w:val="20"/>
          <w:szCs w:val="20"/>
        </w:rPr>
        <w:t xml:space="preserve">Mediante decreto de fecha 19.05.2005, el Tribunal dispuso la remisión del expediente a la Sala Única del Tribunal para que resuelva. </w:t>
      </w:r>
    </w:p>
    <w:p w:rsidR="00A06483" w:rsidRPr="00D57CA2" w:rsidRDefault="005D7AA5" w:rsidP="00D57CA2">
      <w:pPr>
        <w:numPr>
          <w:ilvl w:val="0"/>
          <w:numId w:val="5"/>
        </w:numPr>
        <w:tabs>
          <w:tab w:val="clear" w:pos="454"/>
          <w:tab w:val="num" w:pos="540"/>
        </w:tabs>
        <w:ind w:left="540" w:hanging="540"/>
        <w:jc w:val="both"/>
        <w:rPr>
          <w:rFonts w:ascii="Tahoma" w:hAnsi="Tahoma" w:cs="Tahoma"/>
          <w:sz w:val="20"/>
          <w:szCs w:val="20"/>
        </w:rPr>
      </w:pPr>
      <w:r w:rsidRPr="00D57CA2">
        <w:rPr>
          <w:rFonts w:ascii="Tahoma" w:hAnsi="Tahoma" w:cs="Tahoma"/>
          <w:sz w:val="20"/>
          <w:szCs w:val="20"/>
        </w:rPr>
        <w:t xml:space="preserve">Mediante decreto de fecha 13 de octubre de 2007, se remitió el expediente a la Tercera Sala del Tribunal </w:t>
      </w:r>
      <w:proofErr w:type="spellStart"/>
      <w:r w:rsidRPr="00D57CA2">
        <w:rPr>
          <w:rFonts w:ascii="Tahoma" w:hAnsi="Tahoma" w:cs="Tahoma"/>
          <w:sz w:val="20"/>
          <w:szCs w:val="20"/>
        </w:rPr>
        <w:t>constituita</w:t>
      </w:r>
      <w:proofErr w:type="spellEnd"/>
      <w:r w:rsidRPr="00D57CA2">
        <w:rPr>
          <w:rFonts w:ascii="Tahoma" w:hAnsi="Tahoma" w:cs="Tahoma"/>
          <w:sz w:val="20"/>
          <w:szCs w:val="20"/>
        </w:rPr>
        <w:t xml:space="preserve"> mediante Resolución N.º 279-2007-CONSUCODE/PRE de fecha 21 de mayo de 2007</w:t>
      </w:r>
      <w:proofErr w:type="gramStart"/>
      <w:r w:rsidRPr="00D57CA2">
        <w:rPr>
          <w:rFonts w:ascii="Tahoma" w:hAnsi="Tahoma" w:cs="Tahoma"/>
          <w:sz w:val="20"/>
          <w:szCs w:val="20"/>
        </w:rPr>
        <w:t>..</w:t>
      </w:r>
      <w:proofErr w:type="gramEnd"/>
      <w:r w:rsidR="00A06483" w:rsidRPr="00D57CA2">
        <w:rPr>
          <w:rFonts w:ascii="Tahoma" w:hAnsi="Tahoma" w:cs="Tahoma"/>
          <w:sz w:val="20"/>
          <w:szCs w:val="20"/>
        </w:rPr>
        <w:t xml:space="preserve"> </w:t>
      </w:r>
    </w:p>
    <w:p w:rsidR="00A06483" w:rsidRPr="00D57CA2" w:rsidRDefault="00A06483" w:rsidP="00D57CA2">
      <w:pPr>
        <w:jc w:val="both"/>
        <w:rPr>
          <w:rFonts w:ascii="Tahoma" w:hAnsi="Tahoma" w:cs="Tahoma"/>
          <w:b/>
          <w:shadow/>
          <w:sz w:val="20"/>
          <w:szCs w:val="20"/>
        </w:rPr>
      </w:pPr>
    </w:p>
    <w:p w:rsidR="00360605" w:rsidRPr="00D57CA2" w:rsidRDefault="00360605" w:rsidP="00D57CA2">
      <w:pPr>
        <w:jc w:val="both"/>
        <w:rPr>
          <w:rFonts w:ascii="Tahoma" w:hAnsi="Tahoma" w:cs="Tahoma"/>
          <w:b/>
          <w:shadow/>
          <w:sz w:val="20"/>
          <w:szCs w:val="20"/>
        </w:rPr>
      </w:pPr>
      <w:r w:rsidRPr="00D57CA2">
        <w:rPr>
          <w:rFonts w:ascii="Tahoma" w:hAnsi="Tahoma" w:cs="Tahoma"/>
          <w:b/>
          <w:shadow/>
          <w:sz w:val="20"/>
          <w:szCs w:val="20"/>
        </w:rPr>
        <w:t>FUNDAMENTACION</w:t>
      </w:r>
    </w:p>
    <w:p w:rsidR="007A7D00" w:rsidRPr="00D57CA2" w:rsidRDefault="007A7D00" w:rsidP="00D57CA2">
      <w:pPr>
        <w:rPr>
          <w:rFonts w:ascii="Tahoma" w:hAnsi="Tahoma" w:cs="Tahoma"/>
          <w:b/>
          <w:sz w:val="20"/>
          <w:szCs w:val="20"/>
        </w:rPr>
      </w:pPr>
    </w:p>
    <w:p w:rsidR="007A7D00" w:rsidRPr="00D57CA2" w:rsidRDefault="007A7D00" w:rsidP="00D57CA2">
      <w:pPr>
        <w:numPr>
          <w:ilvl w:val="0"/>
          <w:numId w:val="6"/>
        </w:numPr>
        <w:tabs>
          <w:tab w:val="clear" w:pos="720"/>
          <w:tab w:val="num" w:pos="540"/>
        </w:tabs>
        <w:spacing w:before="100" w:after="100"/>
        <w:ind w:left="540" w:hanging="540"/>
        <w:jc w:val="both"/>
        <w:rPr>
          <w:rFonts w:ascii="Tahoma" w:hAnsi="Tahoma" w:cs="Tahoma"/>
          <w:sz w:val="20"/>
          <w:szCs w:val="20"/>
        </w:rPr>
      </w:pPr>
      <w:r w:rsidRPr="00D57CA2">
        <w:rPr>
          <w:rFonts w:ascii="Tahoma" w:eastAsia="Tahoma" w:hAnsi="Tahoma" w:cs="Tahoma"/>
          <w:sz w:val="20"/>
          <w:szCs w:val="20"/>
        </w:rPr>
        <w:t xml:space="preserve">El presente procedimiento está referido a la supuesta responsabilidad de la </w:t>
      </w:r>
      <w:r w:rsidRPr="00D57CA2">
        <w:rPr>
          <w:rFonts w:ascii="Tahoma" w:hAnsi="Tahoma" w:cs="Tahoma"/>
          <w:sz w:val="20"/>
          <w:szCs w:val="20"/>
        </w:rPr>
        <w:t>empresa Editorial Trillas S.A. De C.U. por la no suscripción injustificada del Contrato, pese haber resultado adjudicataria de la Buena Pro del ítem N</w:t>
      </w:r>
      <w:proofErr w:type="gramStart"/>
      <w:r w:rsidRPr="00D57CA2">
        <w:rPr>
          <w:rFonts w:ascii="Tahoma" w:hAnsi="Tahoma" w:cs="Tahoma"/>
          <w:sz w:val="20"/>
          <w:szCs w:val="20"/>
        </w:rPr>
        <w:t>.º</w:t>
      </w:r>
      <w:proofErr w:type="gramEnd"/>
      <w:r w:rsidRPr="00D57CA2">
        <w:rPr>
          <w:rFonts w:ascii="Tahoma" w:hAnsi="Tahoma" w:cs="Tahoma"/>
          <w:sz w:val="20"/>
          <w:szCs w:val="20"/>
        </w:rPr>
        <w:t xml:space="preserve"> 3 de la Licitación Pública Internacional N.º 0004-2004-ED, infracción tipificada en el literal a) del artículo 205</w:t>
      </w:r>
      <w:r w:rsidRPr="00D57CA2">
        <w:rPr>
          <w:rStyle w:val="Refdenotaalpie"/>
          <w:rFonts w:ascii="Tahoma" w:hAnsi="Tahoma" w:cs="Tahoma"/>
          <w:sz w:val="20"/>
          <w:szCs w:val="20"/>
        </w:rPr>
        <w:footnoteReference w:id="3"/>
      </w:r>
      <w:r w:rsidRPr="00D57CA2">
        <w:rPr>
          <w:rFonts w:ascii="Tahoma" w:hAnsi="Tahoma" w:cs="Tahoma"/>
          <w:sz w:val="20"/>
          <w:szCs w:val="20"/>
        </w:rPr>
        <w:t xml:space="preserve"> del Reglamento de la Ley de Contrataciones y Adquisiciones del Estado, aprobado por Decreto Supremo N.º 013-2001-PCM, en adelante el Reglamento, norma vigente al momento de suscitado los hechos imputados.</w:t>
      </w:r>
    </w:p>
    <w:p w:rsidR="007A7D00" w:rsidRPr="00D57CA2" w:rsidRDefault="007A7D00" w:rsidP="00D57CA2">
      <w:pPr>
        <w:numPr>
          <w:ilvl w:val="0"/>
          <w:numId w:val="6"/>
        </w:numPr>
        <w:tabs>
          <w:tab w:val="clear" w:pos="720"/>
          <w:tab w:val="num" w:pos="540"/>
        </w:tabs>
        <w:spacing w:before="100" w:after="100"/>
        <w:ind w:left="540" w:hanging="540"/>
        <w:jc w:val="both"/>
        <w:rPr>
          <w:rFonts w:ascii="Tahoma" w:hAnsi="Tahoma" w:cs="Tahoma"/>
          <w:sz w:val="20"/>
          <w:szCs w:val="20"/>
        </w:rPr>
      </w:pPr>
      <w:r w:rsidRPr="00D57CA2">
        <w:rPr>
          <w:rFonts w:ascii="Tahoma" w:hAnsi="Tahoma" w:cs="Tahoma"/>
          <w:sz w:val="20"/>
          <w:szCs w:val="20"/>
          <w:lang w:val="es-MX"/>
        </w:rPr>
        <w:t>P</w:t>
      </w:r>
      <w:r w:rsidRPr="00D57CA2">
        <w:rPr>
          <w:rFonts w:ascii="Tahoma" w:hAnsi="Tahoma" w:cs="Tahoma"/>
          <w:sz w:val="20"/>
          <w:szCs w:val="20"/>
        </w:rPr>
        <w:t>ara la configuración del supuesto de hecho de la norma que contiene la infracción invocada, se requiere previamente acreditar que la Entidad ha dado cumplimiento al procedimiento de citación al postor adjudicatario de la buena pro para suscripción de contrato, conforme a lo establecido en los numerales 2) y 3) del artículo 118 del Reglamento los cuales disponen que, una vez consentida la buena pro, la Entidad deberá citar al postor ganador o su representante debidamente autorizado para que en un plazo de diez (10) días suscriba el respectivo contrato, con una mínima antelación de cinco (5) días, dejando a salvo el hecho de que se le cite en una segunda oportunidad dentro de un plazo que no podrá exceder los cinco (5) días siguientes a la fecha inicialmente señalada, siendo esta última fecha improrrogable, puesto que al no ser cumplida por el Postor, éste perdería la Buena Pro, sin perjuicio de la sanción administrativa imputable. El cumplimiento de este procedimiento constituye una condición necesaria para evaluar la existencia de eventuales responsabilidades por la comisión de la infracción tipificada en el literal a) del artículo 205 del Reglamento.</w:t>
      </w:r>
    </w:p>
    <w:p w:rsidR="007A7D00" w:rsidRPr="00D57CA2" w:rsidRDefault="007A7D00" w:rsidP="00D57CA2">
      <w:pPr>
        <w:numPr>
          <w:ilvl w:val="0"/>
          <w:numId w:val="6"/>
        </w:numPr>
        <w:tabs>
          <w:tab w:val="clear" w:pos="720"/>
          <w:tab w:val="num" w:pos="540"/>
        </w:tabs>
        <w:spacing w:before="100" w:after="100"/>
        <w:ind w:left="540" w:hanging="540"/>
        <w:jc w:val="both"/>
        <w:rPr>
          <w:rFonts w:ascii="Tahoma" w:hAnsi="Tahoma" w:cs="Tahoma"/>
          <w:sz w:val="20"/>
          <w:szCs w:val="20"/>
        </w:rPr>
      </w:pPr>
      <w:r w:rsidRPr="00D57CA2">
        <w:rPr>
          <w:rFonts w:ascii="Tahoma" w:hAnsi="Tahoma" w:cs="Tahoma"/>
          <w:sz w:val="20"/>
          <w:szCs w:val="20"/>
        </w:rPr>
        <w:t xml:space="preserve">Los plazos mencionados precedentemente han sido previstos por la norma de la materia a favor del postor adjudicatario de la Buena Pro, constituyendo un </w:t>
      </w:r>
      <w:proofErr w:type="spellStart"/>
      <w:proofErr w:type="gramStart"/>
      <w:r w:rsidRPr="00D57CA2">
        <w:rPr>
          <w:rFonts w:ascii="Tahoma" w:hAnsi="Tahoma" w:cs="Tahoma"/>
          <w:sz w:val="20"/>
          <w:szCs w:val="20"/>
        </w:rPr>
        <w:t>limite</w:t>
      </w:r>
      <w:proofErr w:type="spellEnd"/>
      <w:proofErr w:type="gramEnd"/>
      <w:r w:rsidRPr="00D57CA2">
        <w:rPr>
          <w:rFonts w:ascii="Tahoma" w:hAnsi="Tahoma" w:cs="Tahoma"/>
          <w:sz w:val="20"/>
          <w:szCs w:val="20"/>
        </w:rPr>
        <w:t xml:space="preserve"> a la actuación de la Entidad a fin que ésta no le otorgue plazos arbitrarios que le impidan recabar los documentos necesarios para la respectiva suscripción del contrato.</w:t>
      </w:r>
    </w:p>
    <w:p w:rsidR="007A7D00" w:rsidRPr="00D57CA2" w:rsidRDefault="007A7D00" w:rsidP="00D57CA2">
      <w:pPr>
        <w:numPr>
          <w:ilvl w:val="0"/>
          <w:numId w:val="6"/>
        </w:numPr>
        <w:tabs>
          <w:tab w:val="clear" w:pos="720"/>
          <w:tab w:val="num" w:pos="540"/>
        </w:tabs>
        <w:spacing w:before="100" w:after="100"/>
        <w:ind w:left="540" w:hanging="540"/>
        <w:jc w:val="both"/>
        <w:rPr>
          <w:rFonts w:ascii="Tahoma" w:hAnsi="Tahoma" w:cs="Tahoma"/>
          <w:sz w:val="20"/>
          <w:szCs w:val="20"/>
        </w:rPr>
      </w:pPr>
      <w:r w:rsidRPr="00D57CA2">
        <w:rPr>
          <w:rFonts w:ascii="Tahoma" w:hAnsi="Tahoma" w:cs="Tahoma"/>
          <w:sz w:val="20"/>
          <w:szCs w:val="20"/>
          <w:lang w:val="es-ES_tradnl"/>
        </w:rPr>
        <w:t>En ese orden de ideas, corresponde determinar de manera previa, si la Entidad ha seguido el debido procedimiento para suscribir el contrato.</w:t>
      </w:r>
    </w:p>
    <w:p w:rsidR="007A7D00" w:rsidRPr="00D57CA2" w:rsidRDefault="007A7D00" w:rsidP="00D57CA2">
      <w:pPr>
        <w:numPr>
          <w:ilvl w:val="0"/>
          <w:numId w:val="6"/>
        </w:numPr>
        <w:tabs>
          <w:tab w:val="clear" w:pos="720"/>
          <w:tab w:val="num" w:pos="540"/>
        </w:tabs>
        <w:spacing w:before="100" w:after="100"/>
        <w:ind w:left="540" w:hanging="540"/>
        <w:jc w:val="both"/>
        <w:rPr>
          <w:rFonts w:ascii="Tahoma" w:hAnsi="Tahoma" w:cs="Tahoma"/>
          <w:sz w:val="20"/>
          <w:szCs w:val="20"/>
        </w:rPr>
      </w:pPr>
      <w:r w:rsidRPr="00D57CA2">
        <w:rPr>
          <w:rFonts w:ascii="Tahoma" w:hAnsi="Tahoma" w:cs="Tahoma"/>
          <w:sz w:val="20"/>
          <w:szCs w:val="20"/>
        </w:rPr>
        <w:lastRenderedPageBreak/>
        <w:t>De la revisión de los antecedentes administrativos que obran en autos, se aprecia que la buena pro del ítem N</w:t>
      </w:r>
      <w:proofErr w:type="gramStart"/>
      <w:r w:rsidRPr="00D57CA2">
        <w:rPr>
          <w:rFonts w:ascii="Tahoma" w:hAnsi="Tahoma" w:cs="Tahoma"/>
          <w:sz w:val="20"/>
          <w:szCs w:val="20"/>
        </w:rPr>
        <w:t>.º</w:t>
      </w:r>
      <w:proofErr w:type="gramEnd"/>
      <w:r w:rsidRPr="00D57CA2">
        <w:rPr>
          <w:rFonts w:ascii="Tahoma" w:hAnsi="Tahoma" w:cs="Tahoma"/>
          <w:sz w:val="20"/>
          <w:szCs w:val="20"/>
        </w:rPr>
        <w:t xml:space="preserve"> 3 quedó consentida el 13 de diciembre de 2004, por lo que mediante Oficio № 322-2004-ME/SG-OA-ALC, debidamente recibida el 14 de diciembre de 2004, la Entidad comunicó al Postor que debía apersonarse a las instalaciones de la Entidad el 21 de diciembre de 2004 a fin de suscribir el respectivo contrato. </w:t>
      </w:r>
    </w:p>
    <w:p w:rsidR="007A7D00" w:rsidRPr="00D57CA2" w:rsidRDefault="007A7D00" w:rsidP="00D57CA2">
      <w:pPr>
        <w:ind w:left="540"/>
        <w:jc w:val="both"/>
        <w:rPr>
          <w:rFonts w:ascii="Tahoma" w:hAnsi="Tahoma" w:cs="Tahoma"/>
          <w:sz w:val="20"/>
          <w:szCs w:val="20"/>
          <w:lang w:val="es-ES_tradnl"/>
        </w:rPr>
      </w:pPr>
      <w:r w:rsidRPr="00D57CA2">
        <w:rPr>
          <w:rFonts w:ascii="Tahoma" w:hAnsi="Tahoma" w:cs="Tahoma"/>
          <w:sz w:val="20"/>
          <w:szCs w:val="20"/>
        </w:rPr>
        <w:t>Debido a que el adjudicatario de la buena pro del ítem N</w:t>
      </w:r>
      <w:proofErr w:type="gramStart"/>
      <w:r w:rsidRPr="00D57CA2">
        <w:rPr>
          <w:rFonts w:ascii="Tahoma" w:hAnsi="Tahoma" w:cs="Tahoma"/>
          <w:sz w:val="20"/>
          <w:szCs w:val="20"/>
        </w:rPr>
        <w:t>.º</w:t>
      </w:r>
      <w:proofErr w:type="gramEnd"/>
      <w:r w:rsidRPr="00D57CA2">
        <w:rPr>
          <w:rFonts w:ascii="Tahoma" w:hAnsi="Tahoma" w:cs="Tahoma"/>
          <w:sz w:val="20"/>
          <w:szCs w:val="20"/>
        </w:rPr>
        <w:t xml:space="preserve"> 3 no se presentó en el día previsto, con Oficio N.° 365-2004-ME/SG-OA-ALC, notificado el 28 de diciembre 2004, la Entidad lo citó por segunda y última vez para el día 29 de diciembre de 2004.</w:t>
      </w:r>
    </w:p>
    <w:p w:rsidR="007A7D00" w:rsidRPr="00D57CA2" w:rsidRDefault="007A7D00" w:rsidP="00D57CA2">
      <w:pPr>
        <w:numPr>
          <w:ilvl w:val="0"/>
          <w:numId w:val="6"/>
        </w:numPr>
        <w:tabs>
          <w:tab w:val="clear" w:pos="720"/>
          <w:tab w:val="num" w:pos="540"/>
        </w:tabs>
        <w:ind w:left="540" w:hanging="540"/>
        <w:jc w:val="both"/>
        <w:rPr>
          <w:rFonts w:ascii="Tahoma" w:hAnsi="Tahoma" w:cs="Tahoma"/>
          <w:sz w:val="20"/>
          <w:szCs w:val="20"/>
          <w:lang w:val="es-ES_tradnl"/>
        </w:rPr>
      </w:pPr>
      <w:r w:rsidRPr="00D57CA2">
        <w:rPr>
          <w:rFonts w:ascii="Tahoma" w:hAnsi="Tahoma" w:cs="Tahoma"/>
          <w:sz w:val="20"/>
          <w:szCs w:val="20"/>
        </w:rPr>
        <w:t>De lo expuesto en el numeral precedente, se verifica que la Entidad ha observado el procedimiento establecido para la suscripción del contrato, en ese sentido, corresponde a este Colegiado determinar la responsabilidad del Postor respecto de los hechos denunciados, siendo relevante determinar si dicha omisión tuvo su origen en una causa atribuible a su parte o si ha mediado causa de justificación</w:t>
      </w:r>
      <w:r w:rsidRPr="00D57CA2">
        <w:rPr>
          <w:rFonts w:ascii="Tahoma" w:hAnsi="Tahoma" w:cs="Tahoma"/>
          <w:sz w:val="20"/>
          <w:szCs w:val="20"/>
          <w:lang w:val="es-ES_tradnl"/>
        </w:rPr>
        <w:t xml:space="preserve">. </w:t>
      </w:r>
    </w:p>
    <w:p w:rsidR="007A7D00" w:rsidRPr="00D57CA2" w:rsidRDefault="007A7D00" w:rsidP="00D57CA2">
      <w:pPr>
        <w:numPr>
          <w:ilvl w:val="0"/>
          <w:numId w:val="6"/>
        </w:numPr>
        <w:tabs>
          <w:tab w:val="clear" w:pos="720"/>
          <w:tab w:val="num" w:pos="540"/>
        </w:tabs>
        <w:ind w:left="540" w:hanging="540"/>
        <w:jc w:val="both"/>
        <w:rPr>
          <w:rFonts w:ascii="Tahoma" w:hAnsi="Tahoma" w:cs="Tahoma"/>
          <w:sz w:val="20"/>
          <w:szCs w:val="20"/>
          <w:lang w:val="es-ES_tradnl"/>
        </w:rPr>
      </w:pPr>
      <w:r w:rsidRPr="00D57CA2">
        <w:rPr>
          <w:rFonts w:ascii="Tahoma" w:hAnsi="Tahoma" w:cs="Tahoma"/>
          <w:sz w:val="20"/>
          <w:szCs w:val="20"/>
          <w:lang w:val="es-ES_tradnl"/>
        </w:rPr>
        <w:t>Sobre el particular, el P</w:t>
      </w:r>
      <w:proofErr w:type="spellStart"/>
      <w:r w:rsidRPr="00D57CA2">
        <w:rPr>
          <w:rFonts w:ascii="Tahoma" w:hAnsi="Tahoma" w:cs="Tahoma"/>
          <w:sz w:val="20"/>
          <w:szCs w:val="20"/>
        </w:rPr>
        <w:t>ostor</w:t>
      </w:r>
      <w:proofErr w:type="spellEnd"/>
      <w:r w:rsidRPr="00D57CA2">
        <w:rPr>
          <w:rFonts w:ascii="Tahoma" w:hAnsi="Tahoma" w:cs="Tahoma"/>
          <w:sz w:val="20"/>
          <w:szCs w:val="20"/>
        </w:rPr>
        <w:t xml:space="preserve"> ha alegado, como argumento de defensa, que la suscripción del contrato no se concretó por caso fortuito, dado que, luego que su empresa tomó conocimiento de la fecha de la firma del contrato de la adjudicación del ítem N.º 3 del referido proceso de selección, inició los trámites ante las autoridades mexicanas para certificar los poderes de su representante de acuerdo a lo indicado en el acápite 4 del Oficio N.º 322-2004-ME/SG-OA-ALC, el cual señalaba que el Postor, por tratarse de una empresa extranjera con representante legal extranjero no residente, debía remitir el poder de representación que le ha sido otorgado ante el Consulado peruano, debidamente legalizado ante </w:t>
      </w:r>
      <w:proofErr w:type="spellStart"/>
      <w:r w:rsidRPr="00D57CA2">
        <w:rPr>
          <w:rFonts w:ascii="Tahoma" w:hAnsi="Tahoma" w:cs="Tahoma"/>
          <w:sz w:val="20"/>
          <w:szCs w:val="20"/>
        </w:rPr>
        <w:t>le</w:t>
      </w:r>
      <w:proofErr w:type="spellEnd"/>
      <w:r w:rsidRPr="00D57CA2">
        <w:rPr>
          <w:rFonts w:ascii="Tahoma" w:hAnsi="Tahoma" w:cs="Tahoma"/>
          <w:sz w:val="20"/>
          <w:szCs w:val="20"/>
        </w:rPr>
        <w:t xml:space="preserve"> Ministerio de Relaciones Exteriores y el certificado registral de inscripción del poder o mandato. Sin embargo, pese haber realizado todos los trámites necesarios para obtener la certificación del otorgamiento de poder, ello no fue posible por la suspensión de actividades de las entidades de la administración pública de la República de México.</w:t>
      </w:r>
    </w:p>
    <w:p w:rsidR="007A7D00" w:rsidRPr="00D57CA2" w:rsidRDefault="007A7D00" w:rsidP="00D57CA2">
      <w:pPr>
        <w:numPr>
          <w:ilvl w:val="0"/>
          <w:numId w:val="6"/>
        </w:numPr>
        <w:tabs>
          <w:tab w:val="clear" w:pos="720"/>
          <w:tab w:val="num" w:pos="540"/>
        </w:tabs>
        <w:ind w:left="540" w:hanging="540"/>
        <w:jc w:val="both"/>
        <w:rPr>
          <w:rFonts w:ascii="Tahoma" w:hAnsi="Tahoma" w:cs="Tahoma"/>
          <w:sz w:val="20"/>
          <w:szCs w:val="20"/>
          <w:lang w:val="es-ES_tradnl"/>
        </w:rPr>
      </w:pPr>
      <w:r w:rsidRPr="00D57CA2">
        <w:rPr>
          <w:rFonts w:ascii="Tahoma" w:hAnsi="Tahoma" w:cs="Tahoma"/>
          <w:sz w:val="20"/>
          <w:szCs w:val="20"/>
        </w:rPr>
        <w:t xml:space="preserve">Al respecto, el artículo 1315 del Código Civil peruano ha definido el caso fortuito o fuerza mayor como </w:t>
      </w:r>
      <w:r w:rsidRPr="00D57CA2">
        <w:rPr>
          <w:rFonts w:ascii="Tahoma" w:hAnsi="Tahoma" w:cs="Tahoma"/>
          <w:i/>
          <w:sz w:val="20"/>
          <w:szCs w:val="20"/>
        </w:rPr>
        <w:t>“…</w:t>
      </w:r>
      <w:r w:rsidRPr="00D57CA2">
        <w:rPr>
          <w:rFonts w:ascii="Tahoma" w:hAnsi="Tahoma" w:cs="Tahoma"/>
          <w:sz w:val="20"/>
          <w:szCs w:val="20"/>
        </w:rPr>
        <w:t xml:space="preserve"> </w:t>
      </w:r>
      <w:r w:rsidRPr="00D57CA2">
        <w:rPr>
          <w:rFonts w:ascii="Tahoma" w:hAnsi="Tahoma" w:cs="Tahoma"/>
          <w:i/>
          <w:sz w:val="20"/>
          <w:szCs w:val="20"/>
        </w:rPr>
        <w:t xml:space="preserve">la causa no imputable, consistente en un evento </w:t>
      </w:r>
      <w:r w:rsidRPr="00D57CA2">
        <w:rPr>
          <w:rFonts w:ascii="Tahoma" w:hAnsi="Tahoma" w:cs="Tahoma"/>
          <w:i/>
          <w:sz w:val="20"/>
          <w:szCs w:val="20"/>
          <w:u w:val="single"/>
        </w:rPr>
        <w:t>extraordinario, imprevisible e irresistible</w:t>
      </w:r>
      <w:r w:rsidRPr="00D57CA2">
        <w:rPr>
          <w:rFonts w:ascii="Tahoma" w:hAnsi="Tahoma" w:cs="Tahoma"/>
          <w:i/>
          <w:sz w:val="20"/>
          <w:szCs w:val="20"/>
        </w:rPr>
        <w:t>, que impide la ejecución de la obligación o determina su cumplimiento parcial, tardío o defectuoso”.</w:t>
      </w:r>
    </w:p>
    <w:p w:rsidR="007A7D00" w:rsidRPr="00D57CA2" w:rsidRDefault="007A7D00" w:rsidP="00D57CA2">
      <w:pPr>
        <w:numPr>
          <w:ilvl w:val="0"/>
          <w:numId w:val="6"/>
        </w:numPr>
        <w:tabs>
          <w:tab w:val="clear" w:pos="720"/>
          <w:tab w:val="num" w:pos="540"/>
        </w:tabs>
        <w:ind w:left="540" w:hanging="540"/>
        <w:jc w:val="both"/>
        <w:rPr>
          <w:rFonts w:ascii="Tahoma" w:hAnsi="Tahoma" w:cs="Tahoma"/>
          <w:sz w:val="20"/>
          <w:szCs w:val="20"/>
          <w:lang w:val="es-ES_tradnl"/>
        </w:rPr>
      </w:pPr>
      <w:r w:rsidRPr="00D57CA2">
        <w:rPr>
          <w:rFonts w:ascii="Tahoma" w:hAnsi="Tahoma" w:cs="Tahoma"/>
          <w:sz w:val="20"/>
          <w:szCs w:val="20"/>
          <w:lang w:val="es-ES_tradnl"/>
        </w:rPr>
        <w:t xml:space="preserve">Asimismo, </w:t>
      </w:r>
      <w:proofErr w:type="spellStart"/>
      <w:r w:rsidRPr="00D57CA2">
        <w:rPr>
          <w:rFonts w:ascii="Tahoma" w:hAnsi="Tahoma" w:cs="Tahoma"/>
          <w:sz w:val="20"/>
          <w:szCs w:val="20"/>
        </w:rPr>
        <w:t>Osterling</w:t>
      </w:r>
      <w:proofErr w:type="spellEnd"/>
      <w:r w:rsidRPr="00D57CA2">
        <w:rPr>
          <w:rFonts w:ascii="Tahoma" w:hAnsi="Tahoma" w:cs="Tahoma"/>
          <w:sz w:val="20"/>
          <w:szCs w:val="20"/>
        </w:rPr>
        <w:t xml:space="preserve"> Parodi</w:t>
      </w:r>
      <w:r w:rsidRPr="00D57CA2">
        <w:rPr>
          <w:rStyle w:val="Refdenotaalpie"/>
          <w:rFonts w:ascii="Tahoma" w:hAnsi="Tahoma" w:cs="Tahoma"/>
          <w:sz w:val="20"/>
          <w:szCs w:val="20"/>
          <w:lang w:val="es-ES_tradnl"/>
        </w:rPr>
        <w:footnoteReference w:id="4"/>
      </w:r>
      <w:r w:rsidRPr="00D57CA2">
        <w:rPr>
          <w:rFonts w:ascii="Tahoma" w:hAnsi="Tahoma" w:cs="Tahoma"/>
          <w:sz w:val="20"/>
          <w:szCs w:val="20"/>
          <w:lang w:val="es-ES_tradnl"/>
        </w:rPr>
        <w:t xml:space="preserve"> ha precisado los términos que están presentes en los supuestos de caso fortuito o fuerza mayor, de la siguiente forma:   </w:t>
      </w:r>
    </w:p>
    <w:p w:rsidR="007A7D00" w:rsidRPr="00D57CA2" w:rsidRDefault="007A7D00" w:rsidP="00D57CA2">
      <w:pPr>
        <w:ind w:left="540"/>
        <w:jc w:val="both"/>
        <w:rPr>
          <w:rFonts w:ascii="Tahoma" w:hAnsi="Tahoma" w:cs="Tahoma"/>
          <w:i/>
          <w:sz w:val="20"/>
          <w:szCs w:val="20"/>
          <w:lang w:val="es-ES_tradnl"/>
        </w:rPr>
      </w:pPr>
      <w:r w:rsidRPr="00D57CA2">
        <w:rPr>
          <w:rFonts w:ascii="Tahoma" w:hAnsi="Tahoma" w:cs="Tahoma"/>
          <w:i/>
          <w:sz w:val="20"/>
          <w:szCs w:val="20"/>
          <w:lang w:val="es-ES_tradnl"/>
        </w:rPr>
        <w:t>“Acontecimiento</w:t>
      </w:r>
      <w:r w:rsidRPr="00D57CA2">
        <w:rPr>
          <w:rFonts w:ascii="Tahoma" w:hAnsi="Tahoma" w:cs="Tahoma"/>
          <w:sz w:val="20"/>
          <w:szCs w:val="20"/>
          <w:lang w:val="es-ES_tradnl"/>
        </w:rPr>
        <w:t xml:space="preserve"> </w:t>
      </w:r>
      <w:r w:rsidRPr="00D57CA2">
        <w:rPr>
          <w:rFonts w:ascii="Tahoma" w:hAnsi="Tahoma" w:cs="Tahoma"/>
          <w:i/>
          <w:sz w:val="20"/>
          <w:szCs w:val="20"/>
          <w:u w:val="single"/>
          <w:lang w:val="es-ES_tradnl"/>
        </w:rPr>
        <w:t>extraordinario</w:t>
      </w:r>
      <w:r w:rsidRPr="00D57CA2">
        <w:rPr>
          <w:rFonts w:ascii="Tahoma" w:hAnsi="Tahoma" w:cs="Tahoma"/>
          <w:sz w:val="20"/>
          <w:szCs w:val="20"/>
          <w:lang w:val="es-ES_tradnl"/>
        </w:rPr>
        <w:t xml:space="preserve"> </w:t>
      </w:r>
      <w:r w:rsidRPr="00D57CA2">
        <w:rPr>
          <w:rFonts w:ascii="Tahoma" w:hAnsi="Tahoma" w:cs="Tahoma"/>
          <w:i/>
          <w:sz w:val="20"/>
          <w:szCs w:val="20"/>
          <w:lang w:val="es-ES_tradnl"/>
        </w:rPr>
        <w:t>es todo aquel que sale de lo común, que no es usual.</w:t>
      </w:r>
    </w:p>
    <w:p w:rsidR="007A7D00" w:rsidRPr="00D57CA2" w:rsidRDefault="007A7D00" w:rsidP="00D57CA2">
      <w:pPr>
        <w:ind w:left="540"/>
        <w:jc w:val="both"/>
        <w:rPr>
          <w:rFonts w:ascii="Tahoma" w:hAnsi="Tahoma" w:cs="Tahoma"/>
          <w:i/>
          <w:sz w:val="20"/>
          <w:szCs w:val="20"/>
          <w:lang w:val="es-ES_tradnl"/>
        </w:rPr>
      </w:pPr>
      <w:r w:rsidRPr="00D57CA2">
        <w:rPr>
          <w:rFonts w:ascii="Tahoma" w:hAnsi="Tahoma" w:cs="Tahoma"/>
          <w:i/>
          <w:sz w:val="20"/>
          <w:szCs w:val="20"/>
          <w:lang w:val="es-ES_tradnl"/>
        </w:rPr>
        <w:t>(…)</w:t>
      </w:r>
    </w:p>
    <w:p w:rsidR="007A7D00" w:rsidRPr="00D57CA2" w:rsidRDefault="007A7D00" w:rsidP="00D57CA2">
      <w:pPr>
        <w:ind w:left="540"/>
        <w:jc w:val="both"/>
        <w:rPr>
          <w:rFonts w:ascii="Tahoma" w:hAnsi="Tahoma" w:cs="Tahoma"/>
          <w:i/>
          <w:sz w:val="20"/>
          <w:szCs w:val="20"/>
          <w:lang w:val="es-ES_tradnl"/>
        </w:rPr>
      </w:pPr>
      <w:r w:rsidRPr="00D57CA2">
        <w:rPr>
          <w:rFonts w:ascii="Tahoma" w:hAnsi="Tahoma" w:cs="Tahoma"/>
          <w:i/>
          <w:sz w:val="20"/>
          <w:szCs w:val="20"/>
          <w:lang w:val="es-ES_tradnl"/>
        </w:rPr>
        <w:t xml:space="preserve">El requisito de la </w:t>
      </w:r>
      <w:r w:rsidRPr="00D57CA2">
        <w:rPr>
          <w:rFonts w:ascii="Tahoma" w:hAnsi="Tahoma" w:cs="Tahoma"/>
          <w:i/>
          <w:sz w:val="20"/>
          <w:szCs w:val="20"/>
          <w:u w:val="single"/>
          <w:lang w:val="es-ES_tradnl"/>
        </w:rPr>
        <w:t>previsión</w:t>
      </w:r>
      <w:r w:rsidRPr="00D57CA2">
        <w:rPr>
          <w:rFonts w:ascii="Tahoma" w:hAnsi="Tahoma" w:cs="Tahoma"/>
          <w:i/>
          <w:sz w:val="20"/>
          <w:szCs w:val="20"/>
          <w:lang w:val="es-ES_tradnl"/>
        </w:rPr>
        <w:t xml:space="preserve"> se exige cuando el deudor no previó lo que debía, o cuando habiendo previsto el acontecimiento, se obliga a algo que presumiblemente iba a ser imposible. En ambos casos el acontecimiento es imputable al deudor, pues equivale a un hecho suyo.</w:t>
      </w:r>
    </w:p>
    <w:p w:rsidR="007A7D00" w:rsidRPr="00D57CA2" w:rsidRDefault="007A7D00" w:rsidP="00D57CA2">
      <w:pPr>
        <w:ind w:left="540"/>
        <w:jc w:val="both"/>
        <w:rPr>
          <w:rFonts w:ascii="Tahoma" w:hAnsi="Tahoma" w:cs="Tahoma"/>
          <w:i/>
          <w:sz w:val="20"/>
          <w:szCs w:val="20"/>
          <w:lang w:val="es-ES_tradnl"/>
        </w:rPr>
      </w:pPr>
      <w:r w:rsidRPr="00D57CA2">
        <w:rPr>
          <w:rFonts w:ascii="Tahoma" w:hAnsi="Tahoma" w:cs="Tahoma"/>
          <w:i/>
          <w:sz w:val="20"/>
          <w:szCs w:val="20"/>
          <w:lang w:val="es-ES_tradnl"/>
        </w:rPr>
        <w:t>(…) El acontecimiento es imprevisible cuando los contratantes no tienen motivos atendibles para presumir que éste vaya a suceder.</w:t>
      </w:r>
    </w:p>
    <w:p w:rsidR="007A7D00" w:rsidRPr="00D57CA2" w:rsidRDefault="007A7D00" w:rsidP="00D57CA2">
      <w:pPr>
        <w:ind w:left="540"/>
        <w:jc w:val="both"/>
        <w:rPr>
          <w:rFonts w:ascii="Tahoma" w:hAnsi="Tahoma" w:cs="Tahoma"/>
          <w:i/>
          <w:sz w:val="20"/>
          <w:szCs w:val="20"/>
          <w:lang w:val="es-ES_tradnl"/>
        </w:rPr>
      </w:pPr>
      <w:r w:rsidRPr="00D57CA2">
        <w:rPr>
          <w:rFonts w:ascii="Tahoma" w:hAnsi="Tahoma" w:cs="Tahoma"/>
          <w:i/>
          <w:sz w:val="20"/>
          <w:szCs w:val="20"/>
          <w:lang w:val="es-ES_tradnl"/>
        </w:rPr>
        <w:t xml:space="preserve">(…) </w:t>
      </w:r>
    </w:p>
    <w:p w:rsidR="007A7D00" w:rsidRPr="00D57CA2" w:rsidRDefault="007A7D00" w:rsidP="00D57CA2">
      <w:pPr>
        <w:ind w:left="540"/>
        <w:jc w:val="both"/>
        <w:rPr>
          <w:rFonts w:ascii="Tahoma" w:hAnsi="Tahoma" w:cs="Tahoma"/>
          <w:sz w:val="20"/>
          <w:szCs w:val="20"/>
          <w:lang w:val="es-ES_tradnl"/>
        </w:rPr>
      </w:pPr>
      <w:r w:rsidRPr="00D57CA2">
        <w:rPr>
          <w:rFonts w:ascii="Tahoma" w:hAnsi="Tahoma" w:cs="Tahoma"/>
          <w:i/>
          <w:sz w:val="20"/>
          <w:szCs w:val="20"/>
          <w:lang w:val="es-ES_tradnl"/>
        </w:rPr>
        <w:t xml:space="preserve">El requisito de la </w:t>
      </w:r>
      <w:proofErr w:type="spellStart"/>
      <w:r w:rsidRPr="00D57CA2">
        <w:rPr>
          <w:rFonts w:ascii="Tahoma" w:hAnsi="Tahoma" w:cs="Tahoma"/>
          <w:i/>
          <w:sz w:val="20"/>
          <w:szCs w:val="20"/>
          <w:lang w:val="es-ES_tradnl"/>
        </w:rPr>
        <w:t>i</w:t>
      </w:r>
      <w:r w:rsidRPr="00D57CA2">
        <w:rPr>
          <w:rFonts w:ascii="Tahoma" w:hAnsi="Tahoma" w:cs="Tahoma"/>
          <w:i/>
          <w:sz w:val="20"/>
          <w:szCs w:val="20"/>
          <w:u w:val="single"/>
          <w:lang w:val="es-ES_tradnl"/>
        </w:rPr>
        <w:t>rresistibilidad</w:t>
      </w:r>
      <w:proofErr w:type="spellEnd"/>
      <w:r w:rsidRPr="00D57CA2">
        <w:rPr>
          <w:rFonts w:ascii="Tahoma" w:hAnsi="Tahoma" w:cs="Tahoma"/>
          <w:i/>
          <w:sz w:val="20"/>
          <w:szCs w:val="20"/>
          <w:lang w:val="es-ES_tradnl"/>
        </w:rPr>
        <w:t xml:space="preserve">, por último, supone la imposibilidad de cumplimiento. La dificultad de cumplimiento no exonera al deudor, aun cuando la prestación se haya hecho más onerosa de lo previsto. Tampoco interesa la situación personal del deudo; la </w:t>
      </w:r>
      <w:r w:rsidRPr="00D57CA2">
        <w:rPr>
          <w:rFonts w:ascii="Tahoma" w:hAnsi="Tahoma" w:cs="Tahoma"/>
          <w:i/>
          <w:sz w:val="20"/>
          <w:szCs w:val="20"/>
          <w:lang w:val="es-ES_tradnl"/>
        </w:rPr>
        <w:lastRenderedPageBreak/>
        <w:t xml:space="preserve">ausencia de medios económicos para cumplir la obligación no tiene fuerza liberatoria” </w:t>
      </w:r>
      <w:r w:rsidRPr="00D57CA2">
        <w:rPr>
          <w:rFonts w:ascii="Tahoma" w:hAnsi="Tahoma" w:cs="Tahoma"/>
          <w:sz w:val="20"/>
          <w:szCs w:val="20"/>
          <w:lang w:val="es-ES_tradnl"/>
        </w:rPr>
        <w:t>(el subrayado es nuestro).</w:t>
      </w:r>
      <w:r w:rsidRPr="00D57CA2">
        <w:rPr>
          <w:rFonts w:ascii="Tahoma" w:hAnsi="Tahoma" w:cs="Tahoma"/>
          <w:i/>
          <w:sz w:val="20"/>
          <w:szCs w:val="20"/>
          <w:lang w:val="es-ES_tradnl"/>
        </w:rPr>
        <w:t xml:space="preserve"> </w:t>
      </w:r>
    </w:p>
    <w:p w:rsidR="007A7D00" w:rsidRPr="00D57CA2" w:rsidRDefault="007A7D00" w:rsidP="00D57CA2">
      <w:pPr>
        <w:numPr>
          <w:ilvl w:val="0"/>
          <w:numId w:val="6"/>
        </w:numPr>
        <w:tabs>
          <w:tab w:val="clear" w:pos="720"/>
          <w:tab w:val="num" w:pos="540"/>
        </w:tabs>
        <w:ind w:left="540" w:hanging="540"/>
        <w:jc w:val="both"/>
        <w:rPr>
          <w:rFonts w:ascii="Tahoma" w:hAnsi="Tahoma" w:cs="Tahoma"/>
          <w:sz w:val="20"/>
          <w:szCs w:val="20"/>
        </w:rPr>
      </w:pPr>
      <w:r w:rsidRPr="00D57CA2">
        <w:rPr>
          <w:rFonts w:ascii="Tahoma" w:hAnsi="Tahoma" w:cs="Tahoma"/>
          <w:sz w:val="20"/>
          <w:szCs w:val="20"/>
        </w:rPr>
        <w:t>En relación a ello, debe señalarse que para que dicha suspensión de actividades de la administración pública en la República de México configure como un supuesto de caso fortuito, debe ser extraordinaria, imprevisible e irresistible.</w:t>
      </w:r>
    </w:p>
    <w:p w:rsidR="007A7D00" w:rsidRPr="00D57CA2" w:rsidRDefault="007A7D00" w:rsidP="00D57CA2">
      <w:pPr>
        <w:numPr>
          <w:ilvl w:val="0"/>
          <w:numId w:val="6"/>
        </w:numPr>
        <w:tabs>
          <w:tab w:val="clear" w:pos="720"/>
          <w:tab w:val="num" w:pos="540"/>
        </w:tabs>
        <w:ind w:left="540" w:hanging="540"/>
        <w:jc w:val="both"/>
        <w:rPr>
          <w:rFonts w:ascii="Tahoma" w:hAnsi="Tahoma" w:cs="Tahoma"/>
          <w:sz w:val="20"/>
          <w:szCs w:val="20"/>
        </w:rPr>
      </w:pPr>
      <w:r w:rsidRPr="00D57CA2">
        <w:rPr>
          <w:rFonts w:ascii="Tahoma" w:hAnsi="Tahoma" w:cs="Tahoma"/>
          <w:sz w:val="20"/>
          <w:szCs w:val="20"/>
        </w:rPr>
        <w:t>Respecto a lo extraordinario e imprevisible de la suspensión de actividades de la administración pública en la República de México por fiestas en el mes de diciembre, se advierte que si bien es un acontecimiento fuera de lo común que las instituciones públicas dejen de realizar labores por un periodo de tiempo, no lo es cuando esta suspensión obedece a determinadas festividades, como las que se desarrollan en el mes de diciembre en muchos países, entre ellos, la República del Perú. Por lo que, es incorrecto afirmar que no es posible prever que algunas entidades públicas, en el mes antes señalado, puedan dejar de atender al público hasta que finalicen las festividades.</w:t>
      </w:r>
    </w:p>
    <w:p w:rsidR="007A7D00" w:rsidRPr="00D57CA2" w:rsidRDefault="007A7D00" w:rsidP="00D57CA2">
      <w:pPr>
        <w:numPr>
          <w:ilvl w:val="0"/>
          <w:numId w:val="6"/>
        </w:numPr>
        <w:tabs>
          <w:tab w:val="clear" w:pos="720"/>
          <w:tab w:val="num" w:pos="540"/>
        </w:tabs>
        <w:ind w:left="540" w:hanging="540"/>
        <w:jc w:val="both"/>
        <w:rPr>
          <w:rFonts w:ascii="Tahoma" w:hAnsi="Tahoma" w:cs="Tahoma"/>
          <w:sz w:val="20"/>
          <w:szCs w:val="20"/>
        </w:rPr>
      </w:pPr>
      <w:r w:rsidRPr="00D57CA2">
        <w:rPr>
          <w:rFonts w:ascii="Tahoma" w:hAnsi="Tahoma" w:cs="Tahoma"/>
          <w:sz w:val="20"/>
          <w:szCs w:val="20"/>
        </w:rPr>
        <w:t xml:space="preserve">Con relación a la </w:t>
      </w:r>
      <w:proofErr w:type="spellStart"/>
      <w:r w:rsidRPr="00D57CA2">
        <w:rPr>
          <w:rFonts w:ascii="Tahoma" w:hAnsi="Tahoma" w:cs="Tahoma"/>
          <w:sz w:val="20"/>
          <w:szCs w:val="20"/>
        </w:rPr>
        <w:t>irresisitibilidad</w:t>
      </w:r>
      <w:proofErr w:type="spellEnd"/>
      <w:r w:rsidRPr="00D57CA2">
        <w:rPr>
          <w:rFonts w:ascii="Tahoma" w:hAnsi="Tahoma" w:cs="Tahoma"/>
          <w:sz w:val="20"/>
          <w:szCs w:val="20"/>
        </w:rPr>
        <w:t xml:space="preserve">, se aprecia que efectivamente el Postor se vio imposibilitado de cumplir con la suscripción del contrato por no contar con la documentación requerida para ello –esto es, la legalización el poder de su representante-; no obstante esta situación no atendió a un evento extraordinario ni imprevisible, sino a una falta de diligencia del Postor para tomar en consideración los plazos establecidos en la Bases Administrativas, toda vez que, </w:t>
      </w:r>
      <w:r w:rsidRPr="00D57CA2">
        <w:rPr>
          <w:rFonts w:ascii="Tahoma" w:hAnsi="Tahoma" w:cs="Tahoma"/>
          <w:sz w:val="20"/>
          <w:szCs w:val="20"/>
          <w:lang w:val="es-ES_tradnl"/>
        </w:rPr>
        <w:t>en el numeral 7.1.2</w:t>
      </w:r>
      <w:r w:rsidRPr="00D57CA2">
        <w:rPr>
          <w:rStyle w:val="Refdenotaalpie"/>
          <w:rFonts w:ascii="Tahoma" w:hAnsi="Tahoma" w:cs="Tahoma"/>
          <w:sz w:val="20"/>
          <w:szCs w:val="20"/>
          <w:lang w:val="es-ES_tradnl"/>
        </w:rPr>
        <w:footnoteReference w:id="5"/>
      </w:r>
      <w:r w:rsidRPr="00D57CA2">
        <w:rPr>
          <w:rFonts w:ascii="Tahoma" w:hAnsi="Tahoma" w:cs="Tahoma"/>
          <w:sz w:val="20"/>
          <w:szCs w:val="20"/>
          <w:lang w:val="es-ES_tradnl"/>
        </w:rPr>
        <w:t xml:space="preserve"> y el literal d) del numeral 7.3.1</w:t>
      </w:r>
      <w:r w:rsidRPr="00D57CA2">
        <w:rPr>
          <w:rStyle w:val="Refdenotaalpie"/>
          <w:rFonts w:ascii="Tahoma" w:hAnsi="Tahoma" w:cs="Tahoma"/>
          <w:sz w:val="20"/>
          <w:szCs w:val="20"/>
          <w:lang w:val="es-ES_tradnl"/>
        </w:rPr>
        <w:footnoteReference w:id="6"/>
      </w:r>
      <w:r w:rsidRPr="00D57CA2">
        <w:rPr>
          <w:rFonts w:ascii="Tahoma" w:hAnsi="Tahoma" w:cs="Tahoma"/>
          <w:sz w:val="20"/>
          <w:szCs w:val="20"/>
          <w:lang w:val="es-ES_tradnl"/>
        </w:rPr>
        <w:t xml:space="preserve"> de </w:t>
      </w:r>
      <w:r w:rsidRPr="00D57CA2">
        <w:rPr>
          <w:rFonts w:ascii="Tahoma" w:hAnsi="Tahoma" w:cs="Tahoma"/>
          <w:sz w:val="20"/>
          <w:szCs w:val="20"/>
        </w:rPr>
        <w:t xml:space="preserve">las referidas Bases establecían los plazos para la firma del contrato, así como la documentación que el Postor adjudicatario debía reunir para tal efecto. </w:t>
      </w:r>
    </w:p>
    <w:p w:rsidR="007A7D00" w:rsidRPr="00D57CA2" w:rsidRDefault="007A7D00" w:rsidP="00D57CA2">
      <w:pPr>
        <w:numPr>
          <w:ilvl w:val="0"/>
          <w:numId w:val="6"/>
        </w:numPr>
        <w:tabs>
          <w:tab w:val="clear" w:pos="720"/>
          <w:tab w:val="num" w:pos="540"/>
        </w:tabs>
        <w:ind w:left="540" w:hanging="540"/>
        <w:jc w:val="both"/>
        <w:rPr>
          <w:rFonts w:ascii="Tahoma" w:hAnsi="Tahoma" w:cs="Tahoma"/>
          <w:sz w:val="20"/>
          <w:szCs w:val="20"/>
        </w:rPr>
      </w:pPr>
      <w:r w:rsidRPr="00D57CA2">
        <w:rPr>
          <w:rFonts w:ascii="Tahoma" w:hAnsi="Tahoma" w:cs="Tahoma"/>
          <w:sz w:val="20"/>
          <w:szCs w:val="20"/>
        </w:rPr>
        <w:t xml:space="preserve">Como se puede observar, dicha información fue brindada a los postores con antelación al acto del otorgamiento de la Buena Pro, por lo que el Postor al adquirir las bases del referido proceso de selección tenía pleno conocimiento de los plazos y documentos que se requería para la suscripción del contrato, </w:t>
      </w:r>
      <w:proofErr w:type="spellStart"/>
      <w:r w:rsidRPr="00D57CA2">
        <w:rPr>
          <w:rFonts w:ascii="Tahoma" w:hAnsi="Tahoma" w:cs="Tahoma"/>
          <w:sz w:val="20"/>
          <w:szCs w:val="20"/>
        </w:rPr>
        <w:t>mas</w:t>
      </w:r>
      <w:proofErr w:type="spellEnd"/>
      <w:r w:rsidRPr="00D57CA2">
        <w:rPr>
          <w:rFonts w:ascii="Tahoma" w:hAnsi="Tahoma" w:cs="Tahoma"/>
          <w:sz w:val="20"/>
          <w:szCs w:val="20"/>
        </w:rPr>
        <w:t xml:space="preserve"> aún, este Colegiado toma en consideración que el Postor al presentar su propuesta técnica, presentó una “Declaración Jurada”</w:t>
      </w:r>
      <w:r w:rsidRPr="00D57CA2">
        <w:rPr>
          <w:rStyle w:val="Refdenotaalpie"/>
          <w:rFonts w:ascii="Tahoma" w:hAnsi="Tahoma" w:cs="Tahoma"/>
          <w:sz w:val="20"/>
          <w:szCs w:val="20"/>
        </w:rPr>
        <w:footnoteReference w:id="7"/>
      </w:r>
      <w:r w:rsidRPr="00D57CA2">
        <w:rPr>
          <w:rFonts w:ascii="Tahoma" w:hAnsi="Tahoma" w:cs="Tahoma"/>
          <w:sz w:val="20"/>
          <w:szCs w:val="20"/>
        </w:rPr>
        <w:t xml:space="preserve"> en la cual señalo, entre otros, que conoce, acepta y se somete a las Bases, condiciones y procedimiento del proceso de selección, asimismo se compromete a suscribir el contrato en caso de resultar favorecido con el otorgamiento de la Buena Pro, hechos que este Colegiado no puede pasar desapercibidos en el caso bajo análisis, por cuanto el Postor debió efectuar las debidas diligencias previas anta las autoridades correspondientes para asegurar la recopilación de los documentos requeridos para la suscripción del contrato, para que en el caso que éste obtuviera la Buena Pro pudiera </w:t>
      </w:r>
      <w:r w:rsidRPr="00D57CA2">
        <w:rPr>
          <w:rFonts w:ascii="Tahoma" w:hAnsi="Tahoma" w:cs="Tahoma"/>
          <w:sz w:val="20"/>
          <w:szCs w:val="20"/>
        </w:rPr>
        <w:lastRenderedPageBreak/>
        <w:t xml:space="preserve">suscribir el respectivo contrato y por ende satisfacer la obligación objeto del mismo. En consecuencia, el argumento planteado por el Postor no se encuentra dentro de las características de caso fortuito ni fuerza mayor.   </w:t>
      </w:r>
    </w:p>
    <w:p w:rsidR="007A7D00" w:rsidRPr="00D57CA2" w:rsidRDefault="007A7D00" w:rsidP="00D57CA2">
      <w:pPr>
        <w:numPr>
          <w:ilvl w:val="0"/>
          <w:numId w:val="6"/>
        </w:numPr>
        <w:tabs>
          <w:tab w:val="clear" w:pos="720"/>
          <w:tab w:val="num" w:pos="540"/>
        </w:tabs>
        <w:ind w:left="540" w:hanging="540"/>
        <w:jc w:val="both"/>
        <w:rPr>
          <w:rFonts w:ascii="Tahoma" w:hAnsi="Tahoma" w:cs="Tahoma"/>
          <w:sz w:val="20"/>
          <w:szCs w:val="20"/>
        </w:rPr>
      </w:pPr>
      <w:r w:rsidRPr="00D57CA2">
        <w:rPr>
          <w:rFonts w:ascii="Tahoma" w:hAnsi="Tahoma" w:cs="Tahoma"/>
          <w:sz w:val="20"/>
          <w:szCs w:val="20"/>
        </w:rPr>
        <w:t>Por otro lado, si bien es cierto el Postor ha acreditado que, luego que tomó conocimiento de la suspensión de actividades de la administración pública de la República de México, puso de conocimiento estos hechos a la Entidad a fin que le otorgarán una prorroga, aquello no es causa eximente de imposición de sanción, por cuanto la norma de contrataciones no contempla plazos adicionales a los ya establecidos para la firma del contrato correspondiente; sin perjuicio de lo expuesto, los hechos acotados serán tomados en cuenta como circunstancia atenuante para efectos de determinar la graduación de la sanción a imponer.</w:t>
      </w:r>
    </w:p>
    <w:p w:rsidR="007A7D00" w:rsidRPr="00D57CA2" w:rsidRDefault="007A7D00" w:rsidP="00D57CA2">
      <w:pPr>
        <w:numPr>
          <w:ilvl w:val="0"/>
          <w:numId w:val="6"/>
        </w:numPr>
        <w:tabs>
          <w:tab w:val="clear" w:pos="720"/>
          <w:tab w:val="num" w:pos="540"/>
        </w:tabs>
        <w:ind w:left="540" w:hanging="540"/>
        <w:jc w:val="both"/>
        <w:rPr>
          <w:rFonts w:ascii="Tahoma" w:hAnsi="Tahoma" w:cs="Tahoma"/>
          <w:b/>
          <w:sz w:val="20"/>
          <w:szCs w:val="20"/>
        </w:rPr>
      </w:pPr>
      <w:r w:rsidRPr="00D57CA2">
        <w:rPr>
          <w:rFonts w:ascii="Tahoma" w:hAnsi="Tahoma" w:cs="Tahoma"/>
          <w:sz w:val="20"/>
          <w:szCs w:val="20"/>
        </w:rPr>
        <w:t>Por las consideraciones expuestas, este Colegiado considera que en el presente caso se ha configurado la infracción prevista en el numeral 1 del artículo 294 del Reglamento, por lo que cabe imponer sanción administrativa al Postor. </w:t>
      </w:r>
    </w:p>
    <w:p w:rsidR="007A7D00" w:rsidRPr="00D57CA2" w:rsidRDefault="007A7D00" w:rsidP="00D57CA2">
      <w:pPr>
        <w:numPr>
          <w:ilvl w:val="0"/>
          <w:numId w:val="6"/>
        </w:numPr>
        <w:tabs>
          <w:tab w:val="clear" w:pos="720"/>
          <w:tab w:val="num" w:pos="540"/>
        </w:tabs>
        <w:ind w:left="540" w:hanging="540"/>
        <w:jc w:val="both"/>
        <w:rPr>
          <w:rFonts w:ascii="Tahoma" w:hAnsi="Tahoma" w:cs="Tahoma"/>
          <w:b/>
          <w:sz w:val="20"/>
          <w:szCs w:val="20"/>
        </w:rPr>
      </w:pPr>
      <w:r w:rsidRPr="00D57CA2">
        <w:rPr>
          <w:rFonts w:ascii="Tahoma" w:hAnsi="Tahoma" w:cs="Tahoma"/>
          <w:sz w:val="20"/>
          <w:szCs w:val="20"/>
        </w:rPr>
        <w:t xml:space="preserve">El Reglamento prevé que la sanción administrativa de inhabilitación para ser postor y contratar con el Estado por la omisión injustificada de suscribir contrato es por un periodo no menor de uno (1) ni mayor de dos (2) años. </w:t>
      </w:r>
    </w:p>
    <w:p w:rsidR="007A7D00" w:rsidRPr="00D57CA2" w:rsidRDefault="007A7D00" w:rsidP="00D57CA2">
      <w:pPr>
        <w:numPr>
          <w:ilvl w:val="0"/>
          <w:numId w:val="6"/>
        </w:numPr>
        <w:tabs>
          <w:tab w:val="clear" w:pos="720"/>
          <w:tab w:val="num" w:pos="540"/>
        </w:tabs>
        <w:ind w:left="540" w:hanging="540"/>
        <w:jc w:val="both"/>
        <w:rPr>
          <w:rFonts w:ascii="Tahoma" w:hAnsi="Tahoma" w:cs="Tahoma"/>
          <w:b/>
          <w:sz w:val="20"/>
          <w:szCs w:val="20"/>
        </w:rPr>
      </w:pPr>
      <w:r w:rsidRPr="00D57CA2">
        <w:rPr>
          <w:rFonts w:ascii="Tahoma" w:hAnsi="Tahoma" w:cs="Tahoma"/>
          <w:sz w:val="20"/>
          <w:szCs w:val="20"/>
        </w:rPr>
        <w:t xml:space="preserve">Para efectos de graduar la sanción, se debe tener en cuenta el </w:t>
      </w:r>
      <w:r w:rsidRPr="00D57CA2">
        <w:rPr>
          <w:rFonts w:ascii="Tahoma" w:hAnsi="Tahoma" w:cs="Tahoma"/>
          <w:i/>
          <w:sz w:val="20"/>
          <w:szCs w:val="20"/>
        </w:rPr>
        <w:t>Principio de Razonabilidad</w:t>
      </w:r>
      <w:r w:rsidRPr="00D57CA2">
        <w:rPr>
          <w:rFonts w:ascii="Tahoma" w:hAnsi="Tahoma" w:cs="Tahoma"/>
          <w:sz w:val="20"/>
          <w:szCs w:val="20"/>
          <w:vertAlign w:val="superscript"/>
        </w:rPr>
        <w:footnoteReference w:id="8"/>
      </w:r>
      <w:r w:rsidRPr="00D57CA2">
        <w:rPr>
          <w:rFonts w:ascii="Tahoma" w:hAnsi="Tahoma" w:cs="Tahoma"/>
          <w:sz w:val="20"/>
          <w:szCs w:val="20"/>
        </w:rPr>
        <w:t xml:space="preserve"> previsto en el numeral 3 del artículo 230 de la Ley N</w:t>
      </w:r>
      <w:proofErr w:type="gramStart"/>
      <w:r w:rsidRPr="00D57CA2">
        <w:rPr>
          <w:rFonts w:ascii="Tahoma" w:hAnsi="Tahoma" w:cs="Tahoma"/>
          <w:sz w:val="20"/>
          <w:szCs w:val="20"/>
        </w:rPr>
        <w:t>.º</w:t>
      </w:r>
      <w:proofErr w:type="gramEnd"/>
      <w:r w:rsidRPr="00D57CA2">
        <w:rPr>
          <w:rFonts w:ascii="Tahoma" w:hAnsi="Tahoma" w:cs="Tahoma"/>
          <w:sz w:val="20"/>
          <w:szCs w:val="20"/>
        </w:rPr>
        <w:t xml:space="preserve"> 27444, el cual establece que la determinación de la sanción no deben ser desproporcionadas y deben guardar atención con la conducta a reprimir, más allá de lo estrictamente necesario para satisfacer los fines de la sanción. Atendiendo a la necesidad de que los proveedores y/o contratistas no deban verse privadas de su derecho de participar en los procesos de selección y, de ser el caso, proveer al Estado, en concordancia con el artículo 302 del Reglamento que prevé la determinación gradual de la Sanción a imponer, la cual podrá ser disminuida hasta límites inferiores al mínimo fijado para cada caso.</w:t>
      </w:r>
    </w:p>
    <w:p w:rsidR="00DC14C0" w:rsidRPr="00D57CA2" w:rsidRDefault="007A7D00" w:rsidP="00D57CA2">
      <w:pPr>
        <w:numPr>
          <w:ilvl w:val="0"/>
          <w:numId w:val="6"/>
        </w:numPr>
        <w:tabs>
          <w:tab w:val="clear" w:pos="720"/>
          <w:tab w:val="num" w:pos="540"/>
        </w:tabs>
        <w:ind w:left="540" w:hanging="540"/>
        <w:jc w:val="both"/>
        <w:rPr>
          <w:rFonts w:ascii="Tahoma" w:hAnsi="Tahoma" w:cs="Tahoma"/>
          <w:b/>
          <w:sz w:val="20"/>
          <w:szCs w:val="20"/>
        </w:rPr>
      </w:pPr>
      <w:r w:rsidRPr="00D57CA2">
        <w:rPr>
          <w:rFonts w:ascii="Tahoma" w:hAnsi="Tahoma" w:cs="Tahoma"/>
          <w:sz w:val="20"/>
          <w:szCs w:val="20"/>
        </w:rPr>
        <w:t xml:space="preserve">En ese sentido, para el presente caso, se deberá tener en cuenta la naturaleza de la infracción, la conducta procedimental del infractor, quien se ha apersonado a la presente instancia y ha formulado sus descargos, la no intencionalidad del infractor de causar daño a la Entidad, conforme a lo señalado en los párrafos precedentes, circunstancias de tiempo, lugar y modo que ocurrieron los hechos, la falta de antecedentes de haber sido sancionado administrativamente por alguna infracción a las normas que regulan las contrataciones públicas, así también debe considerarse que el Postor luego de haber levantado la suspensión de actividades de la administración Pública de la República México ha presentado ante la Entidad el otorgamiento de poder debidamente </w:t>
      </w:r>
      <w:proofErr w:type="spellStart"/>
      <w:r w:rsidRPr="00D57CA2">
        <w:rPr>
          <w:rFonts w:ascii="Tahoma" w:hAnsi="Tahoma" w:cs="Tahoma"/>
          <w:sz w:val="20"/>
          <w:szCs w:val="20"/>
        </w:rPr>
        <w:t>cerificado</w:t>
      </w:r>
      <w:proofErr w:type="spellEnd"/>
      <w:r w:rsidRPr="00D57CA2">
        <w:rPr>
          <w:rFonts w:ascii="Tahoma" w:hAnsi="Tahoma" w:cs="Tahoma"/>
          <w:sz w:val="20"/>
          <w:szCs w:val="20"/>
        </w:rPr>
        <w:t xml:space="preserve"> y legalizado por las autoridades correspondientes, pese haber perdido la Buena Pro.</w:t>
      </w:r>
    </w:p>
    <w:p w:rsidR="00360605" w:rsidRPr="00D57CA2" w:rsidRDefault="00360605" w:rsidP="00D57CA2">
      <w:pPr>
        <w:ind w:left="540"/>
        <w:jc w:val="both"/>
        <w:rPr>
          <w:rFonts w:ascii="Tahoma" w:hAnsi="Tahoma" w:cs="Tahoma"/>
          <w:sz w:val="20"/>
          <w:szCs w:val="20"/>
        </w:rPr>
      </w:pPr>
    </w:p>
    <w:p w:rsidR="00360605" w:rsidRPr="00D57CA2" w:rsidRDefault="00360605" w:rsidP="00D57CA2">
      <w:pPr>
        <w:tabs>
          <w:tab w:val="num" w:pos="360"/>
        </w:tabs>
        <w:jc w:val="both"/>
        <w:rPr>
          <w:rFonts w:ascii="Tahoma" w:hAnsi="Tahoma" w:cs="Tahoma"/>
          <w:sz w:val="20"/>
          <w:szCs w:val="20"/>
        </w:rPr>
      </w:pPr>
      <w:r w:rsidRPr="00D57CA2">
        <w:rPr>
          <w:rFonts w:ascii="Tahoma" w:hAnsi="Tahoma" w:cs="Tahoma"/>
          <w:sz w:val="20"/>
          <w:szCs w:val="20"/>
        </w:rPr>
        <w:t xml:space="preserve">Por estos fundamentos, de conformidad con el informe del Vocal Ponente doctor Carlos Vicente Navas Rondón, con la intervención de los doctores Juan Carlos Valdivia </w:t>
      </w:r>
      <w:proofErr w:type="spellStart"/>
      <w:r w:rsidRPr="00D57CA2">
        <w:rPr>
          <w:rFonts w:ascii="Tahoma" w:hAnsi="Tahoma" w:cs="Tahoma"/>
          <w:sz w:val="20"/>
          <w:szCs w:val="20"/>
        </w:rPr>
        <w:t>Huaringa</w:t>
      </w:r>
      <w:proofErr w:type="spellEnd"/>
      <w:r w:rsidRPr="00D57CA2">
        <w:rPr>
          <w:rFonts w:ascii="Tahoma" w:hAnsi="Tahoma" w:cs="Tahoma"/>
          <w:sz w:val="20"/>
          <w:szCs w:val="20"/>
        </w:rPr>
        <w:t xml:space="preserve"> y </w:t>
      </w:r>
      <w:proofErr w:type="spellStart"/>
      <w:r w:rsidRPr="00D57CA2">
        <w:rPr>
          <w:rFonts w:ascii="Tahoma" w:hAnsi="Tahoma" w:cs="Tahoma"/>
          <w:sz w:val="20"/>
          <w:szCs w:val="20"/>
        </w:rPr>
        <w:t>Janette</w:t>
      </w:r>
      <w:proofErr w:type="spellEnd"/>
      <w:r w:rsidRPr="00D57CA2">
        <w:rPr>
          <w:rFonts w:ascii="Tahoma" w:hAnsi="Tahoma" w:cs="Tahoma"/>
          <w:sz w:val="20"/>
          <w:szCs w:val="20"/>
        </w:rPr>
        <w:t xml:space="preserve"> </w:t>
      </w:r>
      <w:proofErr w:type="spellStart"/>
      <w:r w:rsidRPr="00D57CA2">
        <w:rPr>
          <w:rFonts w:ascii="Tahoma" w:hAnsi="Tahoma" w:cs="Tahoma"/>
          <w:sz w:val="20"/>
          <w:szCs w:val="20"/>
        </w:rPr>
        <w:t>Elke</w:t>
      </w:r>
      <w:proofErr w:type="spellEnd"/>
      <w:r w:rsidRPr="00D57CA2">
        <w:rPr>
          <w:rFonts w:ascii="Tahoma" w:hAnsi="Tahoma" w:cs="Tahoma"/>
          <w:sz w:val="20"/>
          <w:szCs w:val="20"/>
        </w:rPr>
        <w:t xml:space="preserve"> Ramírez </w:t>
      </w:r>
      <w:proofErr w:type="spellStart"/>
      <w:r w:rsidRPr="00D57CA2">
        <w:rPr>
          <w:rFonts w:ascii="Tahoma" w:hAnsi="Tahoma" w:cs="Tahoma"/>
          <w:sz w:val="20"/>
          <w:szCs w:val="20"/>
        </w:rPr>
        <w:t>Maynetto</w:t>
      </w:r>
      <w:proofErr w:type="spellEnd"/>
      <w:r w:rsidRPr="00D57CA2">
        <w:rPr>
          <w:rFonts w:ascii="Tahoma" w:hAnsi="Tahoma" w:cs="Tahoma"/>
          <w:sz w:val="20"/>
          <w:szCs w:val="20"/>
        </w:rPr>
        <w:t xml:space="preserve">, atendiendo a la </w:t>
      </w:r>
      <w:proofErr w:type="spellStart"/>
      <w:r w:rsidRPr="00D57CA2">
        <w:rPr>
          <w:rFonts w:ascii="Tahoma" w:hAnsi="Tahoma" w:cs="Tahoma"/>
          <w:sz w:val="20"/>
          <w:szCs w:val="20"/>
        </w:rPr>
        <w:t>reconformación</w:t>
      </w:r>
      <w:proofErr w:type="spellEnd"/>
      <w:r w:rsidRPr="00D57CA2">
        <w:rPr>
          <w:rFonts w:ascii="Tahoma" w:hAnsi="Tahoma" w:cs="Tahoma"/>
          <w:sz w:val="20"/>
          <w:szCs w:val="20"/>
        </w:rPr>
        <w:t xml:space="preserve"> de la Tercera Sala del Tribunal de </w:t>
      </w:r>
      <w:r w:rsidRPr="00D57CA2">
        <w:rPr>
          <w:rFonts w:ascii="Tahoma" w:hAnsi="Tahoma" w:cs="Tahoma"/>
          <w:sz w:val="20"/>
          <w:szCs w:val="20"/>
        </w:rPr>
        <w:lastRenderedPageBreak/>
        <w:t>Contrataciones y Adquisiciones del Estado, según lo dispuesto en la Resolución N.º 279-2007-CONSUCODE/PRE de fecha 21 de mayo de 2007, y de conformidad con las facultades conferidas en los artículos 53, 59 y 61 del Texto Único Ordenado de la Ley de Contrataciones y Adquisiciones del Estado, aprobado por Decreto Supremo N.º 083-2004-PCM, su Reglamento, aprobado por Decreto Supremo N.º 084-2004-PCM, los artículos 17 y 18 del Reglamento de Organización y Funciones del CONSUCODE, aprobado por Decreto Supremos N.º 054-2007-EF; analizados los antecedentes y luego de agotado el correspondiente debate, por unanimidad;</w:t>
      </w:r>
    </w:p>
    <w:p w:rsidR="00360605" w:rsidRPr="00D57CA2" w:rsidRDefault="00360605" w:rsidP="00D57CA2">
      <w:pPr>
        <w:tabs>
          <w:tab w:val="num" w:pos="360"/>
        </w:tabs>
        <w:jc w:val="both"/>
        <w:rPr>
          <w:rFonts w:ascii="Tahoma" w:hAnsi="Tahoma" w:cs="Tahoma"/>
          <w:b/>
          <w:shadow/>
          <w:sz w:val="20"/>
          <w:szCs w:val="20"/>
        </w:rPr>
      </w:pPr>
    </w:p>
    <w:p w:rsidR="00360605" w:rsidRDefault="00360605" w:rsidP="00D57CA2">
      <w:pPr>
        <w:tabs>
          <w:tab w:val="num" w:pos="360"/>
        </w:tabs>
        <w:ind w:left="-180" w:firstLine="180"/>
        <w:jc w:val="both"/>
        <w:rPr>
          <w:rFonts w:ascii="Tahoma" w:hAnsi="Tahoma" w:cs="Tahoma"/>
          <w:b/>
          <w:shadow/>
          <w:sz w:val="20"/>
          <w:szCs w:val="20"/>
        </w:rPr>
      </w:pPr>
      <w:smartTag w:uri="urn:schemas-microsoft-com:office:smarttags" w:element="PersonName">
        <w:smartTagPr>
          <w:attr w:name="ProductID" w:val="LA SALA RESUELVE"/>
        </w:smartTagPr>
        <w:r w:rsidRPr="00D57CA2">
          <w:rPr>
            <w:rFonts w:ascii="Tahoma" w:hAnsi="Tahoma" w:cs="Tahoma"/>
            <w:b/>
            <w:shadow/>
            <w:sz w:val="20"/>
            <w:szCs w:val="20"/>
          </w:rPr>
          <w:t>LA SALA RESUELVE</w:t>
        </w:r>
      </w:smartTag>
      <w:r w:rsidRPr="00D57CA2">
        <w:rPr>
          <w:rFonts w:ascii="Tahoma" w:hAnsi="Tahoma" w:cs="Tahoma"/>
          <w:b/>
          <w:shadow/>
          <w:sz w:val="20"/>
          <w:szCs w:val="20"/>
        </w:rPr>
        <w:t>:</w:t>
      </w:r>
    </w:p>
    <w:p w:rsidR="00A51D4B" w:rsidRPr="00D57CA2" w:rsidRDefault="00A51D4B" w:rsidP="00D57CA2">
      <w:pPr>
        <w:tabs>
          <w:tab w:val="num" w:pos="360"/>
        </w:tabs>
        <w:ind w:left="-180" w:firstLine="180"/>
        <w:jc w:val="both"/>
        <w:rPr>
          <w:rFonts w:ascii="Tahoma" w:hAnsi="Tahoma" w:cs="Tahoma"/>
          <w:b/>
          <w:shadow/>
          <w:sz w:val="20"/>
          <w:szCs w:val="20"/>
        </w:rPr>
      </w:pPr>
    </w:p>
    <w:p w:rsidR="00D57CA2" w:rsidRPr="00D57CA2" w:rsidRDefault="00D57CA2" w:rsidP="00D57CA2">
      <w:pPr>
        <w:numPr>
          <w:ilvl w:val="0"/>
          <w:numId w:val="2"/>
        </w:numPr>
        <w:jc w:val="both"/>
        <w:rPr>
          <w:rFonts w:ascii="Tahoma" w:hAnsi="Tahoma" w:cs="Tahoma"/>
          <w:sz w:val="20"/>
          <w:szCs w:val="20"/>
        </w:rPr>
      </w:pPr>
      <w:r w:rsidRPr="00D57CA2">
        <w:rPr>
          <w:rFonts w:ascii="Tahoma" w:hAnsi="Tahoma" w:cs="Tahoma"/>
          <w:sz w:val="20"/>
          <w:szCs w:val="20"/>
        </w:rPr>
        <w:t xml:space="preserve">SANCIONAR a la empresa Editorial Trillas Sociedad Anónima de Capital Variable por un periodo de </w:t>
      </w:r>
      <w:r w:rsidRPr="00D57CA2">
        <w:rPr>
          <w:rFonts w:ascii="Tahoma" w:hAnsi="Tahoma" w:cs="Tahoma"/>
          <w:b/>
          <w:sz w:val="20"/>
          <w:szCs w:val="20"/>
        </w:rPr>
        <w:t>nueve (9)</w:t>
      </w:r>
      <w:r w:rsidRPr="00D57CA2">
        <w:rPr>
          <w:rFonts w:ascii="Tahoma" w:hAnsi="Tahoma" w:cs="Tahoma"/>
          <w:sz w:val="20"/>
          <w:szCs w:val="20"/>
        </w:rPr>
        <w:t xml:space="preserve"> meses de inhabilitación temporal para participar en procesos de selección y contratar con el Estado por la no suscripción injustificada de contrato, infracción prevista en el numeral 1) del artículo 294 del Reglamento, sanción que entrará en vigencia a partir del cuarto día hábil siguiente de notificada la Resolución.</w:t>
      </w:r>
    </w:p>
    <w:p w:rsidR="00D57CA2" w:rsidRPr="00D57CA2" w:rsidRDefault="00D57CA2" w:rsidP="00D57CA2">
      <w:pPr>
        <w:ind w:left="360"/>
        <w:jc w:val="both"/>
        <w:rPr>
          <w:rFonts w:ascii="Tahoma" w:hAnsi="Tahoma" w:cs="Tahoma"/>
          <w:sz w:val="20"/>
          <w:szCs w:val="20"/>
        </w:rPr>
      </w:pPr>
    </w:p>
    <w:p w:rsidR="00D57CA2" w:rsidRPr="00D57CA2" w:rsidRDefault="00D57CA2" w:rsidP="00D57CA2">
      <w:pPr>
        <w:numPr>
          <w:ilvl w:val="0"/>
          <w:numId w:val="2"/>
        </w:numPr>
        <w:jc w:val="both"/>
        <w:rPr>
          <w:rFonts w:ascii="Tahoma" w:hAnsi="Tahoma" w:cs="Tahoma"/>
          <w:sz w:val="20"/>
          <w:szCs w:val="20"/>
        </w:rPr>
      </w:pPr>
      <w:r w:rsidRPr="00D57CA2">
        <w:rPr>
          <w:rFonts w:ascii="Tahoma" w:hAnsi="Tahoma" w:cs="Tahoma"/>
          <w:sz w:val="20"/>
          <w:szCs w:val="20"/>
        </w:rPr>
        <w:t>Poner la presente Resolución en conocimiento de la Subdirección del Registro Nacional de Proveedores, para las anotaciones de Ley.</w:t>
      </w:r>
    </w:p>
    <w:p w:rsidR="00360605" w:rsidRPr="00D57CA2" w:rsidRDefault="00360605" w:rsidP="00D57CA2">
      <w:pPr>
        <w:jc w:val="both"/>
        <w:rPr>
          <w:rFonts w:ascii="Tahoma" w:hAnsi="Tahoma" w:cs="Tahoma"/>
          <w:sz w:val="20"/>
          <w:szCs w:val="20"/>
        </w:rPr>
      </w:pPr>
    </w:p>
    <w:p w:rsidR="00360605" w:rsidRPr="00D57CA2" w:rsidRDefault="00360605" w:rsidP="00D57CA2">
      <w:pPr>
        <w:pStyle w:val="Textoindependiente"/>
        <w:tabs>
          <w:tab w:val="num" w:pos="540"/>
          <w:tab w:val="left" w:pos="2410"/>
        </w:tabs>
        <w:ind w:left="540" w:hanging="540"/>
        <w:rPr>
          <w:rFonts w:ascii="Tahoma" w:hAnsi="Tahoma" w:cs="Tahoma"/>
          <w:sz w:val="20"/>
          <w:szCs w:val="20"/>
        </w:rPr>
      </w:pPr>
      <w:r w:rsidRPr="00D57CA2">
        <w:rPr>
          <w:rFonts w:ascii="Tahoma" w:hAnsi="Tahoma" w:cs="Tahoma"/>
          <w:sz w:val="20"/>
          <w:szCs w:val="20"/>
        </w:rPr>
        <w:t xml:space="preserve"> Regístrese, comuníquese y publíquese.</w:t>
      </w:r>
    </w:p>
    <w:p w:rsidR="00360605" w:rsidRPr="00D57CA2" w:rsidRDefault="00360605" w:rsidP="00D57CA2">
      <w:pPr>
        <w:autoSpaceDE w:val="0"/>
        <w:autoSpaceDN w:val="0"/>
        <w:adjustRightInd w:val="0"/>
        <w:ind w:left="1080"/>
        <w:jc w:val="both"/>
        <w:rPr>
          <w:rFonts w:ascii="Tahoma" w:hAnsi="Tahoma" w:cs="Tahoma"/>
          <w:sz w:val="20"/>
          <w:szCs w:val="20"/>
        </w:rPr>
      </w:pPr>
    </w:p>
    <w:p w:rsidR="00360605" w:rsidRPr="00D57CA2" w:rsidRDefault="00360605" w:rsidP="00D57CA2">
      <w:pPr>
        <w:autoSpaceDE w:val="0"/>
        <w:autoSpaceDN w:val="0"/>
        <w:adjustRightInd w:val="0"/>
        <w:ind w:left="1080"/>
        <w:jc w:val="both"/>
        <w:rPr>
          <w:rFonts w:ascii="Tahoma" w:hAnsi="Tahoma" w:cs="Tahoma"/>
          <w:sz w:val="20"/>
          <w:szCs w:val="20"/>
        </w:rPr>
      </w:pPr>
    </w:p>
    <w:p w:rsidR="00360605" w:rsidRPr="00D57CA2" w:rsidRDefault="00360605" w:rsidP="00D57CA2">
      <w:pPr>
        <w:jc w:val="center"/>
        <w:rPr>
          <w:rFonts w:ascii="Tahoma" w:hAnsi="Tahoma" w:cs="Tahoma"/>
          <w:b/>
          <w:shadow/>
          <w:sz w:val="20"/>
          <w:szCs w:val="20"/>
          <w:lang w:val="pt-BR"/>
        </w:rPr>
      </w:pPr>
      <w:r w:rsidRPr="00D57CA2">
        <w:rPr>
          <w:rFonts w:ascii="Tahoma" w:hAnsi="Tahoma" w:cs="Tahoma"/>
          <w:b/>
          <w:shadow/>
          <w:sz w:val="20"/>
          <w:szCs w:val="20"/>
          <w:lang w:val="pt-BR"/>
        </w:rPr>
        <w:t>PRESIDENTE</w:t>
      </w:r>
    </w:p>
    <w:p w:rsidR="00360605" w:rsidRPr="00D57CA2" w:rsidRDefault="00360605" w:rsidP="00D57CA2">
      <w:pPr>
        <w:jc w:val="center"/>
        <w:rPr>
          <w:rFonts w:ascii="Tahoma" w:hAnsi="Tahoma" w:cs="Tahoma"/>
          <w:b/>
          <w:shadow/>
          <w:sz w:val="20"/>
          <w:szCs w:val="20"/>
          <w:lang w:val="pt-BR"/>
        </w:rPr>
      </w:pPr>
    </w:p>
    <w:p w:rsidR="00360605" w:rsidRPr="00D57CA2" w:rsidRDefault="00360605" w:rsidP="00D57CA2">
      <w:pPr>
        <w:rPr>
          <w:rFonts w:ascii="Tahoma" w:hAnsi="Tahoma" w:cs="Tahoma"/>
          <w:b/>
          <w:shadow/>
          <w:sz w:val="20"/>
          <w:szCs w:val="20"/>
          <w:lang w:val="pt-BR"/>
        </w:rPr>
      </w:pPr>
      <w:r w:rsidRPr="00D57CA2">
        <w:rPr>
          <w:rFonts w:ascii="Tahoma" w:hAnsi="Tahoma" w:cs="Tahoma"/>
          <w:b/>
          <w:shadow/>
          <w:sz w:val="20"/>
          <w:szCs w:val="20"/>
          <w:lang w:val="pt-BR"/>
        </w:rPr>
        <w:t xml:space="preserve">      </w:t>
      </w:r>
    </w:p>
    <w:p w:rsidR="00360605" w:rsidRPr="00D57CA2" w:rsidRDefault="00360605" w:rsidP="00D57CA2">
      <w:pPr>
        <w:rPr>
          <w:rFonts w:ascii="Tahoma" w:hAnsi="Tahoma" w:cs="Tahoma"/>
          <w:b/>
          <w:shadow/>
          <w:sz w:val="20"/>
          <w:szCs w:val="20"/>
          <w:lang w:val="pt-BR"/>
        </w:rPr>
      </w:pPr>
    </w:p>
    <w:p w:rsidR="00360605" w:rsidRPr="00D57CA2" w:rsidRDefault="00360605" w:rsidP="00D57CA2">
      <w:pPr>
        <w:rPr>
          <w:rFonts w:ascii="Tahoma" w:hAnsi="Tahoma" w:cs="Tahoma"/>
          <w:shadow/>
          <w:sz w:val="20"/>
          <w:szCs w:val="20"/>
          <w:lang w:val="pt-BR"/>
        </w:rPr>
      </w:pPr>
      <w:r w:rsidRPr="00D57CA2">
        <w:rPr>
          <w:rFonts w:ascii="Tahoma" w:hAnsi="Tahoma" w:cs="Tahoma"/>
          <w:b/>
          <w:shadow/>
          <w:sz w:val="20"/>
          <w:szCs w:val="20"/>
          <w:lang w:val="pt-BR"/>
        </w:rPr>
        <w:t xml:space="preserve">                            VOCAL                                                                   </w:t>
      </w:r>
      <w:proofErr w:type="spellStart"/>
      <w:r w:rsidRPr="00D57CA2">
        <w:rPr>
          <w:rFonts w:ascii="Tahoma" w:hAnsi="Tahoma" w:cs="Tahoma"/>
          <w:b/>
          <w:shadow/>
          <w:sz w:val="20"/>
          <w:szCs w:val="20"/>
          <w:lang w:val="pt-BR"/>
        </w:rPr>
        <w:t>VOCAL</w:t>
      </w:r>
      <w:proofErr w:type="spellEnd"/>
    </w:p>
    <w:p w:rsidR="00360605" w:rsidRPr="00D57CA2" w:rsidRDefault="00360605" w:rsidP="00D57CA2">
      <w:pPr>
        <w:jc w:val="both"/>
        <w:rPr>
          <w:rFonts w:ascii="Tahoma" w:hAnsi="Tahoma" w:cs="Tahoma"/>
          <w:sz w:val="20"/>
          <w:szCs w:val="20"/>
          <w:lang w:val="pt-BR"/>
        </w:rPr>
      </w:pPr>
      <w:proofErr w:type="gramStart"/>
      <w:r w:rsidRPr="00D57CA2">
        <w:rPr>
          <w:rFonts w:ascii="Tahoma" w:hAnsi="Tahoma" w:cs="Tahoma"/>
          <w:sz w:val="20"/>
          <w:szCs w:val="20"/>
          <w:lang w:val="pt-BR"/>
        </w:rPr>
        <w:t>ss.</w:t>
      </w:r>
      <w:proofErr w:type="gramEnd"/>
    </w:p>
    <w:p w:rsidR="00360605" w:rsidRPr="00D57CA2" w:rsidRDefault="00360605" w:rsidP="00D57CA2">
      <w:pPr>
        <w:pStyle w:val="Textoindependiente21"/>
        <w:rPr>
          <w:rFonts w:cs="Tahoma"/>
          <w:sz w:val="20"/>
          <w:lang w:val="pt-BR"/>
        </w:rPr>
      </w:pPr>
      <w:proofErr w:type="spellStart"/>
      <w:r w:rsidRPr="00D57CA2">
        <w:rPr>
          <w:rFonts w:cs="Tahoma"/>
          <w:sz w:val="20"/>
          <w:lang w:val="pt-BR"/>
        </w:rPr>
        <w:t>Valdivia</w:t>
      </w:r>
      <w:proofErr w:type="spellEnd"/>
      <w:r w:rsidRPr="00D57CA2">
        <w:rPr>
          <w:rFonts w:cs="Tahoma"/>
          <w:sz w:val="20"/>
          <w:lang w:val="pt-BR"/>
        </w:rPr>
        <w:t xml:space="preserve"> </w:t>
      </w:r>
      <w:proofErr w:type="spellStart"/>
      <w:r w:rsidRPr="00D57CA2">
        <w:rPr>
          <w:rFonts w:cs="Tahoma"/>
          <w:sz w:val="20"/>
          <w:lang w:val="pt-BR"/>
        </w:rPr>
        <w:t>Huaringa</w:t>
      </w:r>
      <w:proofErr w:type="spellEnd"/>
      <w:r w:rsidRPr="00D57CA2">
        <w:rPr>
          <w:rFonts w:cs="Tahoma"/>
          <w:sz w:val="20"/>
          <w:lang w:val="pt-BR"/>
        </w:rPr>
        <w:t>.</w:t>
      </w:r>
    </w:p>
    <w:p w:rsidR="00360605" w:rsidRPr="00D57CA2" w:rsidRDefault="00360605" w:rsidP="00D57CA2">
      <w:pPr>
        <w:pStyle w:val="Textoindependiente21"/>
        <w:rPr>
          <w:rFonts w:cs="Tahoma"/>
          <w:sz w:val="20"/>
        </w:rPr>
      </w:pPr>
      <w:r w:rsidRPr="00D57CA2">
        <w:rPr>
          <w:rFonts w:cs="Tahoma"/>
          <w:sz w:val="20"/>
        </w:rPr>
        <w:t>Navas Rondón.</w:t>
      </w:r>
    </w:p>
    <w:p w:rsidR="00D31983" w:rsidRPr="00D57CA2" w:rsidRDefault="00360605" w:rsidP="00D57CA2">
      <w:pPr>
        <w:pStyle w:val="Textoindependiente21"/>
        <w:rPr>
          <w:rFonts w:cs="Tahoma"/>
          <w:sz w:val="20"/>
        </w:rPr>
      </w:pPr>
      <w:r w:rsidRPr="00D57CA2">
        <w:rPr>
          <w:rFonts w:cs="Tahoma"/>
          <w:sz w:val="20"/>
        </w:rPr>
        <w:t xml:space="preserve">Ramírez </w:t>
      </w:r>
      <w:proofErr w:type="spellStart"/>
      <w:r w:rsidRPr="00D57CA2">
        <w:rPr>
          <w:rFonts w:cs="Tahoma"/>
          <w:sz w:val="20"/>
        </w:rPr>
        <w:t>Maynetto</w:t>
      </w:r>
      <w:proofErr w:type="spellEnd"/>
    </w:p>
    <w:sectPr w:rsidR="00D31983" w:rsidRPr="00D57CA2" w:rsidSect="00360605">
      <w:footerReference w:type="even" r:id="rId7"/>
      <w:footerReference w:type="default" r:id="rId8"/>
      <w:pgSz w:w="11906" w:h="16838"/>
      <w:pgMar w:top="3594"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3F7E" w:rsidRDefault="001F3556">
      <w:r>
        <w:separator/>
      </w:r>
    </w:p>
  </w:endnote>
  <w:endnote w:type="continuationSeparator" w:id="1">
    <w:p w:rsidR="00D33F7E" w:rsidRDefault="001F35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D4B" w:rsidRDefault="00D33F7E" w:rsidP="00360605">
    <w:pPr>
      <w:pStyle w:val="Piedepgina"/>
      <w:framePr w:wrap="around" w:vAnchor="text" w:hAnchor="margin" w:xAlign="right" w:y="1"/>
      <w:rPr>
        <w:rStyle w:val="Nmerodepgina"/>
      </w:rPr>
    </w:pPr>
    <w:r>
      <w:rPr>
        <w:rStyle w:val="Nmerodepgina"/>
      </w:rPr>
      <w:fldChar w:fldCharType="begin"/>
    </w:r>
    <w:r w:rsidR="00A51D4B">
      <w:rPr>
        <w:rStyle w:val="Nmerodepgina"/>
      </w:rPr>
      <w:instrText xml:space="preserve">PAGE  </w:instrText>
    </w:r>
    <w:r>
      <w:rPr>
        <w:rStyle w:val="Nmerodepgina"/>
      </w:rPr>
      <w:fldChar w:fldCharType="end"/>
    </w:r>
  </w:p>
  <w:p w:rsidR="00A51D4B" w:rsidRDefault="00A51D4B" w:rsidP="00360605">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D4B" w:rsidRDefault="00A51D4B" w:rsidP="00360605">
    <w:pPr>
      <w:pStyle w:val="Piedepgina"/>
      <w:framePr w:wrap="around" w:vAnchor="text" w:hAnchor="margin" w:xAlign="right" w:y="1"/>
      <w:rPr>
        <w:rStyle w:val="Nmerodepgina"/>
      </w:rPr>
    </w:pPr>
  </w:p>
  <w:p w:rsidR="00A51D4B" w:rsidRDefault="00A51D4B" w:rsidP="00360605">
    <w:pPr>
      <w:pStyle w:val="Piedepgina"/>
      <w:ind w:right="360"/>
      <w:jc w:val="center"/>
    </w:pPr>
    <w:r>
      <w:t xml:space="preserve">Página </w:t>
    </w:r>
    <w:fldSimple w:instr=" PAGE ">
      <w:r w:rsidR="00E156B7">
        <w:rPr>
          <w:noProof/>
        </w:rPr>
        <w:t>1</w:t>
      </w:r>
    </w:fldSimple>
    <w:r>
      <w:t xml:space="preserve"> de </w:t>
    </w:r>
    <w:fldSimple w:instr=" NUMPAGES ">
      <w:r w:rsidR="00E156B7">
        <w:rPr>
          <w:noProof/>
        </w:rPr>
        <w:t>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3F7E" w:rsidRDefault="001F3556">
      <w:r>
        <w:separator/>
      </w:r>
    </w:p>
  </w:footnote>
  <w:footnote w:type="continuationSeparator" w:id="1">
    <w:p w:rsidR="00D33F7E" w:rsidRDefault="001F3556">
      <w:r>
        <w:continuationSeparator/>
      </w:r>
    </w:p>
  </w:footnote>
  <w:footnote w:id="2">
    <w:p w:rsidR="00A51D4B" w:rsidRPr="00A51D4B" w:rsidRDefault="00A51D4B" w:rsidP="005D7AA5">
      <w:pPr>
        <w:pStyle w:val="Textonotapie"/>
        <w:rPr>
          <w:sz w:val="20"/>
          <w:szCs w:val="20"/>
        </w:rPr>
      </w:pPr>
      <w:r>
        <w:rPr>
          <w:rStyle w:val="Refdenotaalpie"/>
        </w:rPr>
        <w:footnoteRef/>
      </w:r>
      <w:r>
        <w:t xml:space="preserve"> </w:t>
      </w:r>
      <w:r w:rsidRPr="00A51D4B">
        <w:rPr>
          <w:sz w:val="20"/>
          <w:szCs w:val="20"/>
        </w:rPr>
        <w:t>(…)</w:t>
      </w:r>
    </w:p>
    <w:p w:rsidR="00A51D4B" w:rsidRPr="00A51D4B" w:rsidRDefault="00A51D4B" w:rsidP="005D7AA5">
      <w:pPr>
        <w:pStyle w:val="Textonotapie"/>
        <w:ind w:left="180" w:hanging="180"/>
        <w:jc w:val="both"/>
        <w:rPr>
          <w:sz w:val="20"/>
          <w:szCs w:val="20"/>
        </w:rPr>
      </w:pPr>
      <w:r w:rsidRPr="00A51D4B">
        <w:rPr>
          <w:sz w:val="20"/>
          <w:szCs w:val="20"/>
        </w:rPr>
        <w:t xml:space="preserve">4. Copia simple del documento de identidad del apoderado legal facultado para celebrar contratos. En caso de representante legal extranjero no residente, deberá presentar el poder que le ha sido otorgado ante el Consulado peruano, debidamente legalizado ante </w:t>
      </w:r>
      <w:proofErr w:type="spellStart"/>
      <w:r w:rsidRPr="00A51D4B">
        <w:rPr>
          <w:sz w:val="20"/>
          <w:szCs w:val="20"/>
        </w:rPr>
        <w:t>le</w:t>
      </w:r>
      <w:proofErr w:type="spellEnd"/>
      <w:r w:rsidRPr="00A51D4B">
        <w:rPr>
          <w:sz w:val="20"/>
          <w:szCs w:val="20"/>
        </w:rPr>
        <w:t xml:space="preserve"> Ministerio de Relaciones Exteriores y el certificado registral de inscripción del poder o mandato. </w:t>
      </w:r>
    </w:p>
  </w:footnote>
  <w:footnote w:id="3">
    <w:p w:rsidR="00A51D4B" w:rsidRPr="00A51D4B" w:rsidRDefault="00A51D4B" w:rsidP="007A7D00">
      <w:pPr>
        <w:pStyle w:val="Textonotapie"/>
        <w:rPr>
          <w:b/>
          <w:sz w:val="20"/>
          <w:szCs w:val="20"/>
        </w:rPr>
      </w:pPr>
      <w:r>
        <w:rPr>
          <w:rStyle w:val="Refdenotaalpie"/>
        </w:rPr>
        <w:footnoteRef/>
      </w:r>
      <w:r w:rsidRPr="0093275F">
        <w:rPr>
          <w:b/>
        </w:rPr>
        <w:t xml:space="preserve"> </w:t>
      </w:r>
      <w:r w:rsidRPr="00A51D4B">
        <w:rPr>
          <w:b/>
          <w:sz w:val="20"/>
          <w:szCs w:val="20"/>
        </w:rPr>
        <w:t>Artículo 205.- Causales de imposición de sanción a los proveedores, postores y contratistas</w:t>
      </w:r>
    </w:p>
    <w:p w:rsidR="00A51D4B" w:rsidRPr="00A51D4B" w:rsidRDefault="00A51D4B" w:rsidP="007A7D00">
      <w:pPr>
        <w:pStyle w:val="Textonotapie"/>
        <w:jc w:val="both"/>
        <w:rPr>
          <w:sz w:val="20"/>
          <w:szCs w:val="20"/>
        </w:rPr>
      </w:pPr>
      <w:r w:rsidRPr="00A51D4B">
        <w:rPr>
          <w:sz w:val="20"/>
          <w:szCs w:val="20"/>
        </w:rPr>
        <w:t>El Tribunal impondrá la sanción administrativa de inhabilitación temporal o definitiva a los proveedores, postores y/o contratistas que:</w:t>
      </w:r>
    </w:p>
    <w:p w:rsidR="00A51D4B" w:rsidRPr="00A51D4B" w:rsidRDefault="00A51D4B" w:rsidP="007A7D00">
      <w:pPr>
        <w:pStyle w:val="Textonotapie"/>
        <w:rPr>
          <w:sz w:val="20"/>
          <w:szCs w:val="20"/>
        </w:rPr>
      </w:pPr>
      <w:r w:rsidRPr="00A51D4B">
        <w:rPr>
          <w:sz w:val="20"/>
          <w:szCs w:val="20"/>
        </w:rPr>
        <w:t>(…)</w:t>
      </w:r>
    </w:p>
    <w:p w:rsidR="00A51D4B" w:rsidRPr="00A51D4B" w:rsidRDefault="00A51D4B" w:rsidP="007A7D00">
      <w:pPr>
        <w:pStyle w:val="Textonotapie"/>
        <w:numPr>
          <w:ilvl w:val="0"/>
          <w:numId w:val="7"/>
        </w:numPr>
        <w:jc w:val="both"/>
        <w:rPr>
          <w:sz w:val="20"/>
          <w:szCs w:val="20"/>
        </w:rPr>
      </w:pPr>
      <w:r w:rsidRPr="00A51D4B">
        <w:rPr>
          <w:sz w:val="20"/>
          <w:szCs w:val="20"/>
        </w:rPr>
        <w:t xml:space="preserve">No mantengan su oferta hasta el otorgamiento de la Buena Pro y, de resultar ganadores, hasta la suscripción del contrato; no suscriban injustificadamente el contrato o no cumplan la orden de compra o de servicio emitida a su favor.  </w:t>
      </w:r>
    </w:p>
    <w:p w:rsidR="00A51D4B" w:rsidRPr="00A51D4B" w:rsidRDefault="00A51D4B" w:rsidP="007A7D00">
      <w:pPr>
        <w:pStyle w:val="Textonotapie"/>
        <w:jc w:val="both"/>
        <w:rPr>
          <w:sz w:val="20"/>
          <w:szCs w:val="20"/>
        </w:rPr>
      </w:pPr>
      <w:r w:rsidRPr="00A51D4B">
        <w:rPr>
          <w:sz w:val="20"/>
          <w:szCs w:val="20"/>
        </w:rPr>
        <w:t>(…)</w:t>
      </w:r>
    </w:p>
  </w:footnote>
  <w:footnote w:id="4">
    <w:p w:rsidR="00A51D4B" w:rsidRPr="00FA1096" w:rsidRDefault="00A51D4B" w:rsidP="007A7D00">
      <w:pPr>
        <w:pStyle w:val="Textonotapie"/>
      </w:pPr>
      <w:r>
        <w:rPr>
          <w:rStyle w:val="Refdenotaalpie"/>
        </w:rPr>
        <w:footnoteRef/>
      </w:r>
      <w:r>
        <w:t xml:space="preserve"> </w:t>
      </w:r>
      <w:proofErr w:type="spellStart"/>
      <w:r>
        <w:t>Osterling</w:t>
      </w:r>
      <w:proofErr w:type="spellEnd"/>
      <w:r>
        <w:t xml:space="preserve"> Parodi, Felipe. Las obligaciones. Lima: Fondo Editorial PUCP, 1988, pp.199-200.</w:t>
      </w:r>
    </w:p>
  </w:footnote>
  <w:footnote w:id="5">
    <w:p w:rsidR="00A51D4B" w:rsidRPr="00A51D4B" w:rsidRDefault="00A51D4B" w:rsidP="007A7D00">
      <w:pPr>
        <w:pStyle w:val="Textonotapie"/>
        <w:jc w:val="both"/>
        <w:rPr>
          <w:sz w:val="20"/>
          <w:szCs w:val="20"/>
        </w:rPr>
      </w:pPr>
      <w:r>
        <w:rPr>
          <w:rStyle w:val="Refdenotaalpie"/>
        </w:rPr>
        <w:footnoteRef/>
      </w:r>
      <w:r>
        <w:t xml:space="preserve"> </w:t>
      </w:r>
      <w:r w:rsidRPr="00A51D4B">
        <w:rPr>
          <w:sz w:val="20"/>
          <w:szCs w:val="20"/>
        </w:rPr>
        <w:t xml:space="preserve">7.1.2 Consentido el otorgamiento de la Buena Pro, el postor ganador o su representante debidamente autorizado, deberá cumplir con suscribir el contrato dentro del plazo no mayor de diez (10) días calendario de notificado, para lo cual recibirá una citación con un plazo inicial no menor a cinco (5) días. En caso que el postor no se presente en la fecha prevista se le citará en una nueva fecha, la cual no podrá exceder de los cinco (5) días calendario siguientes de la fecha originalmente señalada para la firma del contrato. Si el postor no se presentara en esta segunda oportunidad, perderá la Buena Pro. </w:t>
      </w:r>
    </w:p>
  </w:footnote>
  <w:footnote w:id="6">
    <w:p w:rsidR="00A51D4B" w:rsidRPr="00A51D4B" w:rsidRDefault="00A51D4B" w:rsidP="007A7D00">
      <w:pPr>
        <w:pStyle w:val="Textonotapie"/>
        <w:jc w:val="both"/>
        <w:rPr>
          <w:sz w:val="20"/>
          <w:szCs w:val="20"/>
        </w:rPr>
      </w:pPr>
      <w:r w:rsidRPr="00A51D4B">
        <w:rPr>
          <w:rStyle w:val="Refdenotaalpie"/>
          <w:sz w:val="20"/>
          <w:szCs w:val="20"/>
        </w:rPr>
        <w:footnoteRef/>
      </w:r>
      <w:r w:rsidRPr="00A51D4B">
        <w:rPr>
          <w:sz w:val="20"/>
          <w:szCs w:val="20"/>
        </w:rPr>
        <w:t xml:space="preserve"> 7.3.1 </w:t>
      </w:r>
      <w:r w:rsidRPr="00A51D4B">
        <w:rPr>
          <w:b/>
          <w:sz w:val="20"/>
          <w:szCs w:val="20"/>
          <w:u w:val="single"/>
        </w:rPr>
        <w:t>Es requisito previo e indispensable para la suscripción del contrato</w:t>
      </w:r>
      <w:r w:rsidRPr="00A51D4B">
        <w:rPr>
          <w:sz w:val="20"/>
          <w:szCs w:val="20"/>
        </w:rPr>
        <w:t>, que el Postor que obtenga la Buena Pro, presente la siguiente documentación:</w:t>
      </w:r>
    </w:p>
    <w:p w:rsidR="00A51D4B" w:rsidRPr="00A51D4B" w:rsidRDefault="00A51D4B" w:rsidP="007A7D00">
      <w:pPr>
        <w:pStyle w:val="Textonotapie"/>
        <w:jc w:val="both"/>
        <w:rPr>
          <w:sz w:val="20"/>
          <w:szCs w:val="20"/>
        </w:rPr>
      </w:pPr>
      <w:r w:rsidRPr="00A51D4B">
        <w:rPr>
          <w:sz w:val="20"/>
          <w:szCs w:val="20"/>
        </w:rPr>
        <w:t>(…)</w:t>
      </w:r>
    </w:p>
    <w:p w:rsidR="00A51D4B" w:rsidRPr="00A51D4B" w:rsidRDefault="00A51D4B" w:rsidP="007A7D00">
      <w:pPr>
        <w:pStyle w:val="Textonotapie"/>
        <w:jc w:val="both"/>
        <w:rPr>
          <w:sz w:val="20"/>
          <w:szCs w:val="20"/>
        </w:rPr>
      </w:pPr>
      <w:r w:rsidRPr="00A51D4B">
        <w:rPr>
          <w:sz w:val="20"/>
          <w:szCs w:val="20"/>
        </w:rPr>
        <w:t>d) Certificado de vigencia de poder de fecha actual expedido por la Oficina de Registro Público correspondiente y copia del documento de identidad del representante legal facultado para celebrar contratos. En caso de representante  legal extranjero no residente, deberá presentar el poder que le ha sido otorgado ante el Consulado peruano, debidamente legalizado ante el Ministerio de Relaciones Exteriores y el certificado registral de inscripción del poder o mandato.</w:t>
      </w:r>
    </w:p>
  </w:footnote>
  <w:footnote w:id="7">
    <w:p w:rsidR="00A51D4B" w:rsidRPr="00A51D4B" w:rsidRDefault="00A51D4B" w:rsidP="007A7D00">
      <w:pPr>
        <w:pStyle w:val="Textonotapie"/>
        <w:rPr>
          <w:sz w:val="20"/>
          <w:szCs w:val="20"/>
        </w:rPr>
      </w:pPr>
      <w:r>
        <w:rPr>
          <w:rStyle w:val="Refdenotaalpie"/>
        </w:rPr>
        <w:footnoteRef/>
      </w:r>
      <w:r>
        <w:t xml:space="preserve"> </w:t>
      </w:r>
      <w:r w:rsidRPr="00A51D4B">
        <w:rPr>
          <w:sz w:val="20"/>
          <w:szCs w:val="20"/>
        </w:rPr>
        <w:t>Documento obrante a fijas cincuenta y uno (51)</w:t>
      </w:r>
    </w:p>
  </w:footnote>
  <w:footnote w:id="8">
    <w:p w:rsidR="00A51D4B" w:rsidRPr="00A51D4B" w:rsidRDefault="00A51D4B" w:rsidP="007A7D00">
      <w:pPr>
        <w:pStyle w:val="Textonotapie"/>
        <w:ind w:left="180" w:hanging="180"/>
        <w:jc w:val="both"/>
        <w:rPr>
          <w:sz w:val="20"/>
          <w:szCs w:val="20"/>
        </w:rPr>
      </w:pPr>
      <w:r w:rsidRPr="00A51D4B">
        <w:rPr>
          <w:rStyle w:val="Refdenotaalpie"/>
          <w:sz w:val="20"/>
          <w:szCs w:val="20"/>
        </w:rPr>
        <w:footnoteRef/>
      </w:r>
      <w:r w:rsidRPr="00A51D4B">
        <w:rPr>
          <w:sz w:val="20"/>
          <w:szCs w:val="20"/>
        </w:rPr>
        <w:t xml:space="preserve">  “</w:t>
      </w:r>
      <w:r w:rsidRPr="00A51D4B">
        <w:rPr>
          <w:b/>
          <w:sz w:val="20"/>
          <w:szCs w:val="20"/>
        </w:rPr>
        <w:t>Artículo 230.- Principios de la potestad sancionadora</w:t>
      </w:r>
    </w:p>
    <w:p w:rsidR="00A51D4B" w:rsidRPr="00A51D4B" w:rsidRDefault="00A51D4B" w:rsidP="007A7D00">
      <w:pPr>
        <w:pStyle w:val="Textonotapie"/>
        <w:ind w:firstLine="180"/>
        <w:jc w:val="both"/>
        <w:rPr>
          <w:sz w:val="20"/>
          <w:szCs w:val="20"/>
        </w:rPr>
      </w:pPr>
      <w:r w:rsidRPr="00A51D4B">
        <w:rPr>
          <w:sz w:val="20"/>
          <w:szCs w:val="20"/>
        </w:rPr>
        <w:t>(…)</w:t>
      </w:r>
    </w:p>
    <w:p w:rsidR="00A51D4B" w:rsidRPr="00A51D4B" w:rsidRDefault="00A51D4B" w:rsidP="007A7D00">
      <w:pPr>
        <w:pStyle w:val="Textonotapie"/>
        <w:ind w:left="180"/>
        <w:jc w:val="both"/>
        <w:rPr>
          <w:sz w:val="20"/>
          <w:szCs w:val="20"/>
        </w:rPr>
      </w:pPr>
      <w:r w:rsidRPr="00A51D4B">
        <w:rPr>
          <w:b/>
          <w:sz w:val="20"/>
          <w:szCs w:val="20"/>
        </w:rPr>
        <w:t>3. Razonabilidad</w:t>
      </w:r>
      <w:r w:rsidRPr="00A51D4B">
        <w:rPr>
          <w:sz w:val="20"/>
          <w:szCs w:val="20"/>
        </w:rPr>
        <w:t>.-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la infracción.</w:t>
      </w:r>
    </w:p>
    <w:p w:rsidR="00A51D4B" w:rsidRPr="00834CC2" w:rsidRDefault="00A51D4B" w:rsidP="007A7D00">
      <w:pPr>
        <w:pStyle w:val="Textonotapie"/>
        <w:ind w:firstLine="180"/>
        <w:jc w:val="both"/>
      </w:pPr>
      <w:r w:rsidRPr="00834CC2">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E5AC7"/>
    <w:multiLevelType w:val="hybridMultilevel"/>
    <w:tmpl w:val="EE5A8D1C"/>
    <w:lvl w:ilvl="0" w:tplc="08AE3B8E">
      <w:start w:val="1"/>
      <w:numFmt w:val="decimal"/>
      <w:lvlText w:val="%1."/>
      <w:lvlJc w:val="left"/>
      <w:pPr>
        <w:tabs>
          <w:tab w:val="num" w:pos="720"/>
        </w:tabs>
        <w:ind w:left="720" w:hanging="360"/>
      </w:pPr>
      <w:rPr>
        <w:b/>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51933AF"/>
    <w:multiLevelType w:val="hybridMultilevel"/>
    <w:tmpl w:val="1A2213A8"/>
    <w:lvl w:ilvl="0" w:tplc="816ED5A8">
      <w:start w:val="5"/>
      <w:numFmt w:val="decimal"/>
      <w:lvlText w:val="%1."/>
      <w:lvlJc w:val="left"/>
      <w:pPr>
        <w:tabs>
          <w:tab w:val="num" w:pos="2880"/>
        </w:tabs>
        <w:ind w:left="2880" w:hanging="360"/>
      </w:pPr>
      <w:rPr>
        <w:rFonts w:hint="default"/>
        <w:b/>
      </w:rPr>
    </w:lvl>
    <w:lvl w:ilvl="1" w:tplc="0C0A0019" w:tentative="1">
      <w:start w:val="1"/>
      <w:numFmt w:val="lowerLetter"/>
      <w:lvlText w:val="%2."/>
      <w:lvlJc w:val="left"/>
      <w:pPr>
        <w:tabs>
          <w:tab w:val="num" w:pos="3600"/>
        </w:tabs>
        <w:ind w:left="3600" w:hanging="360"/>
      </w:pPr>
    </w:lvl>
    <w:lvl w:ilvl="2" w:tplc="0C0A001B" w:tentative="1">
      <w:start w:val="1"/>
      <w:numFmt w:val="lowerRoman"/>
      <w:lvlText w:val="%3."/>
      <w:lvlJc w:val="right"/>
      <w:pPr>
        <w:tabs>
          <w:tab w:val="num" w:pos="4320"/>
        </w:tabs>
        <w:ind w:left="4320" w:hanging="180"/>
      </w:pPr>
    </w:lvl>
    <w:lvl w:ilvl="3" w:tplc="0C0A000F" w:tentative="1">
      <w:start w:val="1"/>
      <w:numFmt w:val="decimal"/>
      <w:lvlText w:val="%4."/>
      <w:lvlJc w:val="left"/>
      <w:pPr>
        <w:tabs>
          <w:tab w:val="num" w:pos="5040"/>
        </w:tabs>
        <w:ind w:left="5040" w:hanging="360"/>
      </w:pPr>
    </w:lvl>
    <w:lvl w:ilvl="4" w:tplc="0C0A0019" w:tentative="1">
      <w:start w:val="1"/>
      <w:numFmt w:val="lowerLetter"/>
      <w:lvlText w:val="%5."/>
      <w:lvlJc w:val="left"/>
      <w:pPr>
        <w:tabs>
          <w:tab w:val="num" w:pos="5760"/>
        </w:tabs>
        <w:ind w:left="5760" w:hanging="360"/>
      </w:pPr>
    </w:lvl>
    <w:lvl w:ilvl="5" w:tplc="0C0A001B" w:tentative="1">
      <w:start w:val="1"/>
      <w:numFmt w:val="lowerRoman"/>
      <w:lvlText w:val="%6."/>
      <w:lvlJc w:val="right"/>
      <w:pPr>
        <w:tabs>
          <w:tab w:val="num" w:pos="6480"/>
        </w:tabs>
        <w:ind w:left="6480" w:hanging="180"/>
      </w:pPr>
    </w:lvl>
    <w:lvl w:ilvl="6" w:tplc="0C0A000F" w:tentative="1">
      <w:start w:val="1"/>
      <w:numFmt w:val="decimal"/>
      <w:lvlText w:val="%7."/>
      <w:lvlJc w:val="left"/>
      <w:pPr>
        <w:tabs>
          <w:tab w:val="num" w:pos="7200"/>
        </w:tabs>
        <w:ind w:left="7200" w:hanging="360"/>
      </w:pPr>
    </w:lvl>
    <w:lvl w:ilvl="7" w:tplc="0C0A0019" w:tentative="1">
      <w:start w:val="1"/>
      <w:numFmt w:val="lowerLetter"/>
      <w:lvlText w:val="%8."/>
      <w:lvlJc w:val="left"/>
      <w:pPr>
        <w:tabs>
          <w:tab w:val="num" w:pos="7920"/>
        </w:tabs>
        <w:ind w:left="7920" w:hanging="360"/>
      </w:pPr>
    </w:lvl>
    <w:lvl w:ilvl="8" w:tplc="0C0A001B" w:tentative="1">
      <w:start w:val="1"/>
      <w:numFmt w:val="lowerRoman"/>
      <w:lvlText w:val="%9."/>
      <w:lvlJc w:val="right"/>
      <w:pPr>
        <w:tabs>
          <w:tab w:val="num" w:pos="8640"/>
        </w:tabs>
        <w:ind w:left="8640" w:hanging="180"/>
      </w:pPr>
    </w:lvl>
  </w:abstractNum>
  <w:abstractNum w:abstractNumId="2">
    <w:nsid w:val="0D89661A"/>
    <w:multiLevelType w:val="hybridMultilevel"/>
    <w:tmpl w:val="05001CDE"/>
    <w:lvl w:ilvl="0" w:tplc="FD84687A">
      <w:start w:val="1"/>
      <w:numFmt w:val="decimal"/>
      <w:lvlText w:val="%1."/>
      <w:lvlJc w:val="left"/>
      <w:pPr>
        <w:tabs>
          <w:tab w:val="num" w:pos="454"/>
        </w:tabs>
        <w:ind w:left="454" w:hanging="454"/>
      </w:pPr>
      <w:rPr>
        <w:rFonts w:ascii="Tahoma" w:hAnsi="Tahoma" w:hint="default"/>
        <w:b/>
        <w:i w:val="0"/>
        <w:shadow w:val="0"/>
        <w:emboss w:val="0"/>
        <w:imprint w:val="0"/>
        <w:color w:val="auto"/>
        <w:sz w:val="20"/>
        <w:szCs w:val="20"/>
        <w:u w:color="FFFFFF"/>
        <w:effect w:val="none"/>
      </w:rPr>
    </w:lvl>
    <w:lvl w:ilvl="1" w:tplc="5BA68C46">
      <w:start w:val="1"/>
      <w:numFmt w:val="lowerRoman"/>
      <w:lvlText w:val="(%2)"/>
      <w:lvlJc w:val="left"/>
      <w:pPr>
        <w:tabs>
          <w:tab w:val="num" w:pos="1800"/>
        </w:tabs>
        <w:ind w:left="1800" w:hanging="720"/>
      </w:pPr>
      <w:rPr>
        <w:rFonts w:hint="default"/>
        <w:b/>
      </w:rPr>
    </w:lvl>
    <w:lvl w:ilvl="2" w:tplc="91224666">
      <w:start w:val="1"/>
      <w:numFmt w:val="lowerRoman"/>
      <w:lvlText w:val="%3."/>
      <w:lvlJc w:val="left"/>
      <w:pPr>
        <w:tabs>
          <w:tab w:val="num" w:pos="1800"/>
        </w:tabs>
        <w:ind w:left="1800" w:hanging="720"/>
      </w:pPr>
      <w:rPr>
        <w:rFonts w:hint="default"/>
        <w:b/>
      </w:rPr>
    </w:lvl>
    <w:lvl w:ilvl="3" w:tplc="E034C060">
      <w:start w:val="1"/>
      <w:numFmt w:val="lowerLetter"/>
      <w:lvlText w:val="%4."/>
      <w:lvlJc w:val="left"/>
      <w:pPr>
        <w:tabs>
          <w:tab w:val="num" w:pos="2880"/>
        </w:tabs>
        <w:ind w:left="2880" w:hanging="360"/>
      </w:pPr>
      <w:rPr>
        <w:rFonts w:hint="default"/>
        <w:b/>
      </w:rPr>
    </w:lvl>
    <w:lvl w:ilvl="4" w:tplc="06E495D8">
      <w:start w:val="1"/>
      <w:numFmt w:val="lowerLetter"/>
      <w:lvlText w:val="%5)"/>
      <w:lvlJc w:val="left"/>
      <w:pPr>
        <w:tabs>
          <w:tab w:val="num" w:pos="3600"/>
        </w:tabs>
        <w:ind w:left="3600" w:hanging="360"/>
      </w:pPr>
      <w:rPr>
        <w:rFonts w:hint="default"/>
        <w:b/>
        <w:i w:val="0"/>
        <w:shadow w:val="0"/>
        <w:emboss w:val="0"/>
        <w:imprint w:val="0"/>
        <w:color w:val="auto"/>
        <w:sz w:val="20"/>
        <w:szCs w:val="20"/>
        <w:u w:color="FFFFFF"/>
        <w:effect w:val="none"/>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24F327CA"/>
    <w:multiLevelType w:val="hybridMultilevel"/>
    <w:tmpl w:val="09C8B2D0"/>
    <w:lvl w:ilvl="0" w:tplc="501CD38E">
      <w:start w:val="1"/>
      <w:numFmt w:val="decimal"/>
      <w:lvlText w:val="%1."/>
      <w:lvlJc w:val="left"/>
      <w:pPr>
        <w:tabs>
          <w:tab w:val="num" w:pos="720"/>
        </w:tabs>
        <w:ind w:left="720" w:hanging="360"/>
      </w:pPr>
      <w:rPr>
        <w:b/>
      </w:rPr>
    </w:lvl>
    <w:lvl w:ilvl="1" w:tplc="280A0019" w:tentative="1">
      <w:start w:val="1"/>
      <w:numFmt w:val="lowerLetter"/>
      <w:lvlText w:val="%2."/>
      <w:lvlJc w:val="left"/>
      <w:pPr>
        <w:tabs>
          <w:tab w:val="num" w:pos="1440"/>
        </w:tabs>
        <w:ind w:left="1440" w:hanging="360"/>
      </w:pPr>
    </w:lvl>
    <w:lvl w:ilvl="2" w:tplc="280A001B" w:tentative="1">
      <w:start w:val="1"/>
      <w:numFmt w:val="lowerRoman"/>
      <w:lvlText w:val="%3."/>
      <w:lvlJc w:val="right"/>
      <w:pPr>
        <w:tabs>
          <w:tab w:val="num" w:pos="2160"/>
        </w:tabs>
        <w:ind w:left="2160" w:hanging="180"/>
      </w:pPr>
    </w:lvl>
    <w:lvl w:ilvl="3" w:tplc="280A000F" w:tentative="1">
      <w:start w:val="1"/>
      <w:numFmt w:val="decimal"/>
      <w:lvlText w:val="%4."/>
      <w:lvlJc w:val="left"/>
      <w:pPr>
        <w:tabs>
          <w:tab w:val="num" w:pos="2880"/>
        </w:tabs>
        <w:ind w:left="2880" w:hanging="360"/>
      </w:pPr>
    </w:lvl>
    <w:lvl w:ilvl="4" w:tplc="280A0019" w:tentative="1">
      <w:start w:val="1"/>
      <w:numFmt w:val="lowerLetter"/>
      <w:lvlText w:val="%5."/>
      <w:lvlJc w:val="left"/>
      <w:pPr>
        <w:tabs>
          <w:tab w:val="num" w:pos="3600"/>
        </w:tabs>
        <w:ind w:left="3600" w:hanging="360"/>
      </w:pPr>
    </w:lvl>
    <w:lvl w:ilvl="5" w:tplc="280A001B" w:tentative="1">
      <w:start w:val="1"/>
      <w:numFmt w:val="lowerRoman"/>
      <w:lvlText w:val="%6."/>
      <w:lvlJc w:val="right"/>
      <w:pPr>
        <w:tabs>
          <w:tab w:val="num" w:pos="4320"/>
        </w:tabs>
        <w:ind w:left="4320" w:hanging="180"/>
      </w:pPr>
    </w:lvl>
    <w:lvl w:ilvl="6" w:tplc="280A000F" w:tentative="1">
      <w:start w:val="1"/>
      <w:numFmt w:val="decimal"/>
      <w:lvlText w:val="%7."/>
      <w:lvlJc w:val="left"/>
      <w:pPr>
        <w:tabs>
          <w:tab w:val="num" w:pos="5040"/>
        </w:tabs>
        <w:ind w:left="5040" w:hanging="360"/>
      </w:pPr>
    </w:lvl>
    <w:lvl w:ilvl="7" w:tplc="280A0019" w:tentative="1">
      <w:start w:val="1"/>
      <w:numFmt w:val="lowerLetter"/>
      <w:lvlText w:val="%8."/>
      <w:lvlJc w:val="left"/>
      <w:pPr>
        <w:tabs>
          <w:tab w:val="num" w:pos="5760"/>
        </w:tabs>
        <w:ind w:left="5760" w:hanging="360"/>
      </w:pPr>
    </w:lvl>
    <w:lvl w:ilvl="8" w:tplc="280A001B" w:tentative="1">
      <w:start w:val="1"/>
      <w:numFmt w:val="lowerRoman"/>
      <w:lvlText w:val="%9."/>
      <w:lvlJc w:val="right"/>
      <w:pPr>
        <w:tabs>
          <w:tab w:val="num" w:pos="6480"/>
        </w:tabs>
        <w:ind w:left="6480" w:hanging="180"/>
      </w:pPr>
    </w:lvl>
  </w:abstractNum>
  <w:abstractNum w:abstractNumId="4">
    <w:nsid w:val="4113322F"/>
    <w:multiLevelType w:val="hybridMultilevel"/>
    <w:tmpl w:val="492A51CC"/>
    <w:lvl w:ilvl="0" w:tplc="78ACBF6C">
      <w:start w:val="1"/>
      <w:numFmt w:val="decimal"/>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681D675A"/>
    <w:multiLevelType w:val="hybridMultilevel"/>
    <w:tmpl w:val="4AAC1408"/>
    <w:lvl w:ilvl="0" w:tplc="4DBC940E">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6C4613DD"/>
    <w:multiLevelType w:val="hybridMultilevel"/>
    <w:tmpl w:val="A8FEA60C"/>
    <w:lvl w:ilvl="0" w:tplc="D27EA1E0">
      <w:start w:val="1"/>
      <w:numFmt w:val="decimal"/>
      <w:lvlText w:val="%1."/>
      <w:lvlJc w:val="left"/>
      <w:pPr>
        <w:tabs>
          <w:tab w:val="num" w:pos="720"/>
        </w:tabs>
        <w:ind w:left="720" w:hanging="360"/>
      </w:pPr>
      <w:rPr>
        <w:b/>
        <w:sz w:val="20"/>
        <w:szCs w:val="20"/>
      </w:rPr>
    </w:lvl>
    <w:lvl w:ilvl="1" w:tplc="0C0A0011">
      <w:start w:val="1"/>
      <w:numFmt w:val="decimal"/>
      <w:lvlText w:val="%2)"/>
      <w:lvlJc w:val="left"/>
      <w:pPr>
        <w:tabs>
          <w:tab w:val="num" w:pos="1620"/>
        </w:tabs>
        <w:ind w:left="1620" w:hanging="360"/>
      </w:pPr>
      <w:rPr>
        <w:b/>
        <w:sz w:val="20"/>
        <w:szCs w:val="2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0"/>
  </w:num>
  <w:num w:numId="4">
    <w:abstractNumId w:val="1"/>
  </w:num>
  <w:num w:numId="5">
    <w:abstractNumId w:val="2"/>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FA414F"/>
    <w:rsid w:val="00040214"/>
    <w:rsid w:val="00053B12"/>
    <w:rsid w:val="00056F69"/>
    <w:rsid w:val="000D1732"/>
    <w:rsid w:val="001244B4"/>
    <w:rsid w:val="001F3556"/>
    <w:rsid w:val="002F3C30"/>
    <w:rsid w:val="00313E16"/>
    <w:rsid w:val="00360605"/>
    <w:rsid w:val="004054C5"/>
    <w:rsid w:val="004D2124"/>
    <w:rsid w:val="005250C2"/>
    <w:rsid w:val="005D7AA5"/>
    <w:rsid w:val="007A7D00"/>
    <w:rsid w:val="007F2DC1"/>
    <w:rsid w:val="00823DFC"/>
    <w:rsid w:val="008311D6"/>
    <w:rsid w:val="009858D8"/>
    <w:rsid w:val="00A06483"/>
    <w:rsid w:val="00A51D4B"/>
    <w:rsid w:val="00A605E0"/>
    <w:rsid w:val="00AA06D5"/>
    <w:rsid w:val="00B53AB0"/>
    <w:rsid w:val="00B616E4"/>
    <w:rsid w:val="00C36731"/>
    <w:rsid w:val="00C5662C"/>
    <w:rsid w:val="00C708B7"/>
    <w:rsid w:val="00CA637B"/>
    <w:rsid w:val="00CC3D1C"/>
    <w:rsid w:val="00D278C8"/>
    <w:rsid w:val="00D31983"/>
    <w:rsid w:val="00D33F7E"/>
    <w:rsid w:val="00D57CA2"/>
    <w:rsid w:val="00DC14C0"/>
    <w:rsid w:val="00E156B7"/>
    <w:rsid w:val="00E62B40"/>
    <w:rsid w:val="00E65CCD"/>
    <w:rsid w:val="00F23261"/>
    <w:rsid w:val="00F4163C"/>
    <w:rsid w:val="00F66AF9"/>
    <w:rsid w:val="00FA414F"/>
    <w:rsid w:val="00FD1EC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605"/>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rsid w:val="00360605"/>
    <w:pPr>
      <w:spacing w:after="120"/>
    </w:pPr>
    <w:rPr>
      <w:sz w:val="16"/>
      <w:szCs w:val="16"/>
      <w:lang w:val="es-PE"/>
    </w:rPr>
  </w:style>
  <w:style w:type="paragraph" w:styleId="Textoindependiente">
    <w:name w:val="Body Text"/>
    <w:basedOn w:val="Normal"/>
    <w:rsid w:val="00360605"/>
    <w:pPr>
      <w:spacing w:after="120"/>
    </w:pPr>
  </w:style>
  <w:style w:type="paragraph" w:styleId="Textonotapie">
    <w:name w:val="footnote text"/>
    <w:basedOn w:val="Normal"/>
    <w:link w:val="TextonotapieCar"/>
    <w:semiHidden/>
    <w:rsid w:val="00360605"/>
  </w:style>
  <w:style w:type="character" w:styleId="Refdenotaalpie">
    <w:name w:val="footnote reference"/>
    <w:basedOn w:val="Fuentedeprrafopredeter"/>
    <w:semiHidden/>
    <w:rsid w:val="00360605"/>
    <w:rPr>
      <w:vertAlign w:val="superscript"/>
    </w:rPr>
  </w:style>
  <w:style w:type="paragraph" w:customStyle="1" w:styleId="Textoindependiente21">
    <w:name w:val="Texto independiente 21"/>
    <w:basedOn w:val="Normal"/>
    <w:rsid w:val="00360605"/>
    <w:pPr>
      <w:jc w:val="both"/>
    </w:pPr>
    <w:rPr>
      <w:rFonts w:ascii="Tahoma" w:hAnsi="Tahoma"/>
      <w:sz w:val="22"/>
      <w:szCs w:val="20"/>
    </w:rPr>
  </w:style>
  <w:style w:type="paragraph" w:styleId="Piedepgina">
    <w:name w:val="footer"/>
    <w:basedOn w:val="Normal"/>
    <w:rsid w:val="00360605"/>
    <w:pPr>
      <w:tabs>
        <w:tab w:val="center" w:pos="4252"/>
        <w:tab w:val="right" w:pos="8504"/>
      </w:tabs>
    </w:pPr>
  </w:style>
  <w:style w:type="character" w:styleId="Nmerodepgina">
    <w:name w:val="page number"/>
    <w:basedOn w:val="Fuentedeprrafopredeter"/>
    <w:rsid w:val="00360605"/>
  </w:style>
  <w:style w:type="character" w:customStyle="1" w:styleId="TextonotapieCar">
    <w:name w:val="Texto nota pie Car"/>
    <w:basedOn w:val="Fuentedeprrafopredeter"/>
    <w:link w:val="Textonotapie"/>
    <w:rsid w:val="00360605"/>
    <w:rPr>
      <w:sz w:val="24"/>
      <w:szCs w:val="24"/>
      <w:lang w:val="es-ES" w:eastAsia="es-ES" w:bidi="ar-SA"/>
    </w:rPr>
  </w:style>
  <w:style w:type="character" w:styleId="Textoennegrita">
    <w:name w:val="Strong"/>
    <w:basedOn w:val="Fuentedeprrafopredeter"/>
    <w:qFormat/>
    <w:rsid w:val="00053B1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3131</Words>
  <Characters>16502</Characters>
  <Application>Microsoft Office Word</Application>
  <DocSecurity>0</DocSecurity>
  <Lines>137</Lines>
  <Paragraphs>39</Paragraphs>
  <ScaleCrop>false</ScaleCrop>
  <HeadingPairs>
    <vt:vector size="2" baseType="variant">
      <vt:variant>
        <vt:lpstr>Título</vt:lpstr>
      </vt:variant>
      <vt:variant>
        <vt:i4>1</vt:i4>
      </vt:variant>
    </vt:vector>
  </HeadingPairs>
  <TitlesOfParts>
    <vt:vector size="1" baseType="lpstr">
      <vt:lpstr>Sumilla: La configuración del supuesto de hecho de la norma tipificada en el numeral 2) del artículo 294 del Reglamento requie</vt:lpstr>
    </vt:vector>
  </TitlesOfParts>
  <Company>CONSUCODE</Company>
  <LinksUpToDate>false</LinksUpToDate>
  <CharactersWithSpaces>19594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1959-2007-TC-S3</dc:title>
  <dc:subject>PROCEDIMIENTO ADMINISTRATIVO SANCIONADOR</dc:subject>
  <dc:creator>TRIBUNAL</dc:creator>
  <cp:keywords>PRESENTACION DE DOCUEMTNOS FALSOS</cp:keywords>
  <dc:description/>
  <cp:lastModifiedBy>gllano</cp:lastModifiedBy>
  <cp:revision>2</cp:revision>
  <cp:lastPrinted>2007-11-13T19:00:00Z</cp:lastPrinted>
  <dcterms:created xsi:type="dcterms:W3CDTF">2007-12-13T21:38:00Z</dcterms:created>
  <dcterms:modified xsi:type="dcterms:W3CDTF">2007-12-13T21:38:00Z</dcterms:modified>
  <cp:category>RESOLUCION-TRIBUNAL</cp:category>
</cp:coreProperties>
</file>