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80C" w:rsidRPr="00A17087" w:rsidRDefault="00A17087" w:rsidP="00A17087">
      <w:pPr>
        <w:ind w:left="2700" w:right="764" w:hanging="900"/>
        <w:jc w:val="center"/>
        <w:rPr>
          <w:rFonts w:ascii="Tahoma" w:hAnsi="Tahoma" w:cs="Tahoma"/>
          <w:b/>
          <w:i/>
          <w:sz w:val="36"/>
          <w:szCs w:val="36"/>
        </w:rPr>
      </w:pPr>
      <w:r w:rsidRPr="00A17087">
        <w:rPr>
          <w:rFonts w:ascii="Tahoma" w:hAnsi="Tahoma" w:cs="Tahoma"/>
          <w:b/>
          <w:i/>
          <w:sz w:val="36"/>
          <w:szCs w:val="36"/>
        </w:rPr>
        <w:t>1958-2007-TC-S3</w:t>
      </w:r>
    </w:p>
    <w:p w:rsidR="0030780C" w:rsidRDefault="0030780C" w:rsidP="00794BFD">
      <w:pPr>
        <w:ind w:left="2700" w:right="764" w:hanging="900"/>
        <w:jc w:val="both"/>
        <w:rPr>
          <w:rFonts w:ascii="Tahoma" w:hAnsi="Tahoma" w:cs="Tahoma"/>
          <w:b/>
          <w:i/>
          <w:sz w:val="20"/>
          <w:szCs w:val="20"/>
        </w:rPr>
      </w:pPr>
    </w:p>
    <w:p w:rsidR="008F5E4C" w:rsidRPr="00794BFD" w:rsidRDefault="008F5E4C" w:rsidP="00794BFD">
      <w:pPr>
        <w:ind w:left="2700" w:right="764" w:hanging="900"/>
        <w:jc w:val="both"/>
        <w:rPr>
          <w:rFonts w:ascii="Tahoma" w:hAnsi="Tahoma" w:cs="Tahoma"/>
          <w:i/>
          <w:sz w:val="20"/>
          <w:szCs w:val="20"/>
        </w:rPr>
      </w:pPr>
      <w:r w:rsidRPr="00794BFD">
        <w:rPr>
          <w:rFonts w:ascii="Tahoma" w:hAnsi="Tahoma" w:cs="Tahoma"/>
          <w:b/>
          <w:i/>
          <w:sz w:val="20"/>
          <w:szCs w:val="20"/>
        </w:rPr>
        <w:t xml:space="preserve">Sumilla: </w:t>
      </w:r>
      <w:r w:rsidR="00EF7029" w:rsidRPr="00794BFD">
        <w:rPr>
          <w:rFonts w:ascii="Tahoma" w:hAnsi="Tahoma" w:cs="Tahoma"/>
          <w:i/>
          <w:sz w:val="20"/>
          <w:szCs w:val="20"/>
        </w:rPr>
        <w:t xml:space="preserve">El adjudicatario de la Buena Pro debe </w:t>
      </w:r>
      <w:r w:rsidR="004A2A71" w:rsidRPr="00794BFD">
        <w:rPr>
          <w:rFonts w:ascii="Tahoma" w:hAnsi="Tahoma" w:cs="Tahoma"/>
          <w:i/>
          <w:sz w:val="20"/>
          <w:szCs w:val="20"/>
        </w:rPr>
        <w:t xml:space="preserve">cumplir </w:t>
      </w:r>
      <w:r w:rsidR="00EF7029" w:rsidRPr="00794BFD">
        <w:rPr>
          <w:rFonts w:ascii="Tahoma" w:hAnsi="Tahoma" w:cs="Tahoma"/>
          <w:i/>
          <w:sz w:val="20"/>
          <w:szCs w:val="20"/>
        </w:rPr>
        <w:t>con suscribir el respectivo contrato</w:t>
      </w:r>
      <w:r w:rsidR="00FD5D55" w:rsidRPr="00794BFD">
        <w:rPr>
          <w:rFonts w:ascii="Tahoma" w:hAnsi="Tahoma" w:cs="Tahoma"/>
          <w:sz w:val="20"/>
          <w:szCs w:val="20"/>
        </w:rPr>
        <w:t>.</w:t>
      </w:r>
    </w:p>
    <w:p w:rsidR="008F5E4C" w:rsidRDefault="008F5E4C" w:rsidP="00794BFD">
      <w:pPr>
        <w:pStyle w:val="Textoindependiente3"/>
        <w:ind w:left="2124" w:firstLine="708"/>
        <w:jc w:val="center"/>
        <w:rPr>
          <w:rFonts w:ascii="Tahoma" w:hAnsi="Tahoma" w:cs="Tahoma"/>
          <w:b/>
          <w:sz w:val="20"/>
          <w:szCs w:val="20"/>
          <w:lang w:val="es-ES"/>
        </w:rPr>
      </w:pPr>
    </w:p>
    <w:p w:rsidR="008F5E4C" w:rsidRPr="00794BFD" w:rsidRDefault="008F5E4C" w:rsidP="00794BFD">
      <w:pPr>
        <w:pStyle w:val="Textoindependiente3"/>
        <w:ind w:left="2124" w:firstLine="708"/>
        <w:jc w:val="center"/>
        <w:rPr>
          <w:rFonts w:ascii="Tahoma" w:hAnsi="Tahoma" w:cs="Tahoma"/>
          <w:b/>
          <w:sz w:val="20"/>
          <w:szCs w:val="20"/>
        </w:rPr>
      </w:pPr>
      <w:r w:rsidRPr="00794BFD">
        <w:rPr>
          <w:rFonts w:ascii="Tahoma" w:hAnsi="Tahoma" w:cs="Tahoma"/>
          <w:b/>
          <w:sz w:val="20"/>
          <w:szCs w:val="20"/>
        </w:rPr>
        <w:t xml:space="preserve">     Lima, </w:t>
      </w:r>
      <w:r w:rsidR="00A17087">
        <w:rPr>
          <w:rFonts w:ascii="Tahoma" w:hAnsi="Tahoma" w:cs="Tahoma"/>
          <w:b/>
          <w:sz w:val="20"/>
          <w:szCs w:val="20"/>
        </w:rPr>
        <w:t>20 de noviembre de 2007</w:t>
      </w:r>
    </w:p>
    <w:p w:rsidR="008F5E4C" w:rsidRPr="00794BFD" w:rsidRDefault="008F5E4C" w:rsidP="00794BFD">
      <w:pPr>
        <w:ind w:right="764"/>
        <w:jc w:val="both"/>
        <w:rPr>
          <w:rFonts w:ascii="Tahoma" w:hAnsi="Tahoma" w:cs="Tahoma"/>
          <w:sz w:val="20"/>
          <w:szCs w:val="20"/>
        </w:rPr>
      </w:pPr>
    </w:p>
    <w:p w:rsidR="008F5E4C" w:rsidRPr="00794BFD" w:rsidRDefault="008F5E4C" w:rsidP="00794BFD">
      <w:pPr>
        <w:ind w:firstLine="720"/>
        <w:jc w:val="both"/>
        <w:rPr>
          <w:rFonts w:ascii="Tahoma" w:hAnsi="Tahoma" w:cs="Tahoma"/>
          <w:color w:val="000000"/>
          <w:sz w:val="20"/>
          <w:szCs w:val="20"/>
        </w:rPr>
      </w:pPr>
      <w:r w:rsidRPr="00794BFD">
        <w:rPr>
          <w:rFonts w:ascii="Tahoma" w:hAnsi="Tahoma" w:cs="Tahoma"/>
          <w:b/>
          <w:sz w:val="20"/>
          <w:szCs w:val="20"/>
        </w:rPr>
        <w:t>Visto,</w:t>
      </w:r>
      <w:r w:rsidRPr="00794BFD">
        <w:rPr>
          <w:rFonts w:ascii="Tahoma" w:hAnsi="Tahoma" w:cs="Tahoma"/>
          <w:sz w:val="20"/>
          <w:szCs w:val="20"/>
        </w:rPr>
        <w:t xml:space="preserve"> </w:t>
      </w:r>
      <w:r w:rsidR="007E63C6" w:rsidRPr="00794BFD">
        <w:rPr>
          <w:rFonts w:ascii="Tahoma" w:hAnsi="Tahoma" w:cs="Tahoma"/>
          <w:color w:val="000000"/>
          <w:sz w:val="20"/>
          <w:szCs w:val="20"/>
        </w:rPr>
        <w:t xml:space="preserve">en sesión de fecha </w:t>
      </w:r>
      <w:r w:rsidR="00F6173F" w:rsidRPr="00794BFD">
        <w:rPr>
          <w:rFonts w:ascii="Tahoma" w:hAnsi="Tahoma" w:cs="Tahoma"/>
          <w:color w:val="000000"/>
          <w:sz w:val="20"/>
          <w:szCs w:val="20"/>
        </w:rPr>
        <w:t xml:space="preserve">12 de noviembre de </w:t>
      </w:r>
      <w:r w:rsidRPr="00794BFD">
        <w:rPr>
          <w:rFonts w:ascii="Tahoma" w:hAnsi="Tahoma" w:cs="Tahoma"/>
          <w:color w:val="000000"/>
          <w:sz w:val="20"/>
          <w:szCs w:val="20"/>
        </w:rPr>
        <w:t>2007 de la Tercera Sala del Tribunal de Contrataciones y Adquisiciones del Estado el Expediente N.°</w:t>
      </w:r>
      <w:r w:rsidRPr="00794BFD">
        <w:rPr>
          <w:rFonts w:ascii="Tahoma" w:hAnsi="Tahoma" w:cs="Tahoma"/>
          <w:sz w:val="20"/>
          <w:szCs w:val="20"/>
        </w:rPr>
        <w:t xml:space="preserve"> </w:t>
      </w:r>
      <w:r w:rsidR="009F5E9F" w:rsidRPr="00794BFD">
        <w:rPr>
          <w:rFonts w:ascii="Tahoma" w:hAnsi="Tahoma" w:cs="Tahoma"/>
          <w:sz w:val="20"/>
          <w:szCs w:val="20"/>
        </w:rPr>
        <w:t>422</w:t>
      </w:r>
      <w:r w:rsidRPr="00794BFD">
        <w:rPr>
          <w:rFonts w:ascii="Tahoma" w:hAnsi="Tahoma" w:cs="Tahoma"/>
          <w:sz w:val="20"/>
          <w:szCs w:val="20"/>
        </w:rPr>
        <w:t>/200</w:t>
      </w:r>
      <w:r w:rsidR="009F5E9F" w:rsidRPr="00794BFD">
        <w:rPr>
          <w:rFonts w:ascii="Tahoma" w:hAnsi="Tahoma" w:cs="Tahoma"/>
          <w:sz w:val="20"/>
          <w:szCs w:val="20"/>
        </w:rPr>
        <w:t>5</w:t>
      </w:r>
      <w:r w:rsidRPr="00794BFD">
        <w:rPr>
          <w:rFonts w:ascii="Tahoma" w:hAnsi="Tahoma" w:cs="Tahoma"/>
          <w:sz w:val="20"/>
          <w:szCs w:val="20"/>
        </w:rPr>
        <w:t>.TC</w:t>
      </w:r>
      <w:r w:rsidRPr="00794BFD">
        <w:rPr>
          <w:rFonts w:ascii="Tahoma" w:hAnsi="Tahoma" w:cs="Tahoma"/>
          <w:color w:val="000000"/>
          <w:sz w:val="20"/>
          <w:szCs w:val="20"/>
        </w:rPr>
        <w:t xml:space="preserve"> sobre </w:t>
      </w:r>
      <w:r w:rsidR="004654F1" w:rsidRPr="00794BFD">
        <w:rPr>
          <w:rFonts w:ascii="Tahoma" w:hAnsi="Tahoma" w:cs="Tahoma"/>
          <w:color w:val="000000"/>
          <w:sz w:val="20"/>
          <w:szCs w:val="20"/>
        </w:rPr>
        <w:t xml:space="preserve">procedimiento administrativo sancionador </w:t>
      </w:r>
      <w:r w:rsidR="001E41EA" w:rsidRPr="00794BFD">
        <w:rPr>
          <w:rFonts w:ascii="Tahoma" w:hAnsi="Tahoma" w:cs="Tahoma"/>
          <w:color w:val="000000"/>
          <w:sz w:val="20"/>
          <w:szCs w:val="20"/>
        </w:rPr>
        <w:t xml:space="preserve">contra </w:t>
      </w:r>
      <w:r w:rsidR="001A5624" w:rsidRPr="00794BFD">
        <w:rPr>
          <w:rFonts w:ascii="Tahoma" w:hAnsi="Tahoma" w:cs="Tahoma"/>
          <w:color w:val="000000"/>
          <w:sz w:val="20"/>
          <w:szCs w:val="20"/>
        </w:rPr>
        <w:t xml:space="preserve">la </w:t>
      </w:r>
      <w:r w:rsidR="001A5624" w:rsidRPr="00794BFD">
        <w:rPr>
          <w:rFonts w:ascii="Tahoma" w:hAnsi="Tahoma" w:cs="Tahoma"/>
          <w:sz w:val="20"/>
          <w:szCs w:val="20"/>
        </w:rPr>
        <w:t xml:space="preserve">empresa ADM </w:t>
      </w:r>
      <w:proofErr w:type="spellStart"/>
      <w:r w:rsidR="001A5624" w:rsidRPr="00794BFD">
        <w:rPr>
          <w:rFonts w:ascii="Tahoma" w:hAnsi="Tahoma" w:cs="Tahoma"/>
          <w:sz w:val="20"/>
          <w:szCs w:val="20"/>
        </w:rPr>
        <w:t>Servis</w:t>
      </w:r>
      <w:proofErr w:type="spellEnd"/>
      <w:r w:rsidR="001A5624" w:rsidRPr="00794BFD">
        <w:rPr>
          <w:rFonts w:ascii="Tahoma" w:hAnsi="Tahoma" w:cs="Tahoma"/>
          <w:sz w:val="20"/>
          <w:szCs w:val="20"/>
        </w:rPr>
        <w:t xml:space="preserve"> S.R.L. </w:t>
      </w:r>
      <w:r w:rsidRPr="00794BFD">
        <w:rPr>
          <w:rFonts w:ascii="Tahoma" w:hAnsi="Tahoma" w:cs="Tahoma"/>
          <w:color w:val="000000"/>
          <w:sz w:val="20"/>
          <w:szCs w:val="20"/>
        </w:rPr>
        <w:t>por supuesta responsabilidad</w:t>
      </w:r>
      <w:r w:rsidR="00B53DE6" w:rsidRPr="00794BFD">
        <w:rPr>
          <w:rFonts w:ascii="Tahoma" w:hAnsi="Tahoma" w:cs="Tahoma"/>
          <w:color w:val="000000"/>
          <w:sz w:val="20"/>
          <w:szCs w:val="20"/>
        </w:rPr>
        <w:t xml:space="preserve"> en la no suscripción del contrato, pese haber resultado adjudicatari</w:t>
      </w:r>
      <w:r w:rsidR="00B72A12" w:rsidRPr="00794BFD">
        <w:rPr>
          <w:rFonts w:ascii="Tahoma" w:hAnsi="Tahoma" w:cs="Tahoma"/>
          <w:color w:val="000000"/>
          <w:sz w:val="20"/>
          <w:szCs w:val="20"/>
        </w:rPr>
        <w:t>o</w:t>
      </w:r>
      <w:r w:rsidR="00B53DE6" w:rsidRPr="00794BFD">
        <w:rPr>
          <w:rFonts w:ascii="Tahoma" w:hAnsi="Tahoma" w:cs="Tahoma"/>
          <w:color w:val="000000"/>
          <w:sz w:val="20"/>
          <w:szCs w:val="20"/>
        </w:rPr>
        <w:t xml:space="preserve"> de la buena pro de</w:t>
      </w:r>
      <w:r w:rsidR="001A5624" w:rsidRPr="00794BFD">
        <w:rPr>
          <w:rFonts w:ascii="Tahoma" w:hAnsi="Tahoma" w:cs="Tahoma"/>
          <w:color w:val="000000"/>
          <w:sz w:val="20"/>
          <w:szCs w:val="20"/>
        </w:rPr>
        <w:t xml:space="preserve">l </w:t>
      </w:r>
      <w:r w:rsidR="001A5624" w:rsidRPr="00794BFD">
        <w:rPr>
          <w:rFonts w:ascii="Tahoma" w:hAnsi="Tahoma" w:cs="Tahoma"/>
          <w:sz w:val="20"/>
          <w:szCs w:val="20"/>
        </w:rPr>
        <w:t>ítem 10 de la Adjudicación de Menor Cuantía N.º 008-2004-TANS Segunda Convocatoria (derivada del Concurso Público N.º 001-2004-TANS, Segunda Convocatoria) para la contratación de agente generales de ventas</w:t>
      </w:r>
      <w:r w:rsidR="000636A1" w:rsidRPr="00794BFD">
        <w:rPr>
          <w:rFonts w:ascii="Tahoma" w:hAnsi="Tahoma" w:cs="Tahoma"/>
          <w:color w:val="000000"/>
          <w:sz w:val="20"/>
          <w:szCs w:val="20"/>
        </w:rPr>
        <w:t>;</w:t>
      </w:r>
      <w:r w:rsidRPr="00794BFD">
        <w:rPr>
          <w:rFonts w:ascii="Tahoma" w:hAnsi="Tahoma" w:cs="Tahoma"/>
          <w:color w:val="000000"/>
          <w:sz w:val="20"/>
          <w:szCs w:val="20"/>
        </w:rPr>
        <w:t xml:space="preserve"> atendiendo a los siguientes:  </w:t>
      </w:r>
    </w:p>
    <w:p w:rsidR="008F5E4C" w:rsidRPr="00794BFD" w:rsidRDefault="008F5E4C" w:rsidP="00794BFD">
      <w:pPr>
        <w:ind w:firstLine="708"/>
        <w:jc w:val="both"/>
        <w:rPr>
          <w:rFonts w:ascii="Tahoma" w:hAnsi="Tahoma" w:cs="Tahoma"/>
          <w:color w:val="000000"/>
          <w:sz w:val="20"/>
          <w:szCs w:val="20"/>
        </w:rPr>
      </w:pPr>
    </w:p>
    <w:p w:rsidR="0030780C" w:rsidRDefault="0030780C" w:rsidP="00794BFD">
      <w:pPr>
        <w:rPr>
          <w:rFonts w:ascii="Tahoma" w:hAnsi="Tahoma" w:cs="Tahoma"/>
          <w:b/>
          <w:shadow/>
          <w:sz w:val="20"/>
          <w:szCs w:val="20"/>
        </w:rPr>
      </w:pPr>
    </w:p>
    <w:p w:rsidR="008F5E4C" w:rsidRPr="00794BFD" w:rsidRDefault="008F5E4C" w:rsidP="00794BFD">
      <w:pPr>
        <w:rPr>
          <w:rFonts w:ascii="Tahoma" w:hAnsi="Tahoma" w:cs="Tahoma"/>
          <w:b/>
          <w:shadow/>
          <w:sz w:val="20"/>
          <w:szCs w:val="20"/>
        </w:rPr>
      </w:pPr>
      <w:r w:rsidRPr="00794BFD">
        <w:rPr>
          <w:rFonts w:ascii="Tahoma" w:hAnsi="Tahoma" w:cs="Tahoma"/>
          <w:b/>
          <w:shadow/>
          <w:sz w:val="20"/>
          <w:szCs w:val="20"/>
        </w:rPr>
        <w:t>ANTECEDENTES:</w:t>
      </w:r>
    </w:p>
    <w:p w:rsidR="003652C9" w:rsidRPr="00794BFD" w:rsidRDefault="003652C9" w:rsidP="00794BFD">
      <w:pPr>
        <w:ind w:left="360"/>
        <w:rPr>
          <w:rFonts w:ascii="Tahoma" w:hAnsi="Tahoma" w:cs="Tahoma"/>
          <w:b/>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Mediante Acta de fecha 18 de noviembre de 2004, el Comité Especial de Transporte Aéreos Nacionales de Selva S.A. otorgó la Buena Pro del ítem 10 (Tacna) de la Adjudicación de Menor Cuantía N</w:t>
      </w:r>
      <w:proofErr w:type="gramStart"/>
      <w:r w:rsidRPr="00794BFD">
        <w:rPr>
          <w:rFonts w:ascii="Tahoma" w:hAnsi="Tahoma" w:cs="Tahoma"/>
          <w:sz w:val="20"/>
          <w:szCs w:val="20"/>
        </w:rPr>
        <w:t>.º</w:t>
      </w:r>
      <w:proofErr w:type="gramEnd"/>
      <w:r w:rsidRPr="00794BFD">
        <w:rPr>
          <w:rFonts w:ascii="Tahoma" w:hAnsi="Tahoma" w:cs="Tahoma"/>
          <w:sz w:val="20"/>
          <w:szCs w:val="20"/>
        </w:rPr>
        <w:t xml:space="preserve"> 008-2004-TANS Segunda Convocatoria (derivada del Concurso Público N.º 001-2004-TANS, Segunda Convocatoria, ítem 10-Tacna), para la contratación de agente generales de ventas, a la empresa ADM </w:t>
      </w:r>
      <w:proofErr w:type="spellStart"/>
      <w:r w:rsidRPr="00794BFD">
        <w:rPr>
          <w:rFonts w:ascii="Tahoma" w:hAnsi="Tahoma" w:cs="Tahoma"/>
          <w:sz w:val="20"/>
          <w:szCs w:val="20"/>
        </w:rPr>
        <w:t>Servis</w:t>
      </w:r>
      <w:proofErr w:type="spellEnd"/>
      <w:r w:rsidRPr="00794BFD">
        <w:rPr>
          <w:rFonts w:ascii="Tahoma" w:hAnsi="Tahoma" w:cs="Tahoma"/>
          <w:sz w:val="20"/>
          <w:szCs w:val="20"/>
        </w:rPr>
        <w:t xml:space="preserve"> S.R.L., en adelante el Postor.</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2 de diciembre de 2004, mediante Carta-TANS-ALEG-N</w:t>
      </w:r>
      <w:proofErr w:type="gramStart"/>
      <w:r w:rsidRPr="00794BFD">
        <w:rPr>
          <w:rFonts w:ascii="Tahoma" w:hAnsi="Tahoma" w:cs="Tahoma"/>
          <w:sz w:val="20"/>
          <w:szCs w:val="20"/>
        </w:rPr>
        <w:t>.º</w:t>
      </w:r>
      <w:proofErr w:type="gramEnd"/>
      <w:r w:rsidRPr="00794BFD">
        <w:rPr>
          <w:rFonts w:ascii="Tahoma" w:hAnsi="Tahoma" w:cs="Tahoma"/>
          <w:sz w:val="20"/>
          <w:szCs w:val="20"/>
        </w:rPr>
        <w:t>084, la Entidad procedió a citar al Postor para suscribir el respectivo contrato para el día 14 de diciembre de 2004 como primera fecha y, en caso de inasistencia, la segunda fecha para tal efecto sería el 21 de diciembre de 2004.</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21 de diciembre de 2004, mediante Carta s/n, el Postor comunicó a la Entidad que el día 26 de diciembre estará presentando la documentación solicitada a excepción de las carta fianzas, las cuales serían entregadas cuando se aclare las labores que el Postor realizaría en la ciudad de Tacna.</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27 de diciembre de 2004, mediante Carta s/n, la Entidad recibió la documentación presentada por el Postor para la suscripción del respectivo, excepto las cartas fianzas.</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21 de febrero de 2005, mediante Carta s/n, el Postor remitió a la Entidad las Cartas fianzas.</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10 de marzo de 2005, mediante Carta s/n, el Postor solicitó a la Entidad la devolución de las Cartas Fianzas y la anulación del contrato por mutuo acuerdo.</w:t>
      </w:r>
    </w:p>
    <w:p w:rsidR="0030780C" w:rsidRPr="0030780C" w:rsidRDefault="0030780C" w:rsidP="0030780C">
      <w:pPr>
        <w:jc w:val="both"/>
        <w:rPr>
          <w:rFonts w:ascii="Tahoma" w:hAnsi="Tahoma" w:cs="Tahoma"/>
          <w:b/>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b/>
          <w:sz w:val="20"/>
          <w:szCs w:val="20"/>
        </w:rPr>
      </w:pPr>
      <w:r w:rsidRPr="00794BFD">
        <w:rPr>
          <w:rFonts w:ascii="Tahoma" w:hAnsi="Tahoma" w:cs="Tahoma"/>
          <w:sz w:val="20"/>
          <w:szCs w:val="20"/>
        </w:rPr>
        <w:t>Mediante Oficio-TANS-ALEG-N</w:t>
      </w:r>
      <w:proofErr w:type="gramStart"/>
      <w:r w:rsidRPr="00794BFD">
        <w:rPr>
          <w:rFonts w:ascii="Tahoma" w:hAnsi="Tahoma" w:cs="Tahoma"/>
          <w:sz w:val="20"/>
          <w:szCs w:val="20"/>
        </w:rPr>
        <w:t>.º</w:t>
      </w:r>
      <w:proofErr w:type="gramEnd"/>
      <w:r w:rsidRPr="00794BFD">
        <w:rPr>
          <w:rFonts w:ascii="Tahoma" w:hAnsi="Tahoma" w:cs="Tahoma"/>
          <w:sz w:val="20"/>
          <w:szCs w:val="20"/>
        </w:rPr>
        <w:t xml:space="preserve"> 036/2005 de fecha 21 de marzo de 2005, el Jefe de la Asesoría Legal de la Entidad recomienda que se proceda a devolver las cartas fianzas y que no procede la resolución del contrato por mutuo acuerdo, toda vez que el </w:t>
      </w:r>
      <w:r w:rsidRPr="00794BFD">
        <w:rPr>
          <w:rFonts w:ascii="Tahoma" w:hAnsi="Tahoma" w:cs="Tahoma"/>
          <w:sz w:val="20"/>
          <w:szCs w:val="20"/>
          <w:u w:val="single"/>
        </w:rPr>
        <w:t xml:space="preserve">contrato no </w:t>
      </w:r>
      <w:r w:rsidRPr="00794BFD">
        <w:rPr>
          <w:rFonts w:ascii="Tahoma" w:hAnsi="Tahoma" w:cs="Tahoma"/>
          <w:sz w:val="20"/>
          <w:szCs w:val="20"/>
          <w:u w:val="single"/>
        </w:rPr>
        <w:lastRenderedPageBreak/>
        <w:t>se ha suscrito</w:t>
      </w:r>
      <w:r w:rsidRPr="00794BFD">
        <w:rPr>
          <w:rFonts w:ascii="Tahoma" w:hAnsi="Tahoma" w:cs="Tahoma"/>
          <w:sz w:val="20"/>
          <w:szCs w:val="20"/>
        </w:rPr>
        <w:t xml:space="preserve"> en virtud que el Postor no presentó oportunamente las referidas cartas fianzas, asimismo, deberá comunicarse tales circunstancias a CONSUCODE, para los fines pertinentes.</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5 de abril de 2005, mediante Carta-TANS-GGEN-N</w:t>
      </w:r>
      <w:proofErr w:type="gramStart"/>
      <w:r w:rsidRPr="00794BFD">
        <w:rPr>
          <w:rFonts w:ascii="Tahoma" w:hAnsi="Tahoma" w:cs="Tahoma"/>
          <w:sz w:val="20"/>
          <w:szCs w:val="20"/>
        </w:rPr>
        <w:t>.º</w:t>
      </w:r>
      <w:proofErr w:type="gramEnd"/>
      <w:r w:rsidRPr="00794BFD">
        <w:rPr>
          <w:rFonts w:ascii="Tahoma" w:hAnsi="Tahoma" w:cs="Tahoma"/>
          <w:sz w:val="20"/>
          <w:szCs w:val="20"/>
        </w:rPr>
        <w:t xml:space="preserve"> 304, la Entidad Puso en conocimiento del Tribunal de Contrataciones y Adquisiciones del Estado, en lo sucesivo el Tribunal, que el Postor habría incurrido en supuesta responsabilidad por no suscribir injustificadamente el Contrato derivado del ítem N.º 10 del referido proceso de selección.</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 xml:space="preserve">Mediante decreto de fecha 5 de abril de 2005, el Tribunal solicitó a la Entidad que remita el informe técnico legal de su asesoría y los antecedentes administrativos correspondiente. </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28 de abril de 2005, mediante escrito N</w:t>
      </w:r>
      <w:proofErr w:type="gramStart"/>
      <w:r w:rsidRPr="00794BFD">
        <w:rPr>
          <w:rFonts w:ascii="Tahoma" w:hAnsi="Tahoma" w:cs="Tahoma"/>
          <w:sz w:val="20"/>
          <w:szCs w:val="20"/>
        </w:rPr>
        <w:t>.º</w:t>
      </w:r>
      <w:proofErr w:type="gramEnd"/>
      <w:r w:rsidRPr="00794BFD">
        <w:rPr>
          <w:rFonts w:ascii="Tahoma" w:hAnsi="Tahoma" w:cs="Tahoma"/>
          <w:sz w:val="20"/>
          <w:szCs w:val="20"/>
        </w:rPr>
        <w:t xml:space="preserve"> 1, la Entidad remitió de manera parcial la documentación solicitada.</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Mediante decreto de fecha 29 de abril de 2005, el Tribunal reiteró a la Entidad que remita la documentación solicitada.</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17 y 20 de mayo de 2005, mediante escrito N</w:t>
      </w:r>
      <w:proofErr w:type="gramStart"/>
      <w:r w:rsidRPr="00794BFD">
        <w:rPr>
          <w:rFonts w:ascii="Tahoma" w:hAnsi="Tahoma" w:cs="Tahoma"/>
          <w:sz w:val="20"/>
          <w:szCs w:val="20"/>
        </w:rPr>
        <w:t>.º</w:t>
      </w:r>
      <w:proofErr w:type="gramEnd"/>
      <w:r w:rsidRPr="00794BFD">
        <w:rPr>
          <w:rFonts w:ascii="Tahoma" w:hAnsi="Tahoma" w:cs="Tahoma"/>
          <w:sz w:val="20"/>
          <w:szCs w:val="20"/>
        </w:rPr>
        <w:t xml:space="preserve"> 2 y N.º 3, respectivamente, la Entidad remitió la documentación solicitada.</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Mediante decreto de fecha 23 de mayo de 2005, el Tribunal dispuso el inicio del procedimiento administrativo sancionador al Postor por supuesta responsabilidad en no suscribir injustificadamente el Contrato, pese haber resultado favorecido con el otorgamiento de la Buena Pro respecto del ítem 10 del citado proceso de selección, emplazándola para que dentro del plazo de diez (10) días cumpla con formular sus descargos, en virtud al derecho de defensa que le asiste.</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 xml:space="preserve">No habiendo remitido el Postor los descargos dentro del plazo de Ley, mediante decreto de fecha 22 de junio de 2005, el Tribunal hizo efectivo el apercibimiento al Postor de resolver con la documentación obrante en autos y remitió el expediente a la Sala Única del Tribunal para que resuelva. </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5 de agosto de 2005, el Postor solicitó la nulidad de la notificación del inicio del procedimiento administrativo en su contra por cuanto no se ha considerado el término de la distancia. Asimismo, formuló sus descargos en los términos siguientes:</w:t>
      </w:r>
    </w:p>
    <w:p w:rsidR="003652C9" w:rsidRPr="00794BFD" w:rsidRDefault="003652C9" w:rsidP="00794BFD">
      <w:pPr>
        <w:numPr>
          <w:ilvl w:val="4"/>
          <w:numId w:val="5"/>
        </w:numPr>
        <w:tabs>
          <w:tab w:val="clear" w:pos="3600"/>
          <w:tab w:val="num" w:pos="900"/>
        </w:tabs>
        <w:ind w:left="900"/>
        <w:jc w:val="both"/>
        <w:rPr>
          <w:rFonts w:ascii="Tahoma" w:hAnsi="Tahoma" w:cs="Tahoma"/>
          <w:sz w:val="20"/>
          <w:szCs w:val="20"/>
        </w:rPr>
      </w:pPr>
      <w:r w:rsidRPr="00794BFD">
        <w:rPr>
          <w:rFonts w:ascii="Tahoma" w:hAnsi="Tahoma" w:cs="Tahoma"/>
          <w:sz w:val="20"/>
          <w:szCs w:val="20"/>
        </w:rPr>
        <w:t>TANS no cumplió con los extremos del contrato, debido que inicialmente manifestaron que empezaría en el mes de febrero las operaciones en la provincia de Tacna, luego postergó para el mes de marzo los vuelos a Tacna.</w:t>
      </w:r>
    </w:p>
    <w:p w:rsidR="003652C9" w:rsidRPr="00794BFD" w:rsidRDefault="003652C9" w:rsidP="00794BFD">
      <w:pPr>
        <w:numPr>
          <w:ilvl w:val="4"/>
          <w:numId w:val="5"/>
        </w:numPr>
        <w:tabs>
          <w:tab w:val="clear" w:pos="3600"/>
          <w:tab w:val="num" w:pos="900"/>
        </w:tabs>
        <w:ind w:left="900"/>
        <w:jc w:val="both"/>
        <w:rPr>
          <w:rFonts w:ascii="Tahoma" w:hAnsi="Tahoma" w:cs="Tahoma"/>
          <w:sz w:val="20"/>
          <w:szCs w:val="20"/>
        </w:rPr>
      </w:pPr>
      <w:r w:rsidRPr="00794BFD">
        <w:rPr>
          <w:rFonts w:ascii="Tahoma" w:hAnsi="Tahoma" w:cs="Tahoma"/>
          <w:sz w:val="20"/>
          <w:szCs w:val="20"/>
        </w:rPr>
        <w:t xml:space="preserve">TANS nos ha causado perjuicio económico y moral generado por el retraso del inicio de las operaciones comerciales. Nuestra empresa ha realizado diversos gastos, entre ellos, el alquiler de oficina y la obtención de las cartas fianzas, por lo que se procedió a firmar la resolución de contrato de mutuo acuerdo, razón por la cual TANS nos devolvió las cartas fianzas presentadas, de lo contrario como se explica dicha devolución o en su defecto deben aclarar por qué nunca se iniciaron las operaciones comerciales en la ciudad de Tacna. </w:t>
      </w:r>
    </w:p>
    <w:p w:rsidR="003652C9" w:rsidRPr="00794BFD" w:rsidRDefault="003652C9" w:rsidP="00794BFD">
      <w:pPr>
        <w:numPr>
          <w:ilvl w:val="4"/>
          <w:numId w:val="5"/>
        </w:numPr>
        <w:tabs>
          <w:tab w:val="clear" w:pos="3600"/>
          <w:tab w:val="num" w:pos="900"/>
        </w:tabs>
        <w:ind w:left="900"/>
        <w:jc w:val="both"/>
        <w:rPr>
          <w:rFonts w:ascii="Tahoma" w:hAnsi="Tahoma" w:cs="Tahoma"/>
          <w:sz w:val="20"/>
          <w:szCs w:val="20"/>
        </w:rPr>
      </w:pPr>
      <w:r w:rsidRPr="00794BFD">
        <w:rPr>
          <w:rFonts w:ascii="Tahoma" w:hAnsi="Tahoma" w:cs="Tahoma"/>
          <w:sz w:val="20"/>
          <w:szCs w:val="20"/>
        </w:rPr>
        <w:lastRenderedPageBreak/>
        <w:t>Nuestra empresa cumplió con entregar en forma oportuna toda la documentación solicitada por TANS incluida las cartas fianzas solicitadas, por lo que nuestra empresa no cometió infracción alguna.</w:t>
      </w: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El 9 de agosto de 2005, el Postor presentó documentación complementaria a su escrito de descargos.</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Mediante decreto de fecha 10 de agosto de 2005, el Tribunal declaró no ha lugar a la solicitud de nulidad planteada por el Postor.</w:t>
      </w:r>
    </w:p>
    <w:p w:rsidR="0030780C" w:rsidRDefault="0030780C" w:rsidP="0030780C">
      <w:pPr>
        <w:jc w:val="both"/>
        <w:rPr>
          <w:rFonts w:ascii="Tahoma" w:hAnsi="Tahoma" w:cs="Tahoma"/>
          <w:sz w:val="20"/>
          <w:szCs w:val="20"/>
        </w:rPr>
      </w:pPr>
    </w:p>
    <w:p w:rsidR="003652C9" w:rsidRPr="00794BFD" w:rsidRDefault="003652C9" w:rsidP="00794BFD">
      <w:pPr>
        <w:numPr>
          <w:ilvl w:val="0"/>
          <w:numId w:val="5"/>
        </w:numPr>
        <w:tabs>
          <w:tab w:val="clear" w:pos="454"/>
          <w:tab w:val="num" w:pos="540"/>
        </w:tabs>
        <w:ind w:left="540" w:hanging="540"/>
        <w:jc w:val="both"/>
        <w:rPr>
          <w:rFonts w:ascii="Tahoma" w:hAnsi="Tahoma" w:cs="Tahoma"/>
          <w:sz w:val="20"/>
          <w:szCs w:val="20"/>
        </w:rPr>
      </w:pPr>
      <w:r w:rsidRPr="00794BFD">
        <w:rPr>
          <w:rFonts w:ascii="Tahoma" w:hAnsi="Tahoma" w:cs="Tahoma"/>
          <w:sz w:val="20"/>
          <w:szCs w:val="20"/>
        </w:rPr>
        <w:t xml:space="preserve">Mediante decreto de fecha 13 de octubre de 2007, se remitió el expediente a la Tercera Sala del Tribunal </w:t>
      </w:r>
      <w:proofErr w:type="spellStart"/>
      <w:r w:rsidRPr="00794BFD">
        <w:rPr>
          <w:rFonts w:ascii="Tahoma" w:hAnsi="Tahoma" w:cs="Tahoma"/>
          <w:sz w:val="20"/>
          <w:szCs w:val="20"/>
        </w:rPr>
        <w:t>constitutita</w:t>
      </w:r>
      <w:proofErr w:type="spellEnd"/>
      <w:r w:rsidRPr="00794BFD">
        <w:rPr>
          <w:rFonts w:ascii="Tahoma" w:hAnsi="Tahoma" w:cs="Tahoma"/>
          <w:sz w:val="20"/>
          <w:szCs w:val="20"/>
        </w:rPr>
        <w:t xml:space="preserve"> mediante Resolución N</w:t>
      </w:r>
      <w:proofErr w:type="gramStart"/>
      <w:r w:rsidRPr="00794BFD">
        <w:rPr>
          <w:rFonts w:ascii="Tahoma" w:hAnsi="Tahoma" w:cs="Tahoma"/>
          <w:sz w:val="20"/>
          <w:szCs w:val="20"/>
        </w:rPr>
        <w:t>.º</w:t>
      </w:r>
      <w:proofErr w:type="gramEnd"/>
      <w:r w:rsidRPr="00794BFD">
        <w:rPr>
          <w:rFonts w:ascii="Tahoma" w:hAnsi="Tahoma" w:cs="Tahoma"/>
          <w:sz w:val="20"/>
          <w:szCs w:val="20"/>
        </w:rPr>
        <w:t xml:space="preserve"> 279-2007-CONSUCODE/PRE de fecha 21 de mayo de 2007. </w:t>
      </w:r>
    </w:p>
    <w:p w:rsidR="00F144CB" w:rsidRDefault="00F144CB" w:rsidP="00794BFD">
      <w:pPr>
        <w:jc w:val="both"/>
        <w:rPr>
          <w:rFonts w:ascii="Tahoma" w:hAnsi="Tahoma" w:cs="Tahoma"/>
          <w:b/>
          <w:shadow/>
          <w:sz w:val="20"/>
          <w:szCs w:val="20"/>
        </w:rPr>
      </w:pPr>
    </w:p>
    <w:p w:rsidR="008F5E4C" w:rsidRPr="00794BFD" w:rsidRDefault="008F5E4C" w:rsidP="00794BFD">
      <w:pPr>
        <w:jc w:val="both"/>
        <w:rPr>
          <w:rFonts w:ascii="Tahoma" w:hAnsi="Tahoma" w:cs="Tahoma"/>
          <w:shadow/>
          <w:sz w:val="20"/>
          <w:szCs w:val="20"/>
        </w:rPr>
      </w:pPr>
      <w:r w:rsidRPr="00794BFD">
        <w:rPr>
          <w:rFonts w:ascii="Tahoma" w:hAnsi="Tahoma" w:cs="Tahoma"/>
          <w:b/>
          <w:shadow/>
          <w:sz w:val="20"/>
          <w:szCs w:val="20"/>
        </w:rPr>
        <w:t>FUNDAMENT</w:t>
      </w:r>
      <w:r w:rsidR="00170F01" w:rsidRPr="00794BFD">
        <w:rPr>
          <w:rFonts w:ascii="Tahoma" w:hAnsi="Tahoma" w:cs="Tahoma"/>
          <w:b/>
          <w:shadow/>
          <w:sz w:val="20"/>
          <w:szCs w:val="20"/>
        </w:rPr>
        <w:t>ACION</w:t>
      </w:r>
    </w:p>
    <w:p w:rsidR="00273AA0" w:rsidRPr="00794BFD" w:rsidRDefault="00273AA0" w:rsidP="00794BFD">
      <w:pPr>
        <w:rPr>
          <w:rFonts w:ascii="Tahoma" w:hAnsi="Tahoma" w:cs="Tahoma"/>
          <w:b/>
          <w:sz w:val="20"/>
          <w:szCs w:val="20"/>
        </w:rPr>
      </w:pPr>
    </w:p>
    <w:p w:rsidR="00273AA0" w:rsidRPr="00794BFD" w:rsidRDefault="00273AA0" w:rsidP="00794BFD">
      <w:pPr>
        <w:numPr>
          <w:ilvl w:val="0"/>
          <w:numId w:val="6"/>
        </w:numPr>
        <w:tabs>
          <w:tab w:val="clear" w:pos="720"/>
          <w:tab w:val="num" w:pos="540"/>
        </w:tabs>
        <w:spacing w:before="100" w:after="100"/>
        <w:ind w:left="540" w:hanging="540"/>
        <w:jc w:val="both"/>
        <w:rPr>
          <w:rFonts w:ascii="Tahoma" w:hAnsi="Tahoma" w:cs="Tahoma"/>
          <w:sz w:val="20"/>
          <w:szCs w:val="20"/>
        </w:rPr>
      </w:pPr>
      <w:r w:rsidRPr="00794BFD">
        <w:rPr>
          <w:rFonts w:ascii="Tahoma" w:eastAsia="Tahoma" w:hAnsi="Tahoma" w:cs="Tahoma"/>
          <w:sz w:val="20"/>
          <w:szCs w:val="20"/>
        </w:rPr>
        <w:t xml:space="preserve">El presente procedimiento está referido a la supuesta responsabilidad de </w:t>
      </w:r>
      <w:r w:rsidRPr="00794BFD">
        <w:rPr>
          <w:rFonts w:ascii="Tahoma" w:hAnsi="Tahoma" w:cs="Tahoma"/>
          <w:sz w:val="20"/>
          <w:szCs w:val="20"/>
        </w:rPr>
        <w:t xml:space="preserve">la empresa ADM </w:t>
      </w:r>
      <w:proofErr w:type="spellStart"/>
      <w:r w:rsidRPr="00794BFD">
        <w:rPr>
          <w:rFonts w:ascii="Tahoma" w:hAnsi="Tahoma" w:cs="Tahoma"/>
          <w:sz w:val="20"/>
          <w:szCs w:val="20"/>
        </w:rPr>
        <w:t>Servis</w:t>
      </w:r>
      <w:proofErr w:type="spellEnd"/>
      <w:r w:rsidRPr="00794BFD">
        <w:rPr>
          <w:rFonts w:ascii="Tahoma" w:hAnsi="Tahoma" w:cs="Tahoma"/>
          <w:sz w:val="20"/>
          <w:szCs w:val="20"/>
        </w:rPr>
        <w:t xml:space="preserve"> S.R.L. por la no suscripción injustificada del Contrato, pese haber resultado adjudicataria de la Buena Pro del ítem 10 (Tacna) de la Adjudicación de Menor Cuantía N.º 008-2004-TANS Segunda Convocatoria (derivada del Concurso Público N.º 001-2004-TANS, Segunda Convocatoria, ítem 10-Tacna), infracción tipificada en el literal a) del artículo 205</w:t>
      </w:r>
      <w:r w:rsidRPr="00794BFD">
        <w:rPr>
          <w:rStyle w:val="Refdenotaalpie"/>
          <w:rFonts w:ascii="Tahoma" w:hAnsi="Tahoma" w:cs="Tahoma"/>
          <w:sz w:val="20"/>
          <w:szCs w:val="20"/>
        </w:rPr>
        <w:footnoteReference w:id="2"/>
      </w:r>
      <w:r w:rsidRPr="00794BFD">
        <w:rPr>
          <w:rFonts w:ascii="Tahoma" w:hAnsi="Tahoma" w:cs="Tahoma"/>
          <w:sz w:val="20"/>
          <w:szCs w:val="20"/>
        </w:rPr>
        <w:t xml:space="preserve"> del Reglamento de la Ley de Contrataciones y Adquisiciones del Estado, aprobado por Decreto Supremo N.º 013-2001-PCM, en adelante el Reglamento, norma vigente al momento de suscitado los hechos imputados.</w:t>
      </w:r>
    </w:p>
    <w:p w:rsidR="0030780C" w:rsidRPr="0030780C" w:rsidRDefault="0030780C" w:rsidP="0030780C">
      <w:pPr>
        <w:spacing w:before="100" w:after="100"/>
        <w:jc w:val="both"/>
        <w:rPr>
          <w:rFonts w:ascii="Tahoma" w:hAnsi="Tahoma" w:cs="Tahoma"/>
          <w:sz w:val="20"/>
          <w:szCs w:val="20"/>
        </w:rPr>
      </w:pPr>
    </w:p>
    <w:p w:rsidR="00273AA0" w:rsidRPr="00794BFD" w:rsidRDefault="00273AA0" w:rsidP="00794BFD">
      <w:pPr>
        <w:numPr>
          <w:ilvl w:val="0"/>
          <w:numId w:val="6"/>
        </w:numPr>
        <w:tabs>
          <w:tab w:val="clear" w:pos="720"/>
          <w:tab w:val="num" w:pos="540"/>
        </w:tabs>
        <w:spacing w:before="100" w:after="100"/>
        <w:ind w:left="540" w:hanging="540"/>
        <w:jc w:val="both"/>
        <w:rPr>
          <w:rFonts w:ascii="Tahoma" w:hAnsi="Tahoma" w:cs="Tahoma"/>
          <w:sz w:val="20"/>
          <w:szCs w:val="20"/>
        </w:rPr>
      </w:pPr>
      <w:r w:rsidRPr="00794BFD">
        <w:rPr>
          <w:rFonts w:ascii="Tahoma" w:hAnsi="Tahoma" w:cs="Tahoma"/>
          <w:sz w:val="20"/>
          <w:szCs w:val="20"/>
          <w:lang w:val="es-MX"/>
        </w:rPr>
        <w:t>P</w:t>
      </w:r>
      <w:r w:rsidRPr="00794BFD">
        <w:rPr>
          <w:rFonts w:ascii="Tahoma" w:hAnsi="Tahoma" w:cs="Tahoma"/>
          <w:sz w:val="20"/>
          <w:szCs w:val="20"/>
        </w:rPr>
        <w:t>ara la configuración del supuesto de hecho de la norma que contiene la infracción invocada, se requiere previamente acreditar que la Entidad ha dado cumplimiento al procedimiento de citación al postor adjudicatario de la buena pro para suscripción de contrato, conforme a lo establecido en los numerales 2) y 3) del artículo 118 del Reglamento los cuales disponen que, una vez consentida la buena pro, la Entidad deberá citar al postor ganador o su representante debidamente autorizado para que en un plazo de diez (10) días suscriba el respectivo contrato, con una mínima antelación de cinco (5) días, dejando a salvo el hecho de que se le cite en una segunda oportunidad dentro de un plazo que no podrá exceder los cinco (5) días siguientes a la fecha inicialmente señalada, siendo esta última fecha improrrogable, puesto que al no ser cumplida por el Postor, éste perdería la Buena Pro, sin perjuicio de la sanción administrativa imputable. El cumplimiento de este procedimiento constituye una condición necesaria para evaluar la existencia de eventuales responsabilidades por la comisión de la infracción tipificada en el literal a) del artículo 205 del Reglamento.</w:t>
      </w:r>
    </w:p>
    <w:p w:rsidR="00273AA0" w:rsidRPr="00794BFD" w:rsidRDefault="00273AA0" w:rsidP="00794BFD">
      <w:pPr>
        <w:numPr>
          <w:ilvl w:val="0"/>
          <w:numId w:val="6"/>
        </w:numPr>
        <w:tabs>
          <w:tab w:val="clear" w:pos="720"/>
          <w:tab w:val="num" w:pos="540"/>
        </w:tabs>
        <w:spacing w:before="100" w:after="100"/>
        <w:ind w:left="540" w:hanging="540"/>
        <w:jc w:val="both"/>
        <w:rPr>
          <w:rFonts w:ascii="Tahoma" w:hAnsi="Tahoma" w:cs="Tahoma"/>
          <w:sz w:val="20"/>
          <w:szCs w:val="20"/>
        </w:rPr>
      </w:pPr>
      <w:r w:rsidRPr="00794BFD">
        <w:rPr>
          <w:rFonts w:ascii="Tahoma" w:hAnsi="Tahoma" w:cs="Tahoma"/>
          <w:sz w:val="20"/>
          <w:szCs w:val="20"/>
        </w:rPr>
        <w:lastRenderedPageBreak/>
        <w:t xml:space="preserve">Los plazos mencionados precedentemente han sido previstos por la norma de la materia a favor del postor adjudicatario de la Buena Pro, constituyendo un </w:t>
      </w:r>
      <w:proofErr w:type="spellStart"/>
      <w:proofErr w:type="gramStart"/>
      <w:r w:rsidRPr="00794BFD">
        <w:rPr>
          <w:rFonts w:ascii="Tahoma" w:hAnsi="Tahoma" w:cs="Tahoma"/>
          <w:sz w:val="20"/>
          <w:szCs w:val="20"/>
        </w:rPr>
        <w:t>limite</w:t>
      </w:r>
      <w:proofErr w:type="spellEnd"/>
      <w:proofErr w:type="gramEnd"/>
      <w:r w:rsidRPr="00794BFD">
        <w:rPr>
          <w:rFonts w:ascii="Tahoma" w:hAnsi="Tahoma" w:cs="Tahoma"/>
          <w:sz w:val="20"/>
          <w:szCs w:val="20"/>
        </w:rPr>
        <w:t xml:space="preserve"> a la actuación de la Entidad a fin que ésta no le otorgue plazos arbitrarios que le impidan recabar los documentos necesarios para la respectiva suscripción del contrato.</w:t>
      </w:r>
    </w:p>
    <w:p w:rsidR="0030780C" w:rsidRDefault="0030780C" w:rsidP="0030780C">
      <w:pPr>
        <w:spacing w:before="100" w:after="100"/>
        <w:jc w:val="both"/>
        <w:rPr>
          <w:rFonts w:ascii="Tahoma" w:hAnsi="Tahoma" w:cs="Tahoma"/>
          <w:sz w:val="20"/>
          <w:szCs w:val="20"/>
        </w:rPr>
      </w:pPr>
    </w:p>
    <w:p w:rsidR="00273AA0" w:rsidRPr="00794BFD" w:rsidRDefault="00273AA0" w:rsidP="00794BFD">
      <w:pPr>
        <w:numPr>
          <w:ilvl w:val="0"/>
          <w:numId w:val="6"/>
        </w:numPr>
        <w:tabs>
          <w:tab w:val="clear" w:pos="720"/>
          <w:tab w:val="num" w:pos="540"/>
        </w:tabs>
        <w:spacing w:before="100" w:after="100"/>
        <w:ind w:left="540" w:hanging="540"/>
        <w:jc w:val="both"/>
        <w:rPr>
          <w:rFonts w:ascii="Tahoma" w:hAnsi="Tahoma" w:cs="Tahoma"/>
          <w:sz w:val="20"/>
          <w:szCs w:val="20"/>
        </w:rPr>
      </w:pPr>
      <w:r w:rsidRPr="00794BFD">
        <w:rPr>
          <w:rFonts w:ascii="Tahoma" w:hAnsi="Tahoma" w:cs="Tahoma"/>
          <w:sz w:val="20"/>
          <w:szCs w:val="20"/>
        </w:rPr>
        <w:t>De la revisión de los antecedentes administrativos que obran en autos, se aprecia que mediante Carta-TANS-ALEG-Nº084</w:t>
      </w:r>
      <w:r w:rsidRPr="00794BFD">
        <w:rPr>
          <w:rStyle w:val="Refdenotaalpie"/>
          <w:rFonts w:ascii="Tahoma" w:hAnsi="Tahoma" w:cs="Tahoma"/>
          <w:sz w:val="20"/>
          <w:szCs w:val="20"/>
        </w:rPr>
        <w:footnoteReference w:id="3"/>
      </w:r>
      <w:r w:rsidRPr="00794BFD">
        <w:rPr>
          <w:rFonts w:ascii="Tahoma" w:hAnsi="Tahoma" w:cs="Tahoma"/>
          <w:sz w:val="20"/>
          <w:szCs w:val="20"/>
        </w:rPr>
        <w:t xml:space="preserve">, debidamente recibida el 2 de diciembre de 2004, la Entidad comunicó al Postor que debía apersonarse a las instalaciones de la Entidad el 14 de diciembre de 2004 a fin de suscribir el respectivo contrato y, en caso de inasistencia en la fecha señalada, se le programó como segunda fecha para la firma del contrato el 21 de diciembre de 2004. Sin embargo, el Postor no cumplió con apersonarse en ninguna de las fechas señaladas.  </w:t>
      </w:r>
    </w:p>
    <w:p w:rsidR="0030780C" w:rsidRPr="0030780C" w:rsidRDefault="0030780C" w:rsidP="0030780C">
      <w:pPr>
        <w:jc w:val="both"/>
        <w:rPr>
          <w:rFonts w:ascii="Tahoma" w:hAnsi="Tahoma" w:cs="Tahoma"/>
          <w:sz w:val="20"/>
          <w:szCs w:val="20"/>
          <w:lang w:val="es-ES_tradnl"/>
        </w:rPr>
      </w:pPr>
    </w:p>
    <w:p w:rsidR="00273AA0" w:rsidRPr="00794BFD" w:rsidRDefault="00273AA0" w:rsidP="00794BFD">
      <w:pPr>
        <w:numPr>
          <w:ilvl w:val="0"/>
          <w:numId w:val="6"/>
        </w:numPr>
        <w:tabs>
          <w:tab w:val="clear" w:pos="720"/>
          <w:tab w:val="num" w:pos="540"/>
        </w:tabs>
        <w:ind w:left="540" w:hanging="540"/>
        <w:jc w:val="both"/>
        <w:rPr>
          <w:rFonts w:ascii="Tahoma" w:hAnsi="Tahoma" w:cs="Tahoma"/>
          <w:sz w:val="20"/>
          <w:szCs w:val="20"/>
          <w:lang w:val="es-ES_tradnl"/>
        </w:rPr>
      </w:pPr>
      <w:r w:rsidRPr="00794BFD">
        <w:rPr>
          <w:rFonts w:ascii="Tahoma" w:hAnsi="Tahoma" w:cs="Tahoma"/>
          <w:sz w:val="20"/>
          <w:szCs w:val="20"/>
        </w:rPr>
        <w:t>De lo expuesto en el numeral precedente, se verifica que la Entidad ha observado el procedimiento establecido para la suscripción del contrato, en ese sentido, corresponde a este Colegiado determinar la responsabilidad del Postor respecto de los hechos denunciados, siendo relevante determinar si dicha omisión tuvo su origen en una causa atribuible a su parte o si ha mediado causa de justificación</w:t>
      </w:r>
      <w:r w:rsidRPr="00794BFD">
        <w:rPr>
          <w:rFonts w:ascii="Tahoma" w:hAnsi="Tahoma" w:cs="Tahoma"/>
          <w:sz w:val="20"/>
          <w:szCs w:val="20"/>
          <w:lang w:val="es-ES_tradnl"/>
        </w:rPr>
        <w:t xml:space="preserve">. </w:t>
      </w:r>
    </w:p>
    <w:p w:rsidR="0030780C" w:rsidRDefault="0030780C" w:rsidP="0030780C">
      <w:pPr>
        <w:jc w:val="both"/>
        <w:rPr>
          <w:rFonts w:ascii="Tahoma" w:hAnsi="Tahoma" w:cs="Tahoma"/>
          <w:sz w:val="20"/>
          <w:szCs w:val="20"/>
          <w:lang w:val="es-ES_tradnl"/>
        </w:rPr>
      </w:pPr>
    </w:p>
    <w:p w:rsidR="00273AA0" w:rsidRPr="00794BFD" w:rsidRDefault="00273AA0" w:rsidP="00794BFD">
      <w:pPr>
        <w:numPr>
          <w:ilvl w:val="0"/>
          <w:numId w:val="6"/>
        </w:numPr>
        <w:tabs>
          <w:tab w:val="clear" w:pos="720"/>
          <w:tab w:val="num" w:pos="540"/>
        </w:tabs>
        <w:ind w:left="540" w:hanging="540"/>
        <w:jc w:val="both"/>
        <w:rPr>
          <w:rFonts w:ascii="Tahoma" w:hAnsi="Tahoma" w:cs="Tahoma"/>
          <w:sz w:val="20"/>
          <w:szCs w:val="20"/>
          <w:lang w:val="es-ES_tradnl"/>
        </w:rPr>
      </w:pPr>
      <w:r w:rsidRPr="00794BFD">
        <w:rPr>
          <w:rFonts w:ascii="Tahoma" w:hAnsi="Tahoma" w:cs="Tahoma"/>
          <w:sz w:val="20"/>
          <w:szCs w:val="20"/>
          <w:lang w:val="es-ES_tradnl"/>
        </w:rPr>
        <w:t>Sobre el particular, el P</w:t>
      </w:r>
      <w:proofErr w:type="spellStart"/>
      <w:r w:rsidRPr="00794BFD">
        <w:rPr>
          <w:rFonts w:ascii="Tahoma" w:hAnsi="Tahoma" w:cs="Tahoma"/>
          <w:sz w:val="20"/>
          <w:szCs w:val="20"/>
        </w:rPr>
        <w:t>ostor</w:t>
      </w:r>
      <w:proofErr w:type="spellEnd"/>
      <w:r w:rsidRPr="00794BFD">
        <w:rPr>
          <w:rFonts w:ascii="Tahoma" w:hAnsi="Tahoma" w:cs="Tahoma"/>
          <w:sz w:val="20"/>
          <w:szCs w:val="20"/>
        </w:rPr>
        <w:t xml:space="preserve"> ha alegado, como argumento de defensa, que su empresa remitió oportunamente la documentación requerida para la firma del contrato y que no remitió las cartas fianzas por que la Entidad no aclaró las operaciones que realizaría su empresa en la ciudad de Tacna y que el incumplimiento de la obligación resulta imputable a la Entidad por cuanto fueron ellos los que retrasaron el inicio de las operaciones comerciales, originándoles perjuicio económico.</w:t>
      </w:r>
    </w:p>
    <w:p w:rsidR="0030780C" w:rsidRDefault="0030780C" w:rsidP="0030780C">
      <w:pPr>
        <w:jc w:val="both"/>
        <w:rPr>
          <w:rFonts w:ascii="Tahoma" w:hAnsi="Tahoma" w:cs="Tahoma"/>
          <w:sz w:val="20"/>
          <w:szCs w:val="20"/>
          <w:lang w:val="es-ES_tradnl"/>
        </w:rPr>
      </w:pPr>
    </w:p>
    <w:p w:rsidR="00273AA0" w:rsidRPr="00794BFD" w:rsidRDefault="00273AA0" w:rsidP="00794BFD">
      <w:pPr>
        <w:numPr>
          <w:ilvl w:val="0"/>
          <w:numId w:val="6"/>
        </w:numPr>
        <w:tabs>
          <w:tab w:val="clear" w:pos="720"/>
          <w:tab w:val="num" w:pos="540"/>
        </w:tabs>
        <w:ind w:left="540" w:hanging="540"/>
        <w:jc w:val="both"/>
        <w:rPr>
          <w:rFonts w:ascii="Tahoma" w:hAnsi="Tahoma" w:cs="Tahoma"/>
          <w:sz w:val="20"/>
          <w:szCs w:val="20"/>
          <w:lang w:val="es-ES_tradnl"/>
        </w:rPr>
      </w:pPr>
      <w:r w:rsidRPr="00794BFD">
        <w:rPr>
          <w:rFonts w:ascii="Tahoma" w:hAnsi="Tahoma" w:cs="Tahoma"/>
          <w:sz w:val="20"/>
          <w:szCs w:val="20"/>
          <w:lang w:val="es-ES_tradnl"/>
        </w:rPr>
        <w:t>Sobre el particular, conforme se desprende de la documentación obrante en autos, se aprecia que el Postor remitió la documentación relacionada para la firma del contrato –a excepción de las cartas fianzas- el 27 de diciembre de 2004</w:t>
      </w:r>
      <w:r w:rsidRPr="00794BFD">
        <w:rPr>
          <w:rStyle w:val="Refdenotaalpie"/>
          <w:rFonts w:ascii="Tahoma" w:hAnsi="Tahoma" w:cs="Tahoma"/>
          <w:sz w:val="20"/>
          <w:szCs w:val="20"/>
          <w:lang w:val="es-ES_tradnl"/>
        </w:rPr>
        <w:footnoteReference w:id="4"/>
      </w:r>
      <w:r w:rsidRPr="00794BFD">
        <w:rPr>
          <w:rFonts w:ascii="Tahoma" w:hAnsi="Tahoma" w:cs="Tahoma"/>
          <w:sz w:val="20"/>
          <w:szCs w:val="20"/>
          <w:lang w:val="es-ES_tradnl"/>
        </w:rPr>
        <w:t>, posterior a la última fecha que tenía para apersonarse a la Entidad para suscribir el respectivo contrato, esto es el 21 de diciembre de 2004, con lo que se desvirtúa lo afirmado por el Postor.</w:t>
      </w:r>
    </w:p>
    <w:p w:rsidR="0030780C" w:rsidRPr="0030780C" w:rsidRDefault="0030780C" w:rsidP="0030780C">
      <w:pPr>
        <w:jc w:val="both"/>
        <w:rPr>
          <w:rFonts w:ascii="Tahoma" w:hAnsi="Tahoma" w:cs="Tahoma"/>
          <w:sz w:val="20"/>
          <w:szCs w:val="20"/>
        </w:rPr>
      </w:pPr>
    </w:p>
    <w:p w:rsidR="00273AA0" w:rsidRPr="00794BFD" w:rsidRDefault="00273AA0" w:rsidP="00794BFD">
      <w:pPr>
        <w:numPr>
          <w:ilvl w:val="0"/>
          <w:numId w:val="6"/>
        </w:numPr>
        <w:tabs>
          <w:tab w:val="clear" w:pos="720"/>
          <w:tab w:val="num" w:pos="540"/>
        </w:tabs>
        <w:ind w:left="540" w:hanging="540"/>
        <w:jc w:val="both"/>
        <w:rPr>
          <w:rFonts w:ascii="Tahoma" w:hAnsi="Tahoma" w:cs="Tahoma"/>
          <w:sz w:val="20"/>
          <w:szCs w:val="20"/>
        </w:rPr>
      </w:pPr>
      <w:r w:rsidRPr="00794BFD">
        <w:rPr>
          <w:rFonts w:ascii="Tahoma" w:hAnsi="Tahoma" w:cs="Tahoma"/>
          <w:sz w:val="20"/>
          <w:szCs w:val="20"/>
          <w:lang w:val="es-ES_tradnl"/>
        </w:rPr>
        <w:t>Sobre el argumento del Postor que la Entidad no le precisó las labores que se realizaría en la ciudad de Tacna, información que a juicio del Postor era necesaria para tramitar las cartas fianzas, este Colegiado debe indicar que en el Anexo N</w:t>
      </w:r>
      <w:proofErr w:type="gramStart"/>
      <w:r w:rsidRPr="00794BFD">
        <w:rPr>
          <w:rFonts w:ascii="Tahoma" w:hAnsi="Tahoma" w:cs="Tahoma"/>
          <w:sz w:val="20"/>
          <w:szCs w:val="20"/>
          <w:lang w:val="es-ES_tradnl"/>
        </w:rPr>
        <w:t>.º</w:t>
      </w:r>
      <w:proofErr w:type="gramEnd"/>
      <w:r w:rsidRPr="00794BFD">
        <w:rPr>
          <w:rFonts w:ascii="Tahoma" w:hAnsi="Tahoma" w:cs="Tahoma"/>
          <w:sz w:val="20"/>
          <w:szCs w:val="20"/>
          <w:lang w:val="es-ES_tradnl"/>
        </w:rPr>
        <w:t xml:space="preserve"> 01 de las bases administrativas</w:t>
      </w:r>
      <w:r w:rsidRPr="00794BFD">
        <w:rPr>
          <w:rStyle w:val="Refdenotaalpie"/>
          <w:rFonts w:ascii="Tahoma" w:hAnsi="Tahoma" w:cs="Tahoma"/>
          <w:sz w:val="20"/>
          <w:szCs w:val="20"/>
          <w:lang w:val="es-ES_tradnl"/>
        </w:rPr>
        <w:footnoteReference w:id="5"/>
      </w:r>
      <w:r w:rsidRPr="00794BFD">
        <w:rPr>
          <w:rFonts w:ascii="Tahoma" w:hAnsi="Tahoma" w:cs="Tahoma"/>
          <w:sz w:val="20"/>
          <w:szCs w:val="20"/>
          <w:lang w:val="es-ES_tradnl"/>
        </w:rPr>
        <w:t xml:space="preserve"> del referido proceso de selección se describe el servicio solicitado, objeto de la convocatoria. D</w:t>
      </w:r>
      <w:proofErr w:type="spellStart"/>
      <w:r w:rsidRPr="00794BFD">
        <w:rPr>
          <w:rFonts w:ascii="Tahoma" w:hAnsi="Tahoma" w:cs="Tahoma"/>
          <w:sz w:val="20"/>
          <w:szCs w:val="20"/>
        </w:rPr>
        <w:t>icha</w:t>
      </w:r>
      <w:proofErr w:type="spellEnd"/>
      <w:r w:rsidRPr="00794BFD">
        <w:rPr>
          <w:rFonts w:ascii="Tahoma" w:hAnsi="Tahoma" w:cs="Tahoma"/>
          <w:sz w:val="20"/>
          <w:szCs w:val="20"/>
        </w:rPr>
        <w:t xml:space="preserve"> información fue brindada a los postores con antelación al acto del otorgamiento de la Buena Pro, por lo que el Postor al adquirir las bases del referido proceso de selección tenía pleno conocimiento del servicio que se iba a brindar, así como de los plazos y documentos que se requería para la suscripción del contrato, </w:t>
      </w:r>
      <w:proofErr w:type="spellStart"/>
      <w:r w:rsidRPr="00794BFD">
        <w:rPr>
          <w:rFonts w:ascii="Tahoma" w:hAnsi="Tahoma" w:cs="Tahoma"/>
          <w:sz w:val="20"/>
          <w:szCs w:val="20"/>
        </w:rPr>
        <w:t>mas</w:t>
      </w:r>
      <w:proofErr w:type="spellEnd"/>
      <w:r w:rsidRPr="00794BFD">
        <w:rPr>
          <w:rFonts w:ascii="Tahoma" w:hAnsi="Tahoma" w:cs="Tahoma"/>
          <w:sz w:val="20"/>
          <w:szCs w:val="20"/>
        </w:rPr>
        <w:t xml:space="preserve"> aún, este Colegiado toma en consideración que el Postor al presentar su propuesta técnica, presentó una “Declaración Jurada”</w:t>
      </w:r>
      <w:r w:rsidRPr="00794BFD">
        <w:rPr>
          <w:rStyle w:val="Refdenotaalpie"/>
          <w:rFonts w:ascii="Tahoma" w:hAnsi="Tahoma" w:cs="Tahoma"/>
          <w:sz w:val="20"/>
          <w:szCs w:val="20"/>
        </w:rPr>
        <w:footnoteReference w:id="6"/>
      </w:r>
      <w:r w:rsidRPr="00794BFD">
        <w:rPr>
          <w:rFonts w:ascii="Tahoma" w:hAnsi="Tahoma" w:cs="Tahoma"/>
          <w:sz w:val="20"/>
          <w:szCs w:val="20"/>
        </w:rPr>
        <w:t xml:space="preserve"> en la cual señalo, entre otros, que conoce, acepta y </w:t>
      </w:r>
      <w:r w:rsidRPr="00794BFD">
        <w:rPr>
          <w:rFonts w:ascii="Tahoma" w:hAnsi="Tahoma" w:cs="Tahoma"/>
          <w:sz w:val="20"/>
          <w:szCs w:val="20"/>
        </w:rPr>
        <w:lastRenderedPageBreak/>
        <w:t>se somete a las Bases, condiciones y procedimiento del proceso de selección, asimismo se compromete a suscribir el contrato en caso de resultar favorecido con el otorgamiento de la Buena Pro, hechos que este Colegiado no puede pasar desapercibidos. En tal sentido, el Postor debió efectuar las debidas diligencias previas ante las entidades financieras correspondientes para asegurar la emisión dentro del tiempo oportuno de la carta fianza solicitada como requisito para la suscripción del contrato.</w:t>
      </w:r>
    </w:p>
    <w:p w:rsidR="0030780C" w:rsidRDefault="0030780C" w:rsidP="0030780C">
      <w:pPr>
        <w:jc w:val="both"/>
        <w:rPr>
          <w:rFonts w:ascii="Tahoma" w:hAnsi="Tahoma" w:cs="Tahoma"/>
          <w:sz w:val="20"/>
          <w:szCs w:val="20"/>
        </w:rPr>
      </w:pPr>
    </w:p>
    <w:p w:rsidR="00273AA0" w:rsidRPr="00794BFD" w:rsidRDefault="00273AA0" w:rsidP="00794BFD">
      <w:pPr>
        <w:numPr>
          <w:ilvl w:val="0"/>
          <w:numId w:val="6"/>
        </w:numPr>
        <w:tabs>
          <w:tab w:val="clear" w:pos="720"/>
          <w:tab w:val="num" w:pos="540"/>
        </w:tabs>
        <w:ind w:left="540" w:hanging="540"/>
        <w:jc w:val="both"/>
        <w:rPr>
          <w:rFonts w:ascii="Tahoma" w:hAnsi="Tahoma" w:cs="Tahoma"/>
          <w:sz w:val="20"/>
          <w:szCs w:val="20"/>
        </w:rPr>
      </w:pPr>
      <w:r w:rsidRPr="00794BFD">
        <w:rPr>
          <w:rFonts w:ascii="Tahoma" w:hAnsi="Tahoma" w:cs="Tahoma"/>
          <w:sz w:val="20"/>
          <w:szCs w:val="20"/>
        </w:rPr>
        <w:t>Finalmente, el Postor ha señalado que el contrato ha sido resuelto de mutuo acuerdo, motivo por el cual les fue devuelto las cartas fianzas. Esta afirmación ha sido negada por la Entidad en virtud que las carta fianzas fueron devueltas por cuanto la remisión de la presentación de la documentación requerida, excepto la cartas fianzas, para la firma del contrato fue remitida de manera extemporánea (27 de diciembre de 2004), posterior a la última fecha que tenía para suscribir el respectivo contrato (21 de diciembre de 2004); y la cartas fianzas fueron remitidas el 21 de febrero de 2005, por ello como la suscripción del referido contrato no se concretó, se procedió devolver tales documentos. Sobre la base de lo expuesto, el Postor no ha acreditado documentariamente lo afirmado.</w:t>
      </w:r>
    </w:p>
    <w:p w:rsidR="0030780C" w:rsidRPr="0030780C" w:rsidRDefault="0030780C" w:rsidP="0030780C">
      <w:pPr>
        <w:jc w:val="both"/>
        <w:rPr>
          <w:rFonts w:ascii="Tahoma" w:hAnsi="Tahoma" w:cs="Tahoma"/>
          <w:b/>
          <w:sz w:val="20"/>
          <w:szCs w:val="20"/>
        </w:rPr>
      </w:pPr>
    </w:p>
    <w:p w:rsidR="00273AA0" w:rsidRPr="00794BFD" w:rsidRDefault="00273AA0" w:rsidP="00794BFD">
      <w:pPr>
        <w:numPr>
          <w:ilvl w:val="0"/>
          <w:numId w:val="6"/>
        </w:numPr>
        <w:tabs>
          <w:tab w:val="clear" w:pos="720"/>
          <w:tab w:val="num" w:pos="540"/>
        </w:tabs>
        <w:ind w:left="540" w:hanging="540"/>
        <w:jc w:val="both"/>
        <w:rPr>
          <w:rFonts w:ascii="Tahoma" w:hAnsi="Tahoma" w:cs="Tahoma"/>
          <w:b/>
          <w:sz w:val="20"/>
          <w:szCs w:val="20"/>
        </w:rPr>
      </w:pPr>
      <w:r w:rsidRPr="00794BFD">
        <w:rPr>
          <w:rFonts w:ascii="Tahoma" w:hAnsi="Tahoma" w:cs="Tahoma"/>
          <w:sz w:val="20"/>
          <w:szCs w:val="20"/>
        </w:rPr>
        <w:t>Por las consideraciones expuestas, este Colegiado considera que en el presente caso se ha configurado la infracción prevista en el numeral 1 del artículo 294 del Reglamento, por lo que cabe imponer sanción administrativa al Postor. </w:t>
      </w:r>
    </w:p>
    <w:p w:rsidR="0030780C" w:rsidRPr="0030780C" w:rsidRDefault="0030780C" w:rsidP="0030780C">
      <w:pPr>
        <w:jc w:val="both"/>
        <w:rPr>
          <w:rFonts w:ascii="Tahoma" w:hAnsi="Tahoma" w:cs="Tahoma"/>
          <w:b/>
          <w:sz w:val="20"/>
          <w:szCs w:val="20"/>
        </w:rPr>
      </w:pPr>
    </w:p>
    <w:p w:rsidR="00273AA0" w:rsidRPr="00794BFD" w:rsidRDefault="00273AA0" w:rsidP="00794BFD">
      <w:pPr>
        <w:numPr>
          <w:ilvl w:val="0"/>
          <w:numId w:val="6"/>
        </w:numPr>
        <w:tabs>
          <w:tab w:val="clear" w:pos="720"/>
          <w:tab w:val="num" w:pos="540"/>
        </w:tabs>
        <w:ind w:left="540" w:hanging="540"/>
        <w:jc w:val="both"/>
        <w:rPr>
          <w:rFonts w:ascii="Tahoma" w:hAnsi="Tahoma" w:cs="Tahoma"/>
          <w:b/>
          <w:sz w:val="20"/>
          <w:szCs w:val="20"/>
        </w:rPr>
      </w:pPr>
      <w:r w:rsidRPr="00794BFD">
        <w:rPr>
          <w:rFonts w:ascii="Tahoma" w:hAnsi="Tahoma" w:cs="Tahoma"/>
          <w:sz w:val="20"/>
          <w:szCs w:val="20"/>
        </w:rPr>
        <w:t xml:space="preserve">El Reglamento prevé que la sanción administrativa de inhabilitación para ser postor y contratar con el Estado por la omisión injustificada de suscribir contrato es por un periodo no menor de uno (1) ni mayor de dos (2) años. </w:t>
      </w:r>
    </w:p>
    <w:p w:rsidR="0030780C" w:rsidRPr="0030780C" w:rsidRDefault="0030780C" w:rsidP="0030780C">
      <w:pPr>
        <w:jc w:val="both"/>
        <w:rPr>
          <w:rFonts w:ascii="Tahoma" w:hAnsi="Tahoma" w:cs="Tahoma"/>
          <w:b/>
          <w:sz w:val="20"/>
          <w:szCs w:val="20"/>
        </w:rPr>
      </w:pPr>
    </w:p>
    <w:p w:rsidR="00273AA0" w:rsidRPr="00794BFD" w:rsidRDefault="00273AA0" w:rsidP="00794BFD">
      <w:pPr>
        <w:numPr>
          <w:ilvl w:val="0"/>
          <w:numId w:val="6"/>
        </w:numPr>
        <w:tabs>
          <w:tab w:val="clear" w:pos="720"/>
          <w:tab w:val="num" w:pos="540"/>
        </w:tabs>
        <w:ind w:left="540" w:hanging="540"/>
        <w:jc w:val="both"/>
        <w:rPr>
          <w:rFonts w:ascii="Tahoma" w:hAnsi="Tahoma" w:cs="Tahoma"/>
          <w:b/>
          <w:sz w:val="20"/>
          <w:szCs w:val="20"/>
        </w:rPr>
      </w:pPr>
      <w:r w:rsidRPr="00794BFD">
        <w:rPr>
          <w:rFonts w:ascii="Tahoma" w:hAnsi="Tahoma" w:cs="Tahoma"/>
          <w:sz w:val="20"/>
          <w:szCs w:val="20"/>
        </w:rPr>
        <w:t xml:space="preserve">A efectos de graduar la sanción a imponer al Postor, se debe tener en cuenta el </w:t>
      </w:r>
      <w:r w:rsidRPr="00794BFD">
        <w:rPr>
          <w:rFonts w:ascii="Tahoma" w:hAnsi="Tahoma" w:cs="Tahoma"/>
          <w:i/>
          <w:sz w:val="20"/>
          <w:szCs w:val="20"/>
        </w:rPr>
        <w:t>Principio de Razonabilidad</w:t>
      </w:r>
      <w:r w:rsidRPr="00794BFD">
        <w:rPr>
          <w:rFonts w:ascii="Tahoma" w:hAnsi="Tahoma" w:cs="Tahoma"/>
          <w:sz w:val="20"/>
          <w:szCs w:val="20"/>
          <w:vertAlign w:val="superscript"/>
        </w:rPr>
        <w:footnoteReference w:id="7"/>
      </w:r>
      <w:r w:rsidRPr="00794BFD">
        <w:rPr>
          <w:rFonts w:ascii="Tahoma" w:hAnsi="Tahoma" w:cs="Tahoma"/>
          <w:sz w:val="20"/>
          <w:szCs w:val="20"/>
        </w:rPr>
        <w:t xml:space="preserve"> previsto en el numeral 3 del artículo 230 de la Ley N</w:t>
      </w:r>
      <w:proofErr w:type="gramStart"/>
      <w:r w:rsidRPr="00794BFD">
        <w:rPr>
          <w:rFonts w:ascii="Tahoma" w:hAnsi="Tahoma" w:cs="Tahoma"/>
          <w:sz w:val="20"/>
          <w:szCs w:val="20"/>
        </w:rPr>
        <w:t>.º</w:t>
      </w:r>
      <w:proofErr w:type="gramEnd"/>
      <w:r w:rsidRPr="00794BFD">
        <w:rPr>
          <w:rFonts w:ascii="Tahoma" w:hAnsi="Tahoma" w:cs="Tahoma"/>
          <w:sz w:val="20"/>
          <w:szCs w:val="20"/>
        </w:rPr>
        <w:t xml:space="preserve"> 27444, el cual establece que la determinación de la sanción no deben ser desproporcionadas y deben guardar atención con la conducta a reprimir, más allá de lo estrictamente necesario para satisfacer los fines de la sanción. Atendiendo a la necesidad de que los proveedores y/o contratistas no deban verse privadas de su derecho de participar en los procesos de selección y, de ser el caso, proveer al Estado, en concordancia con el artículo 302 del Reglamento que prevé la determinación gradual de la Sanción a imponer, la cual podrá ser disminuida hasta límites inferiores al mínimo fijado para cada caso.</w:t>
      </w:r>
    </w:p>
    <w:p w:rsidR="0030780C" w:rsidRPr="0030780C" w:rsidRDefault="0030780C" w:rsidP="0030780C">
      <w:pPr>
        <w:jc w:val="both"/>
        <w:rPr>
          <w:rFonts w:ascii="Tahoma" w:hAnsi="Tahoma" w:cs="Tahoma"/>
          <w:b/>
          <w:sz w:val="20"/>
          <w:szCs w:val="20"/>
        </w:rPr>
      </w:pPr>
    </w:p>
    <w:p w:rsidR="00273AA0" w:rsidRPr="00794BFD" w:rsidRDefault="00273AA0" w:rsidP="00794BFD">
      <w:pPr>
        <w:numPr>
          <w:ilvl w:val="0"/>
          <w:numId w:val="6"/>
        </w:numPr>
        <w:tabs>
          <w:tab w:val="clear" w:pos="720"/>
          <w:tab w:val="num" w:pos="540"/>
        </w:tabs>
        <w:ind w:left="540" w:hanging="540"/>
        <w:jc w:val="both"/>
        <w:rPr>
          <w:rFonts w:ascii="Tahoma" w:hAnsi="Tahoma" w:cs="Tahoma"/>
          <w:b/>
          <w:sz w:val="20"/>
          <w:szCs w:val="20"/>
        </w:rPr>
      </w:pPr>
      <w:r w:rsidRPr="00794BFD">
        <w:rPr>
          <w:rFonts w:ascii="Tahoma" w:hAnsi="Tahoma" w:cs="Tahoma"/>
          <w:sz w:val="20"/>
          <w:szCs w:val="20"/>
        </w:rPr>
        <w:t xml:space="preserve">En ese sentido, para el presente caso, se aprecia la naturaleza de la infracción, la conducta procedimental del infractor, el daño causado a la Entidad, que ha retrasado el cumplimiento de sus objetivos, los mismos que son programados y presupuestados con anticipación y las condiciones del infractor quien no ha sido sancionado </w:t>
      </w:r>
      <w:r w:rsidRPr="00794BFD">
        <w:rPr>
          <w:rFonts w:ascii="Tahoma" w:hAnsi="Tahoma" w:cs="Tahoma"/>
          <w:sz w:val="20"/>
          <w:szCs w:val="20"/>
        </w:rPr>
        <w:lastRenderedPageBreak/>
        <w:t>administrativamente por alguna infracción a las normas que regulan las contrataciones públicas.</w:t>
      </w:r>
    </w:p>
    <w:p w:rsidR="00E51D05" w:rsidRPr="00794BFD" w:rsidRDefault="00E51D05" w:rsidP="00794BFD">
      <w:pPr>
        <w:tabs>
          <w:tab w:val="num" w:pos="360"/>
        </w:tabs>
        <w:ind w:left="-180" w:firstLine="180"/>
        <w:jc w:val="both"/>
        <w:rPr>
          <w:rFonts w:ascii="Tahoma" w:hAnsi="Tahoma" w:cs="Tahoma"/>
          <w:sz w:val="20"/>
          <w:szCs w:val="20"/>
        </w:rPr>
      </w:pPr>
    </w:p>
    <w:p w:rsidR="00DE2548" w:rsidRPr="00794BFD" w:rsidRDefault="00E51D05" w:rsidP="00794BFD">
      <w:pPr>
        <w:tabs>
          <w:tab w:val="num" w:pos="360"/>
        </w:tabs>
        <w:jc w:val="both"/>
        <w:rPr>
          <w:rFonts w:ascii="Tahoma" w:hAnsi="Tahoma" w:cs="Tahoma"/>
          <w:sz w:val="20"/>
          <w:szCs w:val="20"/>
        </w:rPr>
      </w:pPr>
      <w:r w:rsidRPr="00794BFD">
        <w:rPr>
          <w:rFonts w:ascii="Tahoma" w:hAnsi="Tahoma" w:cs="Tahoma"/>
          <w:sz w:val="20"/>
          <w:szCs w:val="20"/>
        </w:rPr>
        <w:t>Por estos fundamentos, de conformidad con el informe del Vocal Ponente doctor</w:t>
      </w:r>
      <w:r w:rsidR="00792C05" w:rsidRPr="00794BFD">
        <w:rPr>
          <w:rFonts w:ascii="Tahoma" w:hAnsi="Tahoma" w:cs="Tahoma"/>
          <w:sz w:val="20"/>
          <w:szCs w:val="20"/>
        </w:rPr>
        <w:t xml:space="preserve"> Carlos Vicente Navas Rondón</w:t>
      </w:r>
      <w:r w:rsidRPr="00794BFD">
        <w:rPr>
          <w:rFonts w:ascii="Tahoma" w:hAnsi="Tahoma" w:cs="Tahoma"/>
          <w:sz w:val="20"/>
          <w:szCs w:val="20"/>
        </w:rPr>
        <w:t xml:space="preserve">, con la intervención de los doctores Juan Carlos Valdivia </w:t>
      </w:r>
      <w:proofErr w:type="spellStart"/>
      <w:r w:rsidRPr="00794BFD">
        <w:rPr>
          <w:rFonts w:ascii="Tahoma" w:hAnsi="Tahoma" w:cs="Tahoma"/>
          <w:sz w:val="20"/>
          <w:szCs w:val="20"/>
        </w:rPr>
        <w:t>Huaringa</w:t>
      </w:r>
      <w:proofErr w:type="spellEnd"/>
      <w:r w:rsidRPr="00794BFD">
        <w:rPr>
          <w:rFonts w:ascii="Tahoma" w:hAnsi="Tahoma" w:cs="Tahoma"/>
          <w:sz w:val="20"/>
          <w:szCs w:val="20"/>
        </w:rPr>
        <w:t xml:space="preserve"> y</w:t>
      </w:r>
      <w:r w:rsidR="00CE1EFF" w:rsidRPr="00794BFD">
        <w:rPr>
          <w:rFonts w:ascii="Tahoma" w:hAnsi="Tahoma" w:cs="Tahoma"/>
          <w:sz w:val="20"/>
          <w:szCs w:val="20"/>
        </w:rPr>
        <w:t xml:space="preserve"> </w:t>
      </w:r>
      <w:proofErr w:type="spellStart"/>
      <w:r w:rsidR="00CE1EFF" w:rsidRPr="00794BFD">
        <w:rPr>
          <w:rFonts w:ascii="Tahoma" w:hAnsi="Tahoma" w:cs="Tahoma"/>
          <w:sz w:val="20"/>
          <w:szCs w:val="20"/>
        </w:rPr>
        <w:t>Janette</w:t>
      </w:r>
      <w:proofErr w:type="spellEnd"/>
      <w:r w:rsidR="00CE1EFF" w:rsidRPr="00794BFD">
        <w:rPr>
          <w:rFonts w:ascii="Tahoma" w:hAnsi="Tahoma" w:cs="Tahoma"/>
          <w:sz w:val="20"/>
          <w:szCs w:val="20"/>
        </w:rPr>
        <w:t xml:space="preserve"> </w:t>
      </w:r>
      <w:proofErr w:type="spellStart"/>
      <w:r w:rsidR="00CE1EFF" w:rsidRPr="00794BFD">
        <w:rPr>
          <w:rFonts w:ascii="Tahoma" w:hAnsi="Tahoma" w:cs="Tahoma"/>
          <w:sz w:val="20"/>
          <w:szCs w:val="20"/>
        </w:rPr>
        <w:t>Elke</w:t>
      </w:r>
      <w:proofErr w:type="spellEnd"/>
      <w:r w:rsidR="00CE1EFF" w:rsidRPr="00794BFD">
        <w:rPr>
          <w:rFonts w:ascii="Tahoma" w:hAnsi="Tahoma" w:cs="Tahoma"/>
          <w:sz w:val="20"/>
          <w:szCs w:val="20"/>
        </w:rPr>
        <w:t xml:space="preserve"> Ramírez </w:t>
      </w:r>
      <w:proofErr w:type="spellStart"/>
      <w:r w:rsidR="00CE1EFF" w:rsidRPr="00794BFD">
        <w:rPr>
          <w:rFonts w:ascii="Tahoma" w:hAnsi="Tahoma" w:cs="Tahoma"/>
          <w:sz w:val="20"/>
          <w:szCs w:val="20"/>
        </w:rPr>
        <w:t>Maynetto</w:t>
      </w:r>
      <w:proofErr w:type="spellEnd"/>
      <w:r w:rsidR="00CE1EFF" w:rsidRPr="00794BFD">
        <w:rPr>
          <w:rFonts w:ascii="Tahoma" w:hAnsi="Tahoma" w:cs="Tahoma"/>
          <w:sz w:val="20"/>
          <w:szCs w:val="20"/>
        </w:rPr>
        <w:t>,</w:t>
      </w:r>
      <w:r w:rsidR="006C3A87" w:rsidRPr="00794BFD">
        <w:rPr>
          <w:rFonts w:ascii="Tahoma" w:hAnsi="Tahoma" w:cs="Tahoma"/>
          <w:sz w:val="20"/>
          <w:szCs w:val="20"/>
        </w:rPr>
        <w:t xml:space="preserve"> </w:t>
      </w:r>
      <w:r w:rsidRPr="00794BFD">
        <w:rPr>
          <w:rFonts w:ascii="Tahoma" w:hAnsi="Tahoma" w:cs="Tahoma"/>
          <w:sz w:val="20"/>
          <w:szCs w:val="20"/>
        </w:rPr>
        <w:t xml:space="preserve">atendiendo a la </w:t>
      </w:r>
      <w:proofErr w:type="spellStart"/>
      <w:r w:rsidRPr="00794BFD">
        <w:rPr>
          <w:rFonts w:ascii="Tahoma" w:hAnsi="Tahoma" w:cs="Tahoma"/>
          <w:sz w:val="20"/>
          <w:szCs w:val="20"/>
        </w:rPr>
        <w:t>reconformación</w:t>
      </w:r>
      <w:proofErr w:type="spellEnd"/>
      <w:r w:rsidRPr="00794BFD">
        <w:rPr>
          <w:rFonts w:ascii="Tahoma" w:hAnsi="Tahoma" w:cs="Tahoma"/>
          <w:sz w:val="20"/>
          <w:szCs w:val="20"/>
        </w:rPr>
        <w:t xml:space="preserve"> de la Tercera Sala del Tribunal de Contrataciones y Adquisiciones del Estado, según lo dispuesto en la Resolución N.º 279-2007-CONSUCODE/PRE de fecha 21 de mayo de 2007, y de conformidad con las facultades conferidas en los artículos 53, 59 y 61 del Texto Único Ordenado de la Ley de Contrataciones y Adquisiciones del Estado, aprobado por Decreto Supremo N.º 083-2004-PCM, su Reglamento, aprobado por Decreto Supremo N.º 084-2004-PCM, los artículos 17 y 18 del Reglamento de Organización y Funciones del CONSUCODE, aprobado por Decreto Supremos N.º 054-2007-EF; analizados los antecedentes y luego de agotado el correspondiente debate, por unanimidad</w:t>
      </w:r>
      <w:r w:rsidR="006C3A87" w:rsidRPr="00794BFD">
        <w:rPr>
          <w:rFonts w:ascii="Tahoma" w:hAnsi="Tahoma" w:cs="Tahoma"/>
          <w:sz w:val="20"/>
          <w:szCs w:val="20"/>
        </w:rPr>
        <w:t>;</w:t>
      </w:r>
    </w:p>
    <w:p w:rsidR="006C3A87" w:rsidRPr="00794BFD" w:rsidRDefault="006C3A87" w:rsidP="00794BFD">
      <w:pPr>
        <w:tabs>
          <w:tab w:val="num" w:pos="360"/>
        </w:tabs>
        <w:jc w:val="both"/>
        <w:rPr>
          <w:rFonts w:ascii="Tahoma" w:hAnsi="Tahoma" w:cs="Tahoma"/>
          <w:b/>
          <w:shadow/>
          <w:sz w:val="20"/>
          <w:szCs w:val="20"/>
        </w:rPr>
      </w:pPr>
    </w:p>
    <w:p w:rsidR="00FD5D55" w:rsidRPr="00794BFD" w:rsidRDefault="00FD5D55" w:rsidP="00794BFD">
      <w:pPr>
        <w:tabs>
          <w:tab w:val="num" w:pos="360"/>
        </w:tabs>
        <w:ind w:left="-180" w:firstLine="180"/>
        <w:jc w:val="both"/>
        <w:rPr>
          <w:rFonts w:ascii="Tahoma" w:hAnsi="Tahoma" w:cs="Tahoma"/>
          <w:b/>
          <w:shadow/>
          <w:sz w:val="20"/>
          <w:szCs w:val="20"/>
        </w:rPr>
      </w:pPr>
      <w:smartTag w:uri="urn:schemas-microsoft-com:office:smarttags" w:element="PersonName">
        <w:smartTagPr>
          <w:attr w:name="ProductID" w:val="LA SALA RESUELVE"/>
        </w:smartTagPr>
        <w:r w:rsidRPr="00794BFD">
          <w:rPr>
            <w:rFonts w:ascii="Tahoma" w:hAnsi="Tahoma" w:cs="Tahoma"/>
            <w:b/>
            <w:shadow/>
            <w:sz w:val="20"/>
            <w:szCs w:val="20"/>
          </w:rPr>
          <w:t>LA SALA RESUELVE</w:t>
        </w:r>
      </w:smartTag>
      <w:r w:rsidRPr="00794BFD">
        <w:rPr>
          <w:rFonts w:ascii="Tahoma" w:hAnsi="Tahoma" w:cs="Tahoma"/>
          <w:b/>
          <w:shadow/>
          <w:sz w:val="20"/>
          <w:szCs w:val="20"/>
        </w:rPr>
        <w:t>:</w:t>
      </w:r>
    </w:p>
    <w:p w:rsidR="00F144CB" w:rsidRPr="00F144CB" w:rsidRDefault="00F144CB" w:rsidP="00F144CB">
      <w:pPr>
        <w:ind w:left="360"/>
        <w:jc w:val="both"/>
        <w:rPr>
          <w:rFonts w:ascii="Tahoma" w:hAnsi="Tahoma" w:cs="Tahoma"/>
          <w:sz w:val="20"/>
          <w:szCs w:val="20"/>
        </w:rPr>
      </w:pPr>
    </w:p>
    <w:p w:rsidR="00645091" w:rsidRPr="00794BFD" w:rsidRDefault="00645091" w:rsidP="00794BFD">
      <w:pPr>
        <w:numPr>
          <w:ilvl w:val="0"/>
          <w:numId w:val="8"/>
        </w:numPr>
        <w:jc w:val="both"/>
        <w:rPr>
          <w:rFonts w:ascii="Tahoma" w:hAnsi="Tahoma" w:cs="Tahoma"/>
          <w:sz w:val="20"/>
          <w:szCs w:val="20"/>
        </w:rPr>
      </w:pPr>
      <w:r w:rsidRPr="00794BFD">
        <w:rPr>
          <w:rFonts w:ascii="Tahoma" w:hAnsi="Tahoma" w:cs="Tahoma"/>
          <w:b/>
          <w:sz w:val="20"/>
          <w:szCs w:val="20"/>
        </w:rPr>
        <w:t>SANCIONAR</w:t>
      </w:r>
      <w:r w:rsidRPr="00794BFD">
        <w:rPr>
          <w:rFonts w:ascii="Tahoma" w:hAnsi="Tahoma" w:cs="Tahoma"/>
          <w:sz w:val="20"/>
          <w:szCs w:val="20"/>
        </w:rPr>
        <w:t xml:space="preserve"> a la empresa ADM </w:t>
      </w:r>
      <w:proofErr w:type="spellStart"/>
      <w:r w:rsidRPr="00794BFD">
        <w:rPr>
          <w:rFonts w:ascii="Tahoma" w:hAnsi="Tahoma" w:cs="Tahoma"/>
          <w:sz w:val="20"/>
          <w:szCs w:val="20"/>
        </w:rPr>
        <w:t>Servis</w:t>
      </w:r>
      <w:proofErr w:type="spellEnd"/>
      <w:r w:rsidRPr="00794BFD">
        <w:rPr>
          <w:rFonts w:ascii="Tahoma" w:hAnsi="Tahoma" w:cs="Tahoma"/>
          <w:sz w:val="20"/>
          <w:szCs w:val="20"/>
        </w:rPr>
        <w:t xml:space="preserve"> S.R.L. por un periodo de </w:t>
      </w:r>
      <w:r w:rsidRPr="00794BFD">
        <w:rPr>
          <w:rFonts w:ascii="Tahoma" w:hAnsi="Tahoma" w:cs="Tahoma"/>
          <w:b/>
          <w:sz w:val="20"/>
          <w:szCs w:val="20"/>
        </w:rPr>
        <w:t>catorce (14)</w:t>
      </w:r>
      <w:r w:rsidRPr="00794BFD">
        <w:rPr>
          <w:rFonts w:ascii="Tahoma" w:hAnsi="Tahoma" w:cs="Tahoma"/>
          <w:sz w:val="20"/>
          <w:szCs w:val="20"/>
        </w:rPr>
        <w:t xml:space="preserve"> meses de inhabilitación temporal para participar en procesos de selección y contratar con el Estado por la no suscripción injustificada de contrato, infracción prevista en el numeral 1) del artículo 294 del Reglamento, sanción que entrará en vigencia a partir del cuarto día hábil siguiente de notificada la Resolución.</w:t>
      </w:r>
    </w:p>
    <w:p w:rsidR="00645091" w:rsidRPr="00794BFD" w:rsidRDefault="00645091" w:rsidP="00794BFD">
      <w:pPr>
        <w:ind w:left="360"/>
        <w:jc w:val="both"/>
        <w:rPr>
          <w:rFonts w:ascii="Tahoma" w:hAnsi="Tahoma" w:cs="Tahoma"/>
          <w:sz w:val="20"/>
          <w:szCs w:val="20"/>
        </w:rPr>
      </w:pPr>
    </w:p>
    <w:p w:rsidR="00645091" w:rsidRPr="00794BFD" w:rsidRDefault="00645091" w:rsidP="00794BFD">
      <w:pPr>
        <w:numPr>
          <w:ilvl w:val="0"/>
          <w:numId w:val="8"/>
        </w:numPr>
        <w:jc w:val="both"/>
        <w:rPr>
          <w:rFonts w:ascii="Tahoma" w:hAnsi="Tahoma" w:cs="Tahoma"/>
          <w:sz w:val="20"/>
          <w:szCs w:val="20"/>
        </w:rPr>
      </w:pPr>
      <w:r w:rsidRPr="00794BFD">
        <w:rPr>
          <w:rFonts w:ascii="Tahoma" w:hAnsi="Tahoma" w:cs="Tahoma"/>
          <w:sz w:val="20"/>
          <w:szCs w:val="20"/>
        </w:rPr>
        <w:t>Poner la presente Resolución en conocimiento de la Subdirección del Registro Nacional de Proveedores, para las anotaciones de Ley.</w:t>
      </w:r>
    </w:p>
    <w:p w:rsidR="008F5E4C" w:rsidRPr="00794BFD" w:rsidRDefault="008F5E4C" w:rsidP="00794BFD">
      <w:pPr>
        <w:pStyle w:val="Textoindependiente"/>
        <w:tabs>
          <w:tab w:val="num" w:pos="540"/>
          <w:tab w:val="left" w:pos="2410"/>
        </w:tabs>
        <w:ind w:left="720"/>
        <w:rPr>
          <w:rFonts w:ascii="Tahoma" w:hAnsi="Tahoma" w:cs="Tahoma"/>
          <w:sz w:val="20"/>
          <w:szCs w:val="20"/>
        </w:rPr>
      </w:pPr>
    </w:p>
    <w:p w:rsidR="008F5E4C" w:rsidRPr="00794BFD" w:rsidRDefault="008F5E4C" w:rsidP="00794BFD">
      <w:pPr>
        <w:pStyle w:val="Textoindependiente"/>
        <w:tabs>
          <w:tab w:val="num" w:pos="540"/>
          <w:tab w:val="left" w:pos="2410"/>
        </w:tabs>
        <w:ind w:left="540" w:hanging="540"/>
        <w:rPr>
          <w:rFonts w:ascii="Tahoma" w:hAnsi="Tahoma" w:cs="Tahoma"/>
          <w:sz w:val="20"/>
          <w:szCs w:val="20"/>
        </w:rPr>
      </w:pPr>
      <w:r w:rsidRPr="00794BFD">
        <w:rPr>
          <w:rFonts w:ascii="Tahoma" w:hAnsi="Tahoma" w:cs="Tahoma"/>
          <w:sz w:val="20"/>
          <w:szCs w:val="20"/>
        </w:rPr>
        <w:t>Regístrese, comuníquese y publíquese.</w:t>
      </w:r>
    </w:p>
    <w:p w:rsidR="005E123E" w:rsidRPr="00794BFD" w:rsidRDefault="005E123E" w:rsidP="00794BFD">
      <w:pPr>
        <w:autoSpaceDE w:val="0"/>
        <w:autoSpaceDN w:val="0"/>
        <w:adjustRightInd w:val="0"/>
        <w:ind w:left="1080"/>
        <w:jc w:val="both"/>
        <w:rPr>
          <w:rFonts w:ascii="Tahoma" w:hAnsi="Tahoma" w:cs="Tahoma"/>
          <w:sz w:val="20"/>
          <w:szCs w:val="20"/>
        </w:rPr>
      </w:pPr>
    </w:p>
    <w:p w:rsidR="00FD5D55" w:rsidRPr="00794BFD" w:rsidRDefault="00FD5D55" w:rsidP="00794BFD">
      <w:pPr>
        <w:autoSpaceDE w:val="0"/>
        <w:autoSpaceDN w:val="0"/>
        <w:adjustRightInd w:val="0"/>
        <w:ind w:left="1080"/>
        <w:jc w:val="both"/>
        <w:rPr>
          <w:rFonts w:ascii="Tahoma" w:hAnsi="Tahoma" w:cs="Tahoma"/>
          <w:sz w:val="20"/>
          <w:szCs w:val="20"/>
        </w:rPr>
      </w:pPr>
    </w:p>
    <w:p w:rsidR="00F8312D" w:rsidRPr="00794BFD" w:rsidRDefault="00F8312D" w:rsidP="00794BFD">
      <w:pPr>
        <w:autoSpaceDE w:val="0"/>
        <w:autoSpaceDN w:val="0"/>
        <w:adjustRightInd w:val="0"/>
        <w:ind w:left="1080"/>
        <w:jc w:val="both"/>
        <w:rPr>
          <w:rFonts w:ascii="Tahoma" w:hAnsi="Tahoma" w:cs="Tahoma"/>
          <w:sz w:val="20"/>
          <w:szCs w:val="20"/>
        </w:rPr>
      </w:pPr>
    </w:p>
    <w:p w:rsidR="00F8312D" w:rsidRPr="00794BFD" w:rsidRDefault="00F8312D" w:rsidP="00794BFD">
      <w:pPr>
        <w:autoSpaceDE w:val="0"/>
        <w:autoSpaceDN w:val="0"/>
        <w:adjustRightInd w:val="0"/>
        <w:ind w:left="1080"/>
        <w:jc w:val="both"/>
        <w:rPr>
          <w:rFonts w:ascii="Tahoma" w:hAnsi="Tahoma" w:cs="Tahoma"/>
          <w:sz w:val="20"/>
          <w:szCs w:val="20"/>
        </w:rPr>
      </w:pPr>
    </w:p>
    <w:p w:rsidR="00F8312D" w:rsidRPr="00794BFD" w:rsidRDefault="00F8312D" w:rsidP="00794BFD">
      <w:pPr>
        <w:autoSpaceDE w:val="0"/>
        <w:autoSpaceDN w:val="0"/>
        <w:adjustRightInd w:val="0"/>
        <w:ind w:left="1080"/>
        <w:jc w:val="both"/>
        <w:rPr>
          <w:rFonts w:ascii="Tahoma" w:hAnsi="Tahoma" w:cs="Tahoma"/>
          <w:sz w:val="20"/>
          <w:szCs w:val="20"/>
        </w:rPr>
      </w:pPr>
    </w:p>
    <w:p w:rsidR="00FD5D55" w:rsidRPr="00794BFD" w:rsidRDefault="00FD5D55" w:rsidP="00794BFD">
      <w:pPr>
        <w:jc w:val="center"/>
        <w:rPr>
          <w:rFonts w:ascii="Tahoma" w:hAnsi="Tahoma" w:cs="Tahoma"/>
          <w:b/>
          <w:shadow/>
          <w:sz w:val="20"/>
          <w:szCs w:val="20"/>
          <w:lang w:val="pt-BR"/>
        </w:rPr>
      </w:pPr>
      <w:r w:rsidRPr="00794BFD">
        <w:rPr>
          <w:rFonts w:ascii="Tahoma" w:hAnsi="Tahoma" w:cs="Tahoma"/>
          <w:b/>
          <w:shadow/>
          <w:sz w:val="20"/>
          <w:szCs w:val="20"/>
          <w:lang w:val="pt-BR"/>
        </w:rPr>
        <w:t>PRESIDENTE</w:t>
      </w:r>
    </w:p>
    <w:p w:rsidR="00FD5D55" w:rsidRPr="00794BFD" w:rsidRDefault="00FD5D55" w:rsidP="00794BFD">
      <w:pPr>
        <w:jc w:val="center"/>
        <w:rPr>
          <w:rFonts w:ascii="Tahoma" w:hAnsi="Tahoma" w:cs="Tahoma"/>
          <w:b/>
          <w:shadow/>
          <w:sz w:val="20"/>
          <w:szCs w:val="20"/>
          <w:lang w:val="pt-BR"/>
        </w:rPr>
      </w:pPr>
    </w:p>
    <w:p w:rsidR="00FD5D55" w:rsidRPr="00794BFD" w:rsidRDefault="00FD5D55" w:rsidP="00794BFD">
      <w:pPr>
        <w:jc w:val="center"/>
        <w:rPr>
          <w:rFonts w:ascii="Tahoma" w:hAnsi="Tahoma" w:cs="Tahoma"/>
          <w:b/>
          <w:shadow/>
          <w:sz w:val="20"/>
          <w:szCs w:val="20"/>
          <w:lang w:val="pt-BR"/>
        </w:rPr>
      </w:pPr>
    </w:p>
    <w:p w:rsidR="00E209EB" w:rsidRPr="00794BFD" w:rsidRDefault="005E123E" w:rsidP="00794BFD">
      <w:pPr>
        <w:rPr>
          <w:rFonts w:ascii="Tahoma" w:hAnsi="Tahoma" w:cs="Tahoma"/>
          <w:b/>
          <w:shadow/>
          <w:sz w:val="20"/>
          <w:szCs w:val="20"/>
          <w:lang w:val="pt-BR"/>
        </w:rPr>
      </w:pPr>
      <w:r w:rsidRPr="00794BFD">
        <w:rPr>
          <w:rFonts w:ascii="Tahoma" w:hAnsi="Tahoma" w:cs="Tahoma"/>
          <w:b/>
          <w:shadow/>
          <w:sz w:val="20"/>
          <w:szCs w:val="20"/>
          <w:lang w:val="pt-BR"/>
        </w:rPr>
        <w:t xml:space="preserve">      </w:t>
      </w:r>
    </w:p>
    <w:p w:rsidR="00BF3ADF" w:rsidRPr="00794BFD" w:rsidRDefault="00BF3ADF" w:rsidP="00794BFD">
      <w:pPr>
        <w:rPr>
          <w:rFonts w:ascii="Tahoma" w:hAnsi="Tahoma" w:cs="Tahoma"/>
          <w:b/>
          <w:shadow/>
          <w:sz w:val="20"/>
          <w:szCs w:val="20"/>
          <w:lang w:val="pt-BR"/>
        </w:rPr>
      </w:pPr>
    </w:p>
    <w:p w:rsidR="00FD5D55" w:rsidRPr="00794BFD" w:rsidRDefault="005E123E" w:rsidP="00794BFD">
      <w:pPr>
        <w:rPr>
          <w:rFonts w:ascii="Tahoma" w:hAnsi="Tahoma" w:cs="Tahoma"/>
          <w:shadow/>
          <w:sz w:val="20"/>
          <w:szCs w:val="20"/>
          <w:lang w:val="pt-BR"/>
        </w:rPr>
      </w:pPr>
      <w:r w:rsidRPr="00794BFD">
        <w:rPr>
          <w:rFonts w:ascii="Tahoma" w:hAnsi="Tahoma" w:cs="Tahoma"/>
          <w:b/>
          <w:shadow/>
          <w:sz w:val="20"/>
          <w:szCs w:val="20"/>
          <w:lang w:val="pt-BR"/>
        </w:rPr>
        <w:t xml:space="preserve">                            </w:t>
      </w:r>
      <w:r w:rsidR="00FD5D55" w:rsidRPr="00794BFD">
        <w:rPr>
          <w:rFonts w:ascii="Tahoma" w:hAnsi="Tahoma" w:cs="Tahoma"/>
          <w:b/>
          <w:shadow/>
          <w:sz w:val="20"/>
          <w:szCs w:val="20"/>
          <w:lang w:val="pt-BR"/>
        </w:rPr>
        <w:t xml:space="preserve">VOCAL                                                                   </w:t>
      </w:r>
      <w:proofErr w:type="spellStart"/>
      <w:r w:rsidR="00FD5D55" w:rsidRPr="00794BFD">
        <w:rPr>
          <w:rFonts w:ascii="Tahoma" w:hAnsi="Tahoma" w:cs="Tahoma"/>
          <w:b/>
          <w:shadow/>
          <w:sz w:val="20"/>
          <w:szCs w:val="20"/>
          <w:lang w:val="pt-BR"/>
        </w:rPr>
        <w:t>VO</w:t>
      </w:r>
      <w:r w:rsidRPr="00794BFD">
        <w:rPr>
          <w:rFonts w:ascii="Tahoma" w:hAnsi="Tahoma" w:cs="Tahoma"/>
          <w:b/>
          <w:shadow/>
          <w:sz w:val="20"/>
          <w:szCs w:val="20"/>
          <w:lang w:val="pt-BR"/>
        </w:rPr>
        <w:t>CAL</w:t>
      </w:r>
      <w:proofErr w:type="spellEnd"/>
    </w:p>
    <w:p w:rsidR="00BF3ADF" w:rsidRPr="00794BFD" w:rsidRDefault="00BF3ADF" w:rsidP="00794BFD">
      <w:pPr>
        <w:jc w:val="both"/>
        <w:rPr>
          <w:rFonts w:ascii="Tahoma" w:hAnsi="Tahoma" w:cs="Tahoma"/>
          <w:sz w:val="20"/>
          <w:szCs w:val="20"/>
          <w:lang w:val="pt-BR"/>
        </w:rPr>
      </w:pPr>
    </w:p>
    <w:p w:rsidR="00FD5D55" w:rsidRPr="00794BFD" w:rsidRDefault="00FD5D55" w:rsidP="00794BFD">
      <w:pPr>
        <w:jc w:val="both"/>
        <w:rPr>
          <w:rFonts w:ascii="Tahoma" w:hAnsi="Tahoma" w:cs="Tahoma"/>
          <w:sz w:val="20"/>
          <w:szCs w:val="20"/>
          <w:lang w:val="pt-BR"/>
        </w:rPr>
      </w:pPr>
      <w:proofErr w:type="gramStart"/>
      <w:r w:rsidRPr="00794BFD">
        <w:rPr>
          <w:rFonts w:ascii="Tahoma" w:hAnsi="Tahoma" w:cs="Tahoma"/>
          <w:sz w:val="20"/>
          <w:szCs w:val="20"/>
          <w:lang w:val="pt-BR"/>
        </w:rPr>
        <w:t>ss.</w:t>
      </w:r>
      <w:proofErr w:type="gramEnd"/>
    </w:p>
    <w:p w:rsidR="00FD5D55" w:rsidRPr="00794BFD" w:rsidRDefault="00FD5D55" w:rsidP="00794BFD">
      <w:pPr>
        <w:pStyle w:val="Textoindependiente21"/>
        <w:rPr>
          <w:rFonts w:cs="Tahoma"/>
          <w:sz w:val="20"/>
          <w:lang w:val="pt-BR"/>
        </w:rPr>
      </w:pPr>
      <w:proofErr w:type="spellStart"/>
      <w:r w:rsidRPr="00794BFD">
        <w:rPr>
          <w:rFonts w:cs="Tahoma"/>
          <w:sz w:val="20"/>
          <w:lang w:val="pt-BR"/>
        </w:rPr>
        <w:t>Valdivia</w:t>
      </w:r>
      <w:proofErr w:type="spellEnd"/>
      <w:r w:rsidRPr="00794BFD">
        <w:rPr>
          <w:rFonts w:cs="Tahoma"/>
          <w:sz w:val="20"/>
          <w:lang w:val="pt-BR"/>
        </w:rPr>
        <w:t xml:space="preserve"> </w:t>
      </w:r>
      <w:proofErr w:type="spellStart"/>
      <w:r w:rsidRPr="00794BFD">
        <w:rPr>
          <w:rFonts w:cs="Tahoma"/>
          <w:sz w:val="20"/>
          <w:lang w:val="pt-BR"/>
        </w:rPr>
        <w:t>Huaringa</w:t>
      </w:r>
      <w:proofErr w:type="spellEnd"/>
      <w:r w:rsidRPr="00794BFD">
        <w:rPr>
          <w:rFonts w:cs="Tahoma"/>
          <w:sz w:val="20"/>
          <w:lang w:val="pt-BR"/>
        </w:rPr>
        <w:t>.</w:t>
      </w:r>
    </w:p>
    <w:p w:rsidR="00FD5D55" w:rsidRPr="00794BFD" w:rsidRDefault="00FD5D55" w:rsidP="00794BFD">
      <w:pPr>
        <w:pStyle w:val="Textoindependiente21"/>
        <w:rPr>
          <w:rFonts w:cs="Tahoma"/>
          <w:sz w:val="20"/>
        </w:rPr>
      </w:pPr>
      <w:r w:rsidRPr="00794BFD">
        <w:rPr>
          <w:rFonts w:cs="Tahoma"/>
          <w:sz w:val="20"/>
        </w:rPr>
        <w:t>Navas Rondón.</w:t>
      </w:r>
    </w:p>
    <w:p w:rsidR="008F5E4C" w:rsidRPr="00794BFD" w:rsidRDefault="00FD5D55" w:rsidP="00794BFD">
      <w:pPr>
        <w:pStyle w:val="Textoindependiente21"/>
        <w:rPr>
          <w:rFonts w:cs="Tahoma"/>
          <w:sz w:val="20"/>
        </w:rPr>
      </w:pPr>
      <w:r w:rsidRPr="00794BFD">
        <w:rPr>
          <w:rFonts w:cs="Tahoma"/>
          <w:sz w:val="20"/>
        </w:rPr>
        <w:t xml:space="preserve">Ramírez </w:t>
      </w:r>
      <w:proofErr w:type="spellStart"/>
      <w:r w:rsidRPr="00794BFD">
        <w:rPr>
          <w:rFonts w:cs="Tahoma"/>
          <w:sz w:val="20"/>
        </w:rPr>
        <w:t>Maynetto</w:t>
      </w:r>
      <w:proofErr w:type="spellEnd"/>
      <w:r w:rsidRPr="00794BFD">
        <w:rPr>
          <w:rFonts w:cs="Tahoma"/>
          <w:sz w:val="20"/>
        </w:rPr>
        <w:t>.</w:t>
      </w:r>
    </w:p>
    <w:sectPr w:rsidR="008F5E4C" w:rsidRPr="00794BFD" w:rsidSect="004F01D3">
      <w:footerReference w:type="even" r:id="rId7"/>
      <w:footerReference w:type="default" r:id="rId8"/>
      <w:pgSz w:w="11906" w:h="16838"/>
      <w:pgMar w:top="359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66C" w:rsidRDefault="004A166C">
      <w:r>
        <w:separator/>
      </w:r>
    </w:p>
  </w:endnote>
  <w:endnote w:type="continuationSeparator" w:id="1">
    <w:p w:rsidR="004A166C" w:rsidRDefault="004A1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672" w:rsidRDefault="00702085" w:rsidP="001776F2">
    <w:pPr>
      <w:pStyle w:val="Piedepgina"/>
      <w:framePr w:wrap="around" w:vAnchor="text" w:hAnchor="margin" w:xAlign="right" w:y="1"/>
      <w:rPr>
        <w:rStyle w:val="Nmerodepgina"/>
      </w:rPr>
    </w:pPr>
    <w:r>
      <w:rPr>
        <w:rStyle w:val="Nmerodepgina"/>
      </w:rPr>
      <w:fldChar w:fldCharType="begin"/>
    </w:r>
    <w:r w:rsidR="00330672">
      <w:rPr>
        <w:rStyle w:val="Nmerodepgina"/>
      </w:rPr>
      <w:instrText xml:space="preserve">PAGE  </w:instrText>
    </w:r>
    <w:r>
      <w:rPr>
        <w:rStyle w:val="Nmerodepgina"/>
      </w:rPr>
      <w:fldChar w:fldCharType="end"/>
    </w:r>
  </w:p>
  <w:p w:rsidR="00330672" w:rsidRDefault="00330672" w:rsidP="005E123E">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672" w:rsidRDefault="00330672" w:rsidP="001776F2">
    <w:pPr>
      <w:pStyle w:val="Piedepgina"/>
      <w:framePr w:wrap="around" w:vAnchor="text" w:hAnchor="margin" w:xAlign="right" w:y="1"/>
      <w:rPr>
        <w:rStyle w:val="Nmerodepgina"/>
      </w:rPr>
    </w:pPr>
  </w:p>
  <w:p w:rsidR="00330672" w:rsidRDefault="00330672" w:rsidP="002623FE">
    <w:pPr>
      <w:pStyle w:val="Piedepgina"/>
      <w:ind w:right="360"/>
      <w:jc w:val="center"/>
    </w:pPr>
    <w:r>
      <w:t xml:space="preserve">Página </w:t>
    </w:r>
    <w:fldSimple w:instr=" PAGE ">
      <w:r w:rsidR="00A17087">
        <w:rPr>
          <w:noProof/>
        </w:rPr>
        <w:t>1</w:t>
      </w:r>
    </w:fldSimple>
    <w:r>
      <w:t xml:space="preserve"> de </w:t>
    </w:r>
    <w:fldSimple w:instr=" NUMPAGES ">
      <w:r w:rsidR="00A17087">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66C" w:rsidRDefault="004A166C">
      <w:r>
        <w:separator/>
      </w:r>
    </w:p>
  </w:footnote>
  <w:footnote w:type="continuationSeparator" w:id="1">
    <w:p w:rsidR="004A166C" w:rsidRDefault="004A166C">
      <w:r>
        <w:continuationSeparator/>
      </w:r>
    </w:p>
  </w:footnote>
  <w:footnote w:id="2">
    <w:p w:rsidR="00330672" w:rsidRPr="00873C28" w:rsidRDefault="00330672" w:rsidP="00273AA0">
      <w:pPr>
        <w:pStyle w:val="Textonotapie"/>
        <w:rPr>
          <w:b/>
        </w:rPr>
      </w:pPr>
      <w:r>
        <w:rPr>
          <w:rStyle w:val="Refdenotaalpie"/>
        </w:rPr>
        <w:footnoteRef/>
      </w:r>
      <w:r w:rsidRPr="0093275F">
        <w:rPr>
          <w:b/>
        </w:rPr>
        <w:t xml:space="preserve"> </w:t>
      </w:r>
      <w:r w:rsidRPr="00873C28">
        <w:rPr>
          <w:b/>
        </w:rPr>
        <w:t>Artículo 205.- Causales de imposición de sanción a los proveedores, postores y contratistas</w:t>
      </w:r>
    </w:p>
    <w:p w:rsidR="00330672" w:rsidRPr="00873C28" w:rsidRDefault="00330672" w:rsidP="00273AA0">
      <w:pPr>
        <w:pStyle w:val="Textonotapie"/>
        <w:jc w:val="both"/>
      </w:pPr>
      <w:r w:rsidRPr="00873C28">
        <w:t>El Tribunal impondrá la sanción administrativa de inhabilitación temporal o definitiva a los proveedores, postores y/o contratistas que:</w:t>
      </w:r>
    </w:p>
    <w:p w:rsidR="00330672" w:rsidRPr="00873C28" w:rsidRDefault="00330672" w:rsidP="00273AA0">
      <w:pPr>
        <w:pStyle w:val="Textonotapie"/>
      </w:pPr>
      <w:r w:rsidRPr="00873C28">
        <w:t>(…)</w:t>
      </w:r>
    </w:p>
    <w:p w:rsidR="00330672" w:rsidRPr="00873C28" w:rsidRDefault="00330672" w:rsidP="00273AA0">
      <w:pPr>
        <w:pStyle w:val="Textonotapie"/>
        <w:numPr>
          <w:ilvl w:val="0"/>
          <w:numId w:val="16"/>
        </w:numPr>
        <w:jc w:val="both"/>
      </w:pPr>
      <w:r w:rsidRPr="00873C28">
        <w:t xml:space="preserve">No mantengan su oferta hasta el otorgamiento de la Buena Pro y, de resultar ganadores, hasta la suscripción del contrato; no suscriban injustificadamente el contrato o no cumplan la orden de compra o de servicio emitida a su favor.  </w:t>
      </w:r>
    </w:p>
    <w:p w:rsidR="00330672" w:rsidRPr="00873C28" w:rsidRDefault="00330672" w:rsidP="00273AA0">
      <w:pPr>
        <w:pStyle w:val="Textonotapie"/>
        <w:jc w:val="both"/>
      </w:pPr>
      <w:r w:rsidRPr="00873C28">
        <w:t>(…)</w:t>
      </w:r>
    </w:p>
  </w:footnote>
  <w:footnote w:id="3">
    <w:p w:rsidR="00330672" w:rsidRPr="00873C28" w:rsidRDefault="00330672" w:rsidP="00273AA0">
      <w:pPr>
        <w:pStyle w:val="Textonotapie"/>
      </w:pPr>
      <w:r w:rsidRPr="00873C28">
        <w:rPr>
          <w:rStyle w:val="Refdenotaalpie"/>
        </w:rPr>
        <w:footnoteRef/>
      </w:r>
      <w:r w:rsidRPr="00873C28">
        <w:t xml:space="preserve"> Docu</w:t>
      </w:r>
      <w:r>
        <w:t>mento o</w:t>
      </w:r>
      <w:r w:rsidRPr="00873C28">
        <w:t xml:space="preserve">brante a fojas </w:t>
      </w:r>
      <w:r>
        <w:t>dieciocho (18)</w:t>
      </w:r>
    </w:p>
  </w:footnote>
  <w:footnote w:id="4">
    <w:p w:rsidR="00330672" w:rsidRPr="00367E3C" w:rsidRDefault="00330672" w:rsidP="00273AA0">
      <w:pPr>
        <w:pStyle w:val="Textonotapie"/>
      </w:pPr>
      <w:r>
        <w:rPr>
          <w:rStyle w:val="Refdenotaalpie"/>
        </w:rPr>
        <w:footnoteRef/>
      </w:r>
      <w:r>
        <w:t xml:space="preserve"> </w:t>
      </w:r>
      <w:proofErr w:type="spellStart"/>
      <w:r w:rsidRPr="00367E3C">
        <w:t>Veáse</w:t>
      </w:r>
      <w:proofErr w:type="spellEnd"/>
      <w:r w:rsidRPr="00367E3C">
        <w:t xml:space="preserve"> la recepción de la Carta presentada por el Postor que obra a fojas diecisiete (17) </w:t>
      </w:r>
    </w:p>
  </w:footnote>
  <w:footnote w:id="5">
    <w:p w:rsidR="00330672" w:rsidRPr="00367E3C" w:rsidRDefault="00330672" w:rsidP="00273AA0">
      <w:pPr>
        <w:pStyle w:val="Textonotapie"/>
      </w:pPr>
      <w:r w:rsidRPr="00367E3C">
        <w:rPr>
          <w:rStyle w:val="Refdenotaalpie"/>
        </w:rPr>
        <w:footnoteRef/>
      </w:r>
      <w:r w:rsidRPr="00367E3C">
        <w:t xml:space="preserve"> Documento obrante a fojas setenta y tres (73). </w:t>
      </w:r>
    </w:p>
  </w:footnote>
  <w:footnote w:id="6">
    <w:p w:rsidR="00330672" w:rsidRPr="00367E3C" w:rsidRDefault="00330672" w:rsidP="00273AA0">
      <w:pPr>
        <w:pStyle w:val="Textonotapie"/>
      </w:pPr>
      <w:r w:rsidRPr="00367E3C">
        <w:rPr>
          <w:rStyle w:val="Refdenotaalpie"/>
        </w:rPr>
        <w:footnoteRef/>
      </w:r>
      <w:r w:rsidRPr="00367E3C">
        <w:t xml:space="preserve"> Documento obrante a fijas cincuenta y uno (51)</w:t>
      </w:r>
    </w:p>
  </w:footnote>
  <w:footnote w:id="7">
    <w:p w:rsidR="00330672" w:rsidRPr="00873C28" w:rsidRDefault="00330672" w:rsidP="00273AA0">
      <w:pPr>
        <w:pStyle w:val="Textonotapie"/>
        <w:ind w:left="180" w:hanging="180"/>
        <w:jc w:val="both"/>
      </w:pPr>
      <w:r w:rsidRPr="00873C28">
        <w:rPr>
          <w:rStyle w:val="Refdenotaalpie"/>
        </w:rPr>
        <w:footnoteRef/>
      </w:r>
      <w:r w:rsidRPr="00873C28">
        <w:t xml:space="preserve">  “</w:t>
      </w:r>
      <w:r w:rsidRPr="00873C28">
        <w:rPr>
          <w:b/>
        </w:rPr>
        <w:t>Artículo 230.- Principios de la potestad sancionadora</w:t>
      </w:r>
    </w:p>
    <w:p w:rsidR="00330672" w:rsidRPr="003D3D76" w:rsidRDefault="00330672" w:rsidP="00273AA0">
      <w:pPr>
        <w:pStyle w:val="Textonotapie"/>
        <w:ind w:firstLine="180"/>
        <w:jc w:val="both"/>
      </w:pPr>
      <w:r w:rsidRPr="00BF3ADF">
        <w:rPr>
          <w:rFonts w:ascii="Tahoma" w:hAnsi="Tahoma" w:cs="Tahoma"/>
          <w:sz w:val="16"/>
          <w:szCs w:val="16"/>
        </w:rPr>
        <w:t>(…)</w:t>
      </w:r>
    </w:p>
    <w:p w:rsidR="00330672" w:rsidRPr="003D3D76" w:rsidRDefault="00330672" w:rsidP="00273AA0">
      <w:pPr>
        <w:pStyle w:val="Textonotapie"/>
        <w:ind w:left="180"/>
        <w:jc w:val="both"/>
      </w:pPr>
      <w:r w:rsidRPr="003D3D76">
        <w:rPr>
          <w:b/>
        </w:rPr>
        <w:t>3. Razonabilidad</w:t>
      </w:r>
      <w:r w:rsidRPr="003D3D76">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330672" w:rsidRPr="00834CC2" w:rsidRDefault="00330672" w:rsidP="00273AA0">
      <w:pPr>
        <w:pStyle w:val="Textonotapie"/>
        <w:ind w:firstLine="180"/>
        <w:jc w:val="both"/>
      </w:pPr>
      <w:r w:rsidRPr="003D3D76">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52A45"/>
    <w:multiLevelType w:val="hybridMultilevel"/>
    <w:tmpl w:val="D17C2E9C"/>
    <w:lvl w:ilvl="0" w:tplc="8758DCB8">
      <w:start w:val="1"/>
      <w:numFmt w:val="decimal"/>
      <w:lvlText w:val="%1."/>
      <w:lvlJc w:val="left"/>
      <w:pPr>
        <w:tabs>
          <w:tab w:val="num" w:pos="720"/>
        </w:tabs>
        <w:ind w:left="720" w:hanging="360"/>
      </w:pPr>
      <w:rPr>
        <w:rFonts w:hint="default"/>
        <w:b/>
      </w:rPr>
    </w:lvl>
    <w:lvl w:ilvl="1" w:tplc="FA5086A6">
      <w:start w:val="1"/>
      <w:numFmt w:val="decimal"/>
      <w:isLgl/>
      <w:lvlText w:val="%2."/>
      <w:lvlJc w:val="left"/>
      <w:pPr>
        <w:tabs>
          <w:tab w:val="num" w:pos="720"/>
        </w:tabs>
        <w:ind w:left="720" w:hanging="360"/>
      </w:pPr>
      <w:rPr>
        <w:rFonts w:ascii="Tahoma" w:eastAsia="Times New Roman" w:hAnsi="Tahoma" w:cs="Tahoma" w:hint="default"/>
        <w:b/>
        <w:sz w:val="20"/>
        <w:szCs w:val="20"/>
      </w:rPr>
    </w:lvl>
    <w:lvl w:ilvl="2" w:tplc="04B01ECE">
      <w:numFmt w:val="none"/>
      <w:lvlText w:val=""/>
      <w:lvlJc w:val="left"/>
      <w:pPr>
        <w:tabs>
          <w:tab w:val="num" w:pos="360"/>
        </w:tabs>
      </w:pPr>
    </w:lvl>
    <w:lvl w:ilvl="3" w:tplc="4074367C">
      <w:start w:val="9"/>
      <w:numFmt w:val="decimal"/>
      <w:lvlText w:val="%4."/>
      <w:lvlJc w:val="left"/>
      <w:pPr>
        <w:tabs>
          <w:tab w:val="num" w:pos="720"/>
        </w:tabs>
        <w:ind w:left="720" w:hanging="360"/>
      </w:pPr>
      <w:rPr>
        <w:rFonts w:hint="default"/>
      </w:rPr>
    </w:lvl>
    <w:lvl w:ilvl="4" w:tplc="9D08BFCE">
      <w:numFmt w:val="none"/>
      <w:lvlText w:val=""/>
      <w:lvlJc w:val="left"/>
      <w:pPr>
        <w:tabs>
          <w:tab w:val="num" w:pos="360"/>
        </w:tabs>
      </w:pPr>
    </w:lvl>
    <w:lvl w:ilvl="5" w:tplc="E38C2CBC">
      <w:numFmt w:val="none"/>
      <w:lvlText w:val=""/>
      <w:lvlJc w:val="left"/>
      <w:pPr>
        <w:tabs>
          <w:tab w:val="num" w:pos="360"/>
        </w:tabs>
      </w:pPr>
    </w:lvl>
    <w:lvl w:ilvl="6" w:tplc="7C6E293E">
      <w:numFmt w:val="none"/>
      <w:lvlText w:val=""/>
      <w:lvlJc w:val="left"/>
      <w:pPr>
        <w:tabs>
          <w:tab w:val="num" w:pos="360"/>
        </w:tabs>
      </w:pPr>
    </w:lvl>
    <w:lvl w:ilvl="7" w:tplc="9D4C06E0">
      <w:numFmt w:val="none"/>
      <w:lvlText w:val=""/>
      <w:lvlJc w:val="left"/>
      <w:pPr>
        <w:tabs>
          <w:tab w:val="num" w:pos="360"/>
        </w:tabs>
      </w:pPr>
    </w:lvl>
    <w:lvl w:ilvl="8" w:tplc="3BD250C0">
      <w:numFmt w:val="none"/>
      <w:lvlText w:val=""/>
      <w:lvlJc w:val="left"/>
      <w:pPr>
        <w:tabs>
          <w:tab w:val="num" w:pos="360"/>
        </w:tabs>
      </w:pPr>
    </w:lvl>
  </w:abstractNum>
  <w:abstractNum w:abstractNumId="1">
    <w:nsid w:val="0D89661A"/>
    <w:multiLevelType w:val="hybridMultilevel"/>
    <w:tmpl w:val="05001CDE"/>
    <w:lvl w:ilvl="0" w:tplc="FD84687A">
      <w:start w:val="1"/>
      <w:numFmt w:val="decimal"/>
      <w:lvlText w:val="%1."/>
      <w:lvlJc w:val="left"/>
      <w:pPr>
        <w:tabs>
          <w:tab w:val="num" w:pos="454"/>
        </w:tabs>
        <w:ind w:left="454" w:hanging="454"/>
      </w:pPr>
      <w:rPr>
        <w:rFonts w:ascii="Tahoma" w:hAnsi="Tahoma" w:hint="default"/>
        <w:b/>
        <w:i w:val="0"/>
        <w:shadow w:val="0"/>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rFonts w:hint="default"/>
        <w:b/>
      </w:rPr>
    </w:lvl>
    <w:lvl w:ilvl="2" w:tplc="91224666">
      <w:start w:val="1"/>
      <w:numFmt w:val="lowerRoman"/>
      <w:lvlText w:val="%3."/>
      <w:lvlJc w:val="left"/>
      <w:pPr>
        <w:tabs>
          <w:tab w:val="num" w:pos="1800"/>
        </w:tabs>
        <w:ind w:left="1800" w:hanging="720"/>
      </w:pPr>
      <w:rPr>
        <w:rFonts w:hint="default"/>
        <w:b/>
      </w:rPr>
    </w:lvl>
    <w:lvl w:ilvl="3" w:tplc="E034C060">
      <w:start w:val="1"/>
      <w:numFmt w:val="lowerLetter"/>
      <w:lvlText w:val="%4."/>
      <w:lvlJc w:val="left"/>
      <w:pPr>
        <w:tabs>
          <w:tab w:val="num" w:pos="2880"/>
        </w:tabs>
        <w:ind w:left="2880" w:hanging="360"/>
      </w:pPr>
      <w:rPr>
        <w:rFonts w:hint="default"/>
        <w:b/>
      </w:rPr>
    </w:lvl>
    <w:lvl w:ilvl="4" w:tplc="06E495D8">
      <w:start w:val="1"/>
      <w:numFmt w:val="lowerLetter"/>
      <w:lvlText w:val="%5)"/>
      <w:lvlJc w:val="left"/>
      <w:pPr>
        <w:tabs>
          <w:tab w:val="num" w:pos="3600"/>
        </w:tabs>
        <w:ind w:left="3600" w:hanging="360"/>
      </w:pPr>
      <w:rPr>
        <w:rFonts w:hint="default"/>
        <w:b/>
        <w:i w:val="0"/>
        <w:shadow w:val="0"/>
        <w:emboss w:val="0"/>
        <w:imprint w:val="0"/>
        <w:color w:val="auto"/>
        <w:sz w:val="20"/>
        <w:szCs w:val="20"/>
        <w:u w:color="FFFFFF"/>
        <w:effect w:val="none"/>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91C70F9"/>
    <w:multiLevelType w:val="hybridMultilevel"/>
    <w:tmpl w:val="BC0CA530"/>
    <w:lvl w:ilvl="0" w:tplc="0C0A000F">
      <w:start w:val="5"/>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DEC2536"/>
    <w:multiLevelType w:val="hybridMultilevel"/>
    <w:tmpl w:val="898C6434"/>
    <w:lvl w:ilvl="0" w:tplc="AE489890">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rPr>
        <w:rFonts w:hint="default"/>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4F327CA"/>
    <w:multiLevelType w:val="hybridMultilevel"/>
    <w:tmpl w:val="09C8B2D0"/>
    <w:lvl w:ilvl="0" w:tplc="501CD38E">
      <w:start w:val="1"/>
      <w:numFmt w:val="decimal"/>
      <w:lvlText w:val="%1."/>
      <w:lvlJc w:val="left"/>
      <w:pPr>
        <w:tabs>
          <w:tab w:val="num" w:pos="720"/>
        </w:tabs>
        <w:ind w:left="720" w:hanging="360"/>
      </w:pPr>
      <w:rPr>
        <w:b/>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5">
    <w:nsid w:val="325C379B"/>
    <w:multiLevelType w:val="hybridMultilevel"/>
    <w:tmpl w:val="2C948F20"/>
    <w:lvl w:ilvl="0" w:tplc="310CF4C6">
      <w:start w:val="6"/>
      <w:numFmt w:val="decimal"/>
      <w:lvlText w:val="%1."/>
      <w:lvlJc w:val="left"/>
      <w:pPr>
        <w:tabs>
          <w:tab w:val="num" w:pos="180"/>
        </w:tabs>
        <w:ind w:left="180" w:hanging="360"/>
      </w:pPr>
      <w:rPr>
        <w:rFonts w:hint="default"/>
        <w:b/>
      </w:rPr>
    </w:lvl>
    <w:lvl w:ilvl="1" w:tplc="6182144E">
      <w:start w:val="1"/>
      <w:numFmt w:val="lowerLetter"/>
      <w:lvlText w:val="%2)"/>
      <w:lvlJc w:val="left"/>
      <w:pPr>
        <w:tabs>
          <w:tab w:val="num" w:pos="900"/>
        </w:tabs>
        <w:ind w:left="900" w:hanging="360"/>
      </w:pPr>
      <w:rPr>
        <w:rFonts w:hint="default"/>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6">
    <w:nsid w:val="37796E73"/>
    <w:multiLevelType w:val="hybridMultilevel"/>
    <w:tmpl w:val="C754675A"/>
    <w:lvl w:ilvl="0" w:tplc="0C0A000F">
      <w:start w:val="1"/>
      <w:numFmt w:val="decimal"/>
      <w:lvlText w:val="%1."/>
      <w:lvlJc w:val="left"/>
      <w:pPr>
        <w:tabs>
          <w:tab w:val="num" w:pos="720"/>
        </w:tabs>
        <w:ind w:left="720" w:hanging="360"/>
      </w:pPr>
    </w:lvl>
    <w:lvl w:ilvl="1" w:tplc="429CCC56">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3BF602E7"/>
    <w:multiLevelType w:val="hybridMultilevel"/>
    <w:tmpl w:val="2C8EBBE8"/>
    <w:lvl w:ilvl="0" w:tplc="4E1A92FA">
      <w:start w:val="1"/>
      <w:numFmt w:val="decimal"/>
      <w:lvlText w:val="%1."/>
      <w:lvlJc w:val="left"/>
      <w:pPr>
        <w:tabs>
          <w:tab w:val="num" w:pos="720"/>
        </w:tabs>
        <w:ind w:left="720" w:hanging="360"/>
      </w:pPr>
      <w:rPr>
        <w:rFonts w:ascii="Tahoma" w:hAnsi="Tahoma" w:cs="Tahoma"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4113322F"/>
    <w:multiLevelType w:val="hybridMultilevel"/>
    <w:tmpl w:val="492A51CC"/>
    <w:lvl w:ilvl="0" w:tplc="78ACBF6C">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3DD25EE"/>
    <w:multiLevelType w:val="singleLevel"/>
    <w:tmpl w:val="2ECCD630"/>
    <w:lvl w:ilvl="0">
      <w:start w:val="1"/>
      <w:numFmt w:val="decimal"/>
      <w:lvlText w:val="%1."/>
      <w:lvlJc w:val="left"/>
      <w:pPr>
        <w:tabs>
          <w:tab w:val="num" w:pos="2520"/>
        </w:tabs>
        <w:ind w:left="2520" w:hanging="360"/>
      </w:pPr>
      <w:rPr>
        <w:rFonts w:ascii="Tahoma" w:hAnsi="Tahoma" w:cs="Tahoma" w:hint="default"/>
        <w:b/>
        <w:shadow/>
        <w:sz w:val="20"/>
        <w:szCs w:val="20"/>
      </w:rPr>
    </w:lvl>
  </w:abstractNum>
  <w:abstractNum w:abstractNumId="10">
    <w:nsid w:val="490628FE"/>
    <w:multiLevelType w:val="hybridMultilevel"/>
    <w:tmpl w:val="C01A48BA"/>
    <w:lvl w:ilvl="0" w:tplc="9594D94E">
      <w:start w:val="1"/>
      <w:numFmt w:val="decimal"/>
      <w:lvlText w:val="%1."/>
      <w:lvlJc w:val="left"/>
      <w:pPr>
        <w:tabs>
          <w:tab w:val="num" w:pos="1080"/>
        </w:tabs>
        <w:ind w:left="108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nsid w:val="513E7A6B"/>
    <w:multiLevelType w:val="hybridMultilevel"/>
    <w:tmpl w:val="AFA03944"/>
    <w:lvl w:ilvl="0" w:tplc="3A903164">
      <w:start w:val="1"/>
      <w:numFmt w:val="decimal"/>
      <w:lvlText w:val="%1."/>
      <w:lvlJc w:val="left"/>
      <w:pPr>
        <w:tabs>
          <w:tab w:val="num" w:pos="720"/>
        </w:tabs>
        <w:ind w:left="720" w:hanging="360"/>
      </w:pPr>
      <w:rPr>
        <w:rFonts w:ascii="Tahoma" w:hAnsi="Tahoma"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56B36005"/>
    <w:multiLevelType w:val="hybridMultilevel"/>
    <w:tmpl w:val="B22CFA00"/>
    <w:lvl w:ilvl="0" w:tplc="6182144E">
      <w:start w:val="1"/>
      <w:numFmt w:val="lowerLetter"/>
      <w:lvlText w:val="%1)"/>
      <w:lvlJc w:val="left"/>
      <w:pPr>
        <w:tabs>
          <w:tab w:val="num" w:pos="900"/>
        </w:tabs>
        <w:ind w:left="90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5DB66B45"/>
    <w:multiLevelType w:val="hybridMultilevel"/>
    <w:tmpl w:val="FD0A217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681D675A"/>
    <w:multiLevelType w:val="hybridMultilevel"/>
    <w:tmpl w:val="4AAC1408"/>
    <w:lvl w:ilvl="0" w:tplc="4DBC940E">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6C4613DD"/>
    <w:multiLevelType w:val="hybridMultilevel"/>
    <w:tmpl w:val="A8FEA60C"/>
    <w:lvl w:ilvl="0" w:tplc="D27EA1E0">
      <w:start w:val="1"/>
      <w:numFmt w:val="decimal"/>
      <w:lvlText w:val="%1."/>
      <w:lvlJc w:val="left"/>
      <w:pPr>
        <w:tabs>
          <w:tab w:val="num" w:pos="720"/>
        </w:tabs>
        <w:ind w:left="720" w:hanging="360"/>
      </w:pPr>
      <w:rPr>
        <w:b/>
        <w:sz w:val="20"/>
        <w:szCs w:val="20"/>
      </w:rPr>
    </w:lvl>
    <w:lvl w:ilvl="1" w:tplc="0C0A0011">
      <w:start w:val="1"/>
      <w:numFmt w:val="decimal"/>
      <w:lvlText w:val="%2)"/>
      <w:lvlJc w:val="left"/>
      <w:pPr>
        <w:tabs>
          <w:tab w:val="num" w:pos="1620"/>
        </w:tabs>
        <w:ind w:left="1620" w:hanging="360"/>
      </w:pPr>
      <w:rPr>
        <w:b/>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10"/>
  </w:num>
  <w:num w:numId="4">
    <w:abstractNumId w:val="9"/>
  </w:num>
  <w:num w:numId="5">
    <w:abstractNumId w:val="1"/>
  </w:num>
  <w:num w:numId="6">
    <w:abstractNumId w:val="15"/>
  </w:num>
  <w:num w:numId="7">
    <w:abstractNumId w:val="13"/>
  </w:num>
  <w:num w:numId="8">
    <w:abstractNumId w:val="4"/>
  </w:num>
  <w:num w:numId="9">
    <w:abstractNumId w:val="3"/>
  </w:num>
  <w:num w:numId="10">
    <w:abstractNumId w:val="5"/>
  </w:num>
  <w:num w:numId="11">
    <w:abstractNumId w:val="12"/>
  </w:num>
  <w:num w:numId="12">
    <w:abstractNumId w:val="0"/>
  </w:num>
  <w:num w:numId="13">
    <w:abstractNumId w:val="6"/>
  </w:num>
  <w:num w:numId="14">
    <w:abstractNumId w:val="2"/>
  </w:num>
  <w:num w:numId="15">
    <w:abstractNumId w:val="1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8F5E4C"/>
    <w:rsid w:val="00005D63"/>
    <w:rsid w:val="00032504"/>
    <w:rsid w:val="000502EB"/>
    <w:rsid w:val="000636A1"/>
    <w:rsid w:val="00077C99"/>
    <w:rsid w:val="000812A9"/>
    <w:rsid w:val="000A6987"/>
    <w:rsid w:val="000C4116"/>
    <w:rsid w:val="001551A8"/>
    <w:rsid w:val="00170F01"/>
    <w:rsid w:val="001776F2"/>
    <w:rsid w:val="001A5624"/>
    <w:rsid w:val="001E058A"/>
    <w:rsid w:val="001E41EA"/>
    <w:rsid w:val="00216D87"/>
    <w:rsid w:val="002363C5"/>
    <w:rsid w:val="002623FE"/>
    <w:rsid w:val="00273AA0"/>
    <w:rsid w:val="002F27E7"/>
    <w:rsid w:val="002F684E"/>
    <w:rsid w:val="0030780C"/>
    <w:rsid w:val="00330672"/>
    <w:rsid w:val="003652C9"/>
    <w:rsid w:val="003B4460"/>
    <w:rsid w:val="003C0BEA"/>
    <w:rsid w:val="003D54D9"/>
    <w:rsid w:val="004654F1"/>
    <w:rsid w:val="004A166C"/>
    <w:rsid w:val="004A2A71"/>
    <w:rsid w:val="004F01D3"/>
    <w:rsid w:val="004F3698"/>
    <w:rsid w:val="00516BC9"/>
    <w:rsid w:val="00525EFA"/>
    <w:rsid w:val="00531839"/>
    <w:rsid w:val="00532356"/>
    <w:rsid w:val="0055316B"/>
    <w:rsid w:val="00571DBA"/>
    <w:rsid w:val="005E123E"/>
    <w:rsid w:val="005F1FF3"/>
    <w:rsid w:val="00616FEC"/>
    <w:rsid w:val="00633F34"/>
    <w:rsid w:val="00645091"/>
    <w:rsid w:val="0067288C"/>
    <w:rsid w:val="006B5A8E"/>
    <w:rsid w:val="006C3A87"/>
    <w:rsid w:val="006D6C05"/>
    <w:rsid w:val="006E2253"/>
    <w:rsid w:val="006E322D"/>
    <w:rsid w:val="00702085"/>
    <w:rsid w:val="00703E5F"/>
    <w:rsid w:val="00792C05"/>
    <w:rsid w:val="00794BFD"/>
    <w:rsid w:val="007A2293"/>
    <w:rsid w:val="007D053F"/>
    <w:rsid w:val="007D0A87"/>
    <w:rsid w:val="007E1D15"/>
    <w:rsid w:val="007E63C6"/>
    <w:rsid w:val="008F5E4C"/>
    <w:rsid w:val="00934BE3"/>
    <w:rsid w:val="0093781E"/>
    <w:rsid w:val="009B1773"/>
    <w:rsid w:val="009B531B"/>
    <w:rsid w:val="009B7FD4"/>
    <w:rsid w:val="009F5E9F"/>
    <w:rsid w:val="00A17087"/>
    <w:rsid w:val="00A827E3"/>
    <w:rsid w:val="00B53DE6"/>
    <w:rsid w:val="00B72A12"/>
    <w:rsid w:val="00B927E5"/>
    <w:rsid w:val="00BC5B02"/>
    <w:rsid w:val="00BD7CF8"/>
    <w:rsid w:val="00BF3ADF"/>
    <w:rsid w:val="00C22FAB"/>
    <w:rsid w:val="00C72874"/>
    <w:rsid w:val="00CD54BF"/>
    <w:rsid w:val="00CE1EFF"/>
    <w:rsid w:val="00CE7064"/>
    <w:rsid w:val="00D34555"/>
    <w:rsid w:val="00D67566"/>
    <w:rsid w:val="00D935CA"/>
    <w:rsid w:val="00DB774B"/>
    <w:rsid w:val="00DD588F"/>
    <w:rsid w:val="00DD7202"/>
    <w:rsid w:val="00DE2548"/>
    <w:rsid w:val="00DF29B7"/>
    <w:rsid w:val="00E000EA"/>
    <w:rsid w:val="00E209EB"/>
    <w:rsid w:val="00E510F6"/>
    <w:rsid w:val="00E51D05"/>
    <w:rsid w:val="00E6035D"/>
    <w:rsid w:val="00E935C0"/>
    <w:rsid w:val="00E9425E"/>
    <w:rsid w:val="00EF7029"/>
    <w:rsid w:val="00F144CB"/>
    <w:rsid w:val="00F45372"/>
    <w:rsid w:val="00F6173F"/>
    <w:rsid w:val="00F8312D"/>
    <w:rsid w:val="00F97E1A"/>
    <w:rsid w:val="00FA23E8"/>
    <w:rsid w:val="00FA30F7"/>
    <w:rsid w:val="00FD5D55"/>
    <w:rsid w:val="00FF4AB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E4C"/>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rsid w:val="008F5E4C"/>
    <w:pPr>
      <w:spacing w:after="120"/>
    </w:pPr>
    <w:rPr>
      <w:sz w:val="16"/>
      <w:szCs w:val="16"/>
      <w:lang w:val="es-PE"/>
    </w:rPr>
  </w:style>
  <w:style w:type="paragraph" w:styleId="Textoindependiente">
    <w:name w:val="Body Text"/>
    <w:basedOn w:val="Normal"/>
    <w:rsid w:val="008F5E4C"/>
    <w:pPr>
      <w:spacing w:after="120"/>
    </w:pPr>
  </w:style>
  <w:style w:type="paragraph" w:styleId="Textonotapie">
    <w:name w:val="footnote text"/>
    <w:basedOn w:val="Normal"/>
    <w:link w:val="TextonotapieCar"/>
    <w:semiHidden/>
    <w:rsid w:val="008F5E4C"/>
    <w:rPr>
      <w:sz w:val="20"/>
      <w:szCs w:val="20"/>
    </w:rPr>
  </w:style>
  <w:style w:type="character" w:styleId="Refdenotaalpie">
    <w:name w:val="footnote reference"/>
    <w:basedOn w:val="Fuentedeprrafopredeter"/>
    <w:semiHidden/>
    <w:rsid w:val="008F5E4C"/>
    <w:rPr>
      <w:vertAlign w:val="superscript"/>
    </w:rPr>
  </w:style>
  <w:style w:type="paragraph" w:customStyle="1" w:styleId="Textoindependiente21">
    <w:name w:val="Texto independiente 21"/>
    <w:basedOn w:val="Normal"/>
    <w:rsid w:val="008F5E4C"/>
    <w:pPr>
      <w:jc w:val="both"/>
    </w:pPr>
    <w:rPr>
      <w:rFonts w:ascii="Tahoma" w:hAnsi="Tahoma"/>
      <w:sz w:val="22"/>
      <w:szCs w:val="20"/>
    </w:rPr>
  </w:style>
  <w:style w:type="paragraph" w:styleId="Piedepgina">
    <w:name w:val="footer"/>
    <w:basedOn w:val="Normal"/>
    <w:rsid w:val="005E123E"/>
    <w:pPr>
      <w:tabs>
        <w:tab w:val="center" w:pos="4252"/>
        <w:tab w:val="right" w:pos="8504"/>
      </w:tabs>
    </w:pPr>
  </w:style>
  <w:style w:type="character" w:styleId="Nmerodepgina">
    <w:name w:val="page number"/>
    <w:basedOn w:val="Fuentedeprrafopredeter"/>
    <w:rsid w:val="005E123E"/>
  </w:style>
  <w:style w:type="character" w:styleId="Textoennegrita">
    <w:name w:val="Strong"/>
    <w:basedOn w:val="Fuentedeprrafopredeter"/>
    <w:qFormat/>
    <w:rsid w:val="00CE7064"/>
    <w:rPr>
      <w:b/>
      <w:bCs/>
    </w:rPr>
  </w:style>
  <w:style w:type="paragraph" w:styleId="Encabezado">
    <w:name w:val="header"/>
    <w:basedOn w:val="Normal"/>
    <w:rsid w:val="002623FE"/>
    <w:pPr>
      <w:tabs>
        <w:tab w:val="center" w:pos="4252"/>
        <w:tab w:val="right" w:pos="8504"/>
      </w:tabs>
    </w:pPr>
  </w:style>
  <w:style w:type="character" w:customStyle="1" w:styleId="TextonotapieCar">
    <w:name w:val="Texto nota pie Car"/>
    <w:basedOn w:val="Fuentedeprrafopredeter"/>
    <w:link w:val="Textonotapie"/>
    <w:rsid w:val="006E2253"/>
    <w:rPr>
      <w:lang w:val="es-ES" w:eastAsia="es-E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2475</Words>
  <Characters>12977</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Sumilla: Corresponde sancionar a la empresa “Abastecimiento y Servicios Generales”</vt:lpstr>
    </vt:vector>
  </TitlesOfParts>
  <Company/>
  <LinksUpToDate>false</LinksUpToDate>
  <CharactersWithSpaces>15422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1958-2007-TC-S3</dc:title>
  <dc:subject>PROCEDIMIENTO ADMINISTRATIVO SANCIONADOR</dc:subject>
  <dc:creator>TRIBUNAL</dc:creator>
  <cp:keywords>RESOLUCION DE CONTRATO</cp:keywords>
  <dc:description/>
  <cp:lastModifiedBy>gllano</cp:lastModifiedBy>
  <cp:revision>2</cp:revision>
  <cp:lastPrinted>2007-11-13T18:21:00Z</cp:lastPrinted>
  <dcterms:created xsi:type="dcterms:W3CDTF">2007-12-13T21:36:00Z</dcterms:created>
  <dcterms:modified xsi:type="dcterms:W3CDTF">2007-12-13T21:36:00Z</dcterms:modified>
  <cp:category>RESOLUCION-TRIBUNAL</cp:category>
</cp:coreProperties>
</file>