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478" w:rsidRDefault="00E37478" w:rsidP="003717D0">
      <w:pPr>
        <w:tabs>
          <w:tab w:val="left" w:pos="2700"/>
          <w:tab w:val="left" w:pos="2880"/>
          <w:tab w:val="left" w:pos="6840"/>
        </w:tabs>
        <w:ind w:left="2700" w:right="2060" w:hanging="1080"/>
        <w:jc w:val="both"/>
        <w:rPr>
          <w:rFonts w:ascii="Tahoma" w:hAnsi="Tahoma" w:cs="Tahoma"/>
          <w:b/>
          <w:i/>
        </w:rPr>
      </w:pPr>
    </w:p>
    <w:p w:rsidR="00E37478" w:rsidRDefault="00E37478" w:rsidP="003717D0">
      <w:pPr>
        <w:tabs>
          <w:tab w:val="left" w:pos="2700"/>
          <w:tab w:val="left" w:pos="2880"/>
          <w:tab w:val="left" w:pos="6840"/>
        </w:tabs>
        <w:ind w:left="2700" w:right="2060" w:hanging="1080"/>
        <w:jc w:val="both"/>
        <w:rPr>
          <w:rFonts w:ascii="Tahoma" w:hAnsi="Tahoma" w:cs="Tahoma"/>
          <w:b/>
          <w:i/>
        </w:rPr>
      </w:pPr>
      <w:r>
        <w:rPr>
          <w:rFonts w:ascii="Tahoma" w:hAnsi="Tahoma" w:cs="Tahoma"/>
          <w:b/>
          <w:i/>
        </w:rPr>
        <w:t xml:space="preserve">               RESOLUCIÓN N</w:t>
      </w:r>
      <w:proofErr w:type="gramStart"/>
      <w:r>
        <w:rPr>
          <w:rFonts w:ascii="Tahoma" w:hAnsi="Tahoma" w:cs="Tahoma"/>
          <w:b/>
          <w:i/>
        </w:rPr>
        <w:t>.º</w:t>
      </w:r>
      <w:proofErr w:type="gramEnd"/>
      <w:r>
        <w:rPr>
          <w:rFonts w:ascii="Tahoma" w:hAnsi="Tahoma" w:cs="Tahoma"/>
          <w:b/>
          <w:i/>
        </w:rPr>
        <w:t xml:space="preserve"> 1955-2007/TC-S3</w:t>
      </w:r>
    </w:p>
    <w:p w:rsidR="00E37478" w:rsidRDefault="00E37478" w:rsidP="003717D0">
      <w:pPr>
        <w:tabs>
          <w:tab w:val="left" w:pos="2700"/>
          <w:tab w:val="left" w:pos="2880"/>
          <w:tab w:val="left" w:pos="6840"/>
        </w:tabs>
        <w:ind w:left="2700" w:right="2060" w:hanging="1080"/>
        <w:jc w:val="both"/>
        <w:rPr>
          <w:rFonts w:ascii="Tahoma" w:hAnsi="Tahoma" w:cs="Tahoma"/>
          <w:b/>
          <w:i/>
        </w:rPr>
      </w:pPr>
    </w:p>
    <w:p w:rsidR="003717D0" w:rsidRPr="008A15CB" w:rsidRDefault="003717D0" w:rsidP="003717D0">
      <w:pPr>
        <w:tabs>
          <w:tab w:val="left" w:pos="2700"/>
          <w:tab w:val="left" w:pos="2880"/>
          <w:tab w:val="left" w:pos="6840"/>
        </w:tabs>
        <w:ind w:left="2700" w:right="2060" w:hanging="1080"/>
        <w:jc w:val="both"/>
        <w:rPr>
          <w:rFonts w:ascii="Tahoma" w:hAnsi="Tahoma" w:cs="Tahoma"/>
          <w:i/>
          <w:lang w:val="es-ES_tradnl"/>
        </w:rPr>
      </w:pPr>
      <w:r w:rsidRPr="00F107B5">
        <w:rPr>
          <w:rFonts w:ascii="Tahoma" w:hAnsi="Tahoma" w:cs="Tahoma"/>
          <w:b/>
          <w:i/>
        </w:rPr>
        <w:t>Sumilla</w:t>
      </w:r>
      <w:r w:rsidRPr="001C2AE2">
        <w:rPr>
          <w:rFonts w:ascii="Tahoma" w:hAnsi="Tahoma" w:cs="Tahoma"/>
          <w:b/>
          <w:i/>
        </w:rPr>
        <w:t>:</w:t>
      </w:r>
      <w:r>
        <w:rPr>
          <w:rFonts w:ascii="Tahoma" w:hAnsi="Tahoma" w:cs="Tahoma"/>
          <w:b/>
          <w:i/>
        </w:rPr>
        <w:t xml:space="preserve">  </w:t>
      </w:r>
      <w:r w:rsidRPr="001C2AE2">
        <w:rPr>
          <w:rFonts w:ascii="Tahoma" w:hAnsi="Tahoma" w:cs="Tahoma"/>
          <w:b/>
          <w:i/>
        </w:rPr>
        <w:t xml:space="preserve"> </w:t>
      </w:r>
      <w:r>
        <w:rPr>
          <w:rFonts w:ascii="Tahoma" w:hAnsi="Tahoma" w:cs="Tahoma"/>
          <w:b/>
          <w:i/>
        </w:rPr>
        <w:t xml:space="preserve"> </w:t>
      </w:r>
      <w:r w:rsidRPr="008A15CB">
        <w:rPr>
          <w:rFonts w:ascii="Tahoma" w:hAnsi="Tahoma" w:cs="Tahoma"/>
          <w:i/>
        </w:rPr>
        <w:t>El caso fortuito o la fuerza mayor constituyen figuras previstas por el ordenamiento jurídico y son definidas, por lo general, como sucesos o acontecimientos inopinados e imprevistos o cuyo resultado, siendo previsibles, no han podido evitarse o resistirse</w:t>
      </w:r>
      <w:r w:rsidRPr="008A15CB">
        <w:rPr>
          <w:rFonts w:ascii="Tahoma" w:hAnsi="Tahoma" w:cs="Tahoma"/>
          <w:i/>
          <w:lang w:val="es-ES_tradnl"/>
        </w:rPr>
        <w:t xml:space="preserve">. </w:t>
      </w:r>
    </w:p>
    <w:p w:rsidR="003717D0" w:rsidRPr="008A15CB" w:rsidRDefault="003717D0" w:rsidP="003717D0">
      <w:pPr>
        <w:tabs>
          <w:tab w:val="left" w:pos="2700"/>
          <w:tab w:val="left" w:pos="2880"/>
          <w:tab w:val="left" w:pos="6840"/>
        </w:tabs>
        <w:ind w:left="2700" w:right="2060" w:hanging="1080"/>
        <w:jc w:val="both"/>
        <w:rPr>
          <w:rFonts w:ascii="Tahoma" w:hAnsi="Tahoma" w:cs="Tahoma"/>
          <w:i/>
          <w:lang w:val="es-ES_tradnl"/>
        </w:rPr>
      </w:pPr>
    </w:p>
    <w:p w:rsidR="003717D0" w:rsidRDefault="003717D0" w:rsidP="003717D0">
      <w:pPr>
        <w:pStyle w:val="Textoindependiente3"/>
        <w:ind w:left="4956" w:firstLine="84"/>
        <w:rPr>
          <w:rFonts w:ascii="Tahoma" w:hAnsi="Tahoma" w:cs="Tahoma"/>
          <w:b/>
          <w:sz w:val="20"/>
          <w:szCs w:val="20"/>
        </w:rPr>
      </w:pPr>
      <w:r w:rsidRPr="00F107B5">
        <w:rPr>
          <w:rFonts w:ascii="Tahoma" w:hAnsi="Tahoma" w:cs="Tahoma"/>
          <w:b/>
          <w:sz w:val="20"/>
          <w:szCs w:val="20"/>
        </w:rPr>
        <w:t xml:space="preserve">Lima,  </w:t>
      </w:r>
      <w:r w:rsidR="00E37478">
        <w:rPr>
          <w:rFonts w:ascii="Tahoma" w:hAnsi="Tahoma" w:cs="Tahoma"/>
          <w:b/>
          <w:sz w:val="20"/>
          <w:szCs w:val="20"/>
        </w:rPr>
        <w:t>20 DE NOVIEMBRE DE 2007</w:t>
      </w:r>
    </w:p>
    <w:p w:rsidR="003717D0" w:rsidRPr="00F107B5" w:rsidRDefault="003717D0" w:rsidP="003717D0">
      <w:pPr>
        <w:pStyle w:val="Textoindependiente3"/>
        <w:ind w:left="4956" w:firstLine="84"/>
        <w:rPr>
          <w:rFonts w:ascii="Tahoma" w:hAnsi="Tahoma" w:cs="Tahoma"/>
          <w:b/>
          <w:sz w:val="20"/>
          <w:szCs w:val="20"/>
        </w:rPr>
      </w:pPr>
    </w:p>
    <w:p w:rsidR="003717D0" w:rsidRPr="00F107B5" w:rsidRDefault="003717D0" w:rsidP="003717D0">
      <w:pPr>
        <w:jc w:val="both"/>
        <w:rPr>
          <w:rFonts w:ascii="Tahoma" w:hAnsi="Tahoma" w:cs="Tahoma"/>
        </w:rPr>
      </w:pPr>
      <w:r w:rsidRPr="00F107B5">
        <w:rPr>
          <w:rFonts w:ascii="Tahoma" w:hAnsi="Tahoma" w:cs="Tahoma"/>
          <w:b/>
        </w:rPr>
        <w:t>Visto</w:t>
      </w:r>
      <w:r>
        <w:rPr>
          <w:rFonts w:ascii="Tahoma" w:hAnsi="Tahoma" w:cs="Tahoma"/>
        </w:rPr>
        <w:t xml:space="preserve"> en sesión de fecha 14 </w:t>
      </w:r>
      <w:r w:rsidRPr="00F107B5">
        <w:rPr>
          <w:rFonts w:ascii="Tahoma" w:hAnsi="Tahoma" w:cs="Tahoma"/>
        </w:rPr>
        <w:t>de</w:t>
      </w:r>
      <w:r>
        <w:rPr>
          <w:rFonts w:ascii="Tahoma" w:hAnsi="Tahoma" w:cs="Tahoma"/>
        </w:rPr>
        <w:t xml:space="preserve"> noviembre </w:t>
      </w:r>
      <w:r w:rsidRPr="00F107B5">
        <w:rPr>
          <w:rFonts w:ascii="Tahoma" w:hAnsi="Tahoma" w:cs="Tahoma"/>
        </w:rPr>
        <w:t>de 2007 de la Tercera Sala del Tribunal de Contrataciones y Adquisiciones del Estado el Expediente N.°</w:t>
      </w:r>
      <w:r>
        <w:rPr>
          <w:rFonts w:ascii="Tahoma" w:hAnsi="Tahoma" w:cs="Tahoma"/>
        </w:rPr>
        <w:t xml:space="preserve"> 114</w:t>
      </w:r>
      <w:r w:rsidRPr="00F107B5">
        <w:rPr>
          <w:rFonts w:ascii="Tahoma" w:hAnsi="Tahoma" w:cs="Tahoma"/>
        </w:rPr>
        <w:t>.2007.TC, sobre el procedimiento de aplicación de sanción a</w:t>
      </w:r>
      <w:r>
        <w:rPr>
          <w:rFonts w:ascii="Tahoma" w:hAnsi="Tahoma" w:cs="Tahoma"/>
        </w:rPr>
        <w:t xml:space="preserve"> la empresa </w:t>
      </w:r>
      <w:proofErr w:type="spellStart"/>
      <w:r>
        <w:rPr>
          <w:rFonts w:ascii="Tahoma" w:hAnsi="Tahoma" w:cs="Tahoma"/>
        </w:rPr>
        <w:t>Multirollos</w:t>
      </w:r>
      <w:proofErr w:type="spellEnd"/>
      <w:r>
        <w:rPr>
          <w:rFonts w:ascii="Tahoma" w:hAnsi="Tahoma" w:cs="Tahoma"/>
        </w:rPr>
        <w:t xml:space="preserve"> S.A.C.</w:t>
      </w:r>
      <w:r w:rsidRPr="001C2AE2">
        <w:rPr>
          <w:rFonts w:ascii="Tahoma" w:hAnsi="Tahoma" w:cs="Tahoma"/>
        </w:rPr>
        <w:t>,</w:t>
      </w:r>
      <w:r w:rsidRPr="00F107B5">
        <w:rPr>
          <w:rFonts w:ascii="Tahoma" w:hAnsi="Tahoma" w:cs="Tahoma"/>
        </w:rPr>
        <w:t xml:space="preserve"> por</w:t>
      </w:r>
      <w:r>
        <w:rPr>
          <w:rFonts w:ascii="Tahoma" w:hAnsi="Tahoma" w:cs="Tahoma"/>
        </w:rPr>
        <w:t xml:space="preserve"> supuesta responsabilidad en la no suscripción injustificada del contrato respecto del Ítem N.º 01 de </w:t>
      </w:r>
      <w:r w:rsidRPr="00545365">
        <w:rPr>
          <w:rFonts w:ascii="Tahoma" w:hAnsi="Tahoma" w:cs="Tahoma"/>
        </w:rPr>
        <w:t xml:space="preserve">la </w:t>
      </w:r>
      <w:r>
        <w:rPr>
          <w:rFonts w:ascii="Tahoma" w:hAnsi="Tahoma" w:cs="Tahoma"/>
        </w:rPr>
        <w:t xml:space="preserve">Licitación Pública </w:t>
      </w:r>
      <w:r w:rsidRPr="005D6962">
        <w:rPr>
          <w:rFonts w:ascii="Tahoma" w:hAnsi="Tahoma" w:cs="Tahoma"/>
        </w:rPr>
        <w:t xml:space="preserve">№ </w:t>
      </w:r>
      <w:r>
        <w:rPr>
          <w:rFonts w:ascii="Tahoma" w:hAnsi="Tahoma" w:cs="Tahoma"/>
        </w:rPr>
        <w:t>0017</w:t>
      </w:r>
      <w:r w:rsidRPr="005D6962">
        <w:rPr>
          <w:rFonts w:ascii="Tahoma" w:hAnsi="Tahoma" w:cs="Tahoma"/>
        </w:rPr>
        <w:t>-200</w:t>
      </w:r>
      <w:r>
        <w:rPr>
          <w:rFonts w:ascii="Tahoma" w:hAnsi="Tahoma" w:cs="Tahoma"/>
        </w:rPr>
        <w:t>6</w:t>
      </w:r>
      <w:r w:rsidRPr="005D6962">
        <w:rPr>
          <w:rFonts w:ascii="Tahoma" w:hAnsi="Tahoma" w:cs="Tahoma"/>
        </w:rPr>
        <w:t>-</w:t>
      </w:r>
      <w:r>
        <w:rPr>
          <w:rFonts w:ascii="Tahoma" w:hAnsi="Tahoma" w:cs="Tahoma"/>
        </w:rPr>
        <w:t>BN</w:t>
      </w:r>
      <w:r w:rsidRPr="00545365">
        <w:rPr>
          <w:rFonts w:ascii="Tahoma" w:hAnsi="Tahoma" w:cs="Tahoma"/>
        </w:rPr>
        <w:t xml:space="preserve"> </w:t>
      </w:r>
      <w:r>
        <w:rPr>
          <w:rFonts w:ascii="Tahoma" w:hAnsi="Tahoma" w:cs="Tahoma"/>
        </w:rPr>
        <w:t>convocada  por el Banco de la Nación, para la adquisición de rollos para cajeros automáticos</w:t>
      </w:r>
      <w:r w:rsidRPr="00F107B5">
        <w:rPr>
          <w:rFonts w:ascii="Tahoma" w:hAnsi="Tahoma" w:cs="Tahoma"/>
        </w:rPr>
        <w:t>;</w:t>
      </w:r>
      <w:r w:rsidRPr="00F107B5">
        <w:rPr>
          <w:rFonts w:ascii="Tahoma" w:hAnsi="Tahoma" w:cs="Tahoma"/>
          <w:color w:val="000000"/>
        </w:rPr>
        <w:t xml:space="preserve"> y atendiendo a los siguientes:    </w:t>
      </w:r>
    </w:p>
    <w:p w:rsidR="003717D0" w:rsidRDefault="003717D0" w:rsidP="003717D0">
      <w:pPr>
        <w:pStyle w:val="Textoindependiente"/>
        <w:widowControl/>
        <w:tabs>
          <w:tab w:val="left" w:pos="540"/>
        </w:tabs>
        <w:suppressAutoHyphens w:val="0"/>
        <w:rPr>
          <w:rFonts w:cs="Tahoma"/>
          <w:sz w:val="20"/>
        </w:rPr>
      </w:pPr>
    </w:p>
    <w:p w:rsidR="003717D0" w:rsidRPr="00F107B5" w:rsidRDefault="003717D0" w:rsidP="003717D0">
      <w:pPr>
        <w:pStyle w:val="Textoindependiente"/>
        <w:widowControl/>
        <w:tabs>
          <w:tab w:val="left" w:pos="540"/>
        </w:tabs>
        <w:suppressAutoHyphens w:val="0"/>
        <w:rPr>
          <w:rFonts w:cs="Tahoma"/>
          <w:sz w:val="20"/>
        </w:rPr>
      </w:pPr>
    </w:p>
    <w:p w:rsidR="003717D0" w:rsidRDefault="003717D0" w:rsidP="003717D0">
      <w:pPr>
        <w:jc w:val="both"/>
        <w:rPr>
          <w:rFonts w:ascii="Tahoma" w:hAnsi="Tahoma" w:cs="Tahoma"/>
          <w:b/>
          <w:shadow/>
        </w:rPr>
      </w:pPr>
      <w:r w:rsidRPr="00F107B5">
        <w:rPr>
          <w:rFonts w:ascii="Tahoma" w:hAnsi="Tahoma" w:cs="Tahoma"/>
          <w:b/>
          <w:shadow/>
        </w:rPr>
        <w:t>ANTECEDENTES:</w:t>
      </w:r>
    </w:p>
    <w:p w:rsidR="003717D0" w:rsidRDefault="003717D0" w:rsidP="003717D0">
      <w:pPr>
        <w:pStyle w:val="Textoindependiente"/>
        <w:tabs>
          <w:tab w:val="left" w:pos="-2340"/>
        </w:tabs>
        <w:ind w:right="-315"/>
        <w:rPr>
          <w:rFonts w:cs="Tahoma"/>
          <w:sz w:val="20"/>
        </w:rPr>
      </w:pPr>
    </w:p>
    <w:p w:rsidR="003717D0" w:rsidRDefault="003717D0" w:rsidP="003717D0">
      <w:pPr>
        <w:pStyle w:val="Textoindependiente"/>
        <w:tabs>
          <w:tab w:val="left" w:pos="-2340"/>
        </w:tabs>
        <w:ind w:right="-315"/>
        <w:rPr>
          <w:rFonts w:cs="Tahoma"/>
          <w:sz w:val="20"/>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El 03</w:t>
      </w:r>
      <w:r w:rsidRPr="005D6962">
        <w:rPr>
          <w:rFonts w:ascii="Tahoma" w:hAnsi="Tahoma" w:cs="Tahoma"/>
        </w:rPr>
        <w:t xml:space="preserve"> de </w:t>
      </w:r>
      <w:r>
        <w:rPr>
          <w:rFonts w:ascii="Tahoma" w:hAnsi="Tahoma" w:cs="Tahoma"/>
        </w:rPr>
        <w:t>mayo de 2006</w:t>
      </w:r>
      <w:r w:rsidRPr="005D6962">
        <w:rPr>
          <w:rFonts w:ascii="Tahoma" w:hAnsi="Tahoma" w:cs="Tahoma"/>
        </w:rPr>
        <w:t xml:space="preserve">, el </w:t>
      </w:r>
      <w:r>
        <w:rPr>
          <w:rFonts w:ascii="Tahoma" w:hAnsi="Tahoma" w:cs="Tahoma"/>
        </w:rPr>
        <w:t>Banco de la Nación</w:t>
      </w:r>
      <w:r w:rsidRPr="005D6962">
        <w:rPr>
          <w:rFonts w:ascii="Tahoma" w:hAnsi="Tahoma" w:cs="Tahoma"/>
        </w:rPr>
        <w:t xml:space="preserve">, en lo sucesivo la Entidad, convocó a la </w:t>
      </w:r>
      <w:r>
        <w:rPr>
          <w:rFonts w:ascii="Tahoma" w:hAnsi="Tahoma" w:cs="Tahoma"/>
        </w:rPr>
        <w:t xml:space="preserve">Licitación Pública </w:t>
      </w:r>
      <w:r w:rsidRPr="005D6962">
        <w:rPr>
          <w:rFonts w:ascii="Tahoma" w:hAnsi="Tahoma" w:cs="Tahoma"/>
        </w:rPr>
        <w:t xml:space="preserve">№ </w:t>
      </w:r>
      <w:r>
        <w:rPr>
          <w:rFonts w:ascii="Tahoma" w:hAnsi="Tahoma" w:cs="Tahoma"/>
        </w:rPr>
        <w:t>0017</w:t>
      </w:r>
      <w:r w:rsidRPr="005D6962">
        <w:rPr>
          <w:rFonts w:ascii="Tahoma" w:hAnsi="Tahoma" w:cs="Tahoma"/>
        </w:rPr>
        <w:t>-200</w:t>
      </w:r>
      <w:r>
        <w:rPr>
          <w:rFonts w:ascii="Tahoma" w:hAnsi="Tahoma" w:cs="Tahoma"/>
        </w:rPr>
        <w:t>6</w:t>
      </w:r>
      <w:r w:rsidRPr="005D6962">
        <w:rPr>
          <w:rFonts w:ascii="Tahoma" w:hAnsi="Tahoma" w:cs="Tahoma"/>
        </w:rPr>
        <w:t>-</w:t>
      </w:r>
      <w:r>
        <w:rPr>
          <w:rFonts w:ascii="Tahoma" w:hAnsi="Tahoma" w:cs="Tahoma"/>
        </w:rPr>
        <w:t>BN</w:t>
      </w:r>
      <w:r w:rsidRPr="005D6962">
        <w:rPr>
          <w:rFonts w:ascii="Tahoma" w:hAnsi="Tahoma" w:cs="Tahoma"/>
        </w:rPr>
        <w:t xml:space="preserve"> para la </w:t>
      </w:r>
      <w:r>
        <w:rPr>
          <w:rFonts w:ascii="Tahoma" w:hAnsi="Tahoma" w:cs="Tahoma"/>
        </w:rPr>
        <w:t xml:space="preserve">adquisición de rollos para cajeros automáticos, por un valor referencial ascendente a S/. 815, 077.00 </w:t>
      </w:r>
      <w:r w:rsidRPr="005D6962">
        <w:rPr>
          <w:rFonts w:ascii="Tahoma" w:hAnsi="Tahoma" w:cs="Tahoma"/>
        </w:rPr>
        <w:t xml:space="preserve"> </w:t>
      </w:r>
      <w:r>
        <w:rPr>
          <w:rFonts w:ascii="Tahoma" w:hAnsi="Tahoma" w:cs="Tahoma"/>
        </w:rPr>
        <w:t xml:space="preserve">(Ochocientos quince mil setenta y siete y 00/100 Nuevos Soles). </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 xml:space="preserve">Con fecha 14 de junio de 2006 se realizó el acto público de presentación de propuestas y apertura de sobres, y luego de la evaluación respectiva realizada por el Comité Especial, mediante Acto público  el 24 de julio de 2006, se procedió a otorgar la Buena Pro respecto del </w:t>
      </w:r>
      <w:proofErr w:type="spellStart"/>
      <w:r>
        <w:rPr>
          <w:rFonts w:ascii="Tahoma" w:hAnsi="Tahoma" w:cs="Tahoma"/>
        </w:rPr>
        <w:t>item</w:t>
      </w:r>
      <w:proofErr w:type="spellEnd"/>
      <w:r>
        <w:rPr>
          <w:rFonts w:ascii="Tahoma" w:hAnsi="Tahoma" w:cs="Tahoma"/>
        </w:rPr>
        <w:t xml:space="preserve"> N</w:t>
      </w:r>
      <w:proofErr w:type="gramStart"/>
      <w:r>
        <w:rPr>
          <w:rFonts w:ascii="Tahoma" w:hAnsi="Tahoma" w:cs="Tahoma"/>
        </w:rPr>
        <w:t>.º</w:t>
      </w:r>
      <w:proofErr w:type="gramEnd"/>
      <w:r>
        <w:rPr>
          <w:rFonts w:ascii="Tahoma" w:hAnsi="Tahoma" w:cs="Tahoma"/>
        </w:rPr>
        <w:t xml:space="preserve"> 01: Rollo para cajero NCR 5870/5877/5884, a favor de la empresa </w:t>
      </w:r>
      <w:proofErr w:type="spellStart"/>
      <w:r>
        <w:rPr>
          <w:rFonts w:ascii="Tahoma" w:hAnsi="Tahoma" w:cs="Tahoma"/>
        </w:rPr>
        <w:t>Multirollos</w:t>
      </w:r>
      <w:proofErr w:type="spellEnd"/>
      <w:r>
        <w:rPr>
          <w:rFonts w:ascii="Tahoma" w:hAnsi="Tahoma" w:cs="Tahoma"/>
        </w:rPr>
        <w:t xml:space="preserve"> S.A.C., en adelante el Postor.</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 xml:space="preserve">El  02 de agosto de 2006, el consorcio </w:t>
      </w:r>
      <w:proofErr w:type="spellStart"/>
      <w:r>
        <w:rPr>
          <w:rFonts w:ascii="Tahoma" w:hAnsi="Tahoma" w:cs="Tahoma"/>
        </w:rPr>
        <w:t>Rotapel</w:t>
      </w:r>
      <w:proofErr w:type="spellEnd"/>
      <w:r>
        <w:rPr>
          <w:rFonts w:ascii="Tahoma" w:hAnsi="Tahoma" w:cs="Tahoma"/>
        </w:rPr>
        <w:t xml:space="preserve"> S.A. – </w:t>
      </w:r>
      <w:proofErr w:type="spellStart"/>
      <w:r>
        <w:rPr>
          <w:rFonts w:ascii="Tahoma" w:hAnsi="Tahoma" w:cs="Tahoma"/>
        </w:rPr>
        <w:t>Schroth</w:t>
      </w:r>
      <w:proofErr w:type="spellEnd"/>
      <w:r>
        <w:rPr>
          <w:rFonts w:ascii="Tahoma" w:hAnsi="Tahoma" w:cs="Tahoma"/>
        </w:rPr>
        <w:t xml:space="preserve"> Corporación Papelera S.A.C. y la empresa Formularios Peruanos S.A.C. presentaron recurso de apelación contra  el otorgamiento de la buena pro respecto del </w:t>
      </w:r>
      <w:proofErr w:type="spellStart"/>
      <w:r>
        <w:rPr>
          <w:rFonts w:ascii="Tahoma" w:hAnsi="Tahoma" w:cs="Tahoma"/>
        </w:rPr>
        <w:t>Item</w:t>
      </w:r>
      <w:proofErr w:type="spellEnd"/>
      <w:r>
        <w:rPr>
          <w:rFonts w:ascii="Tahoma" w:hAnsi="Tahoma" w:cs="Tahoma"/>
        </w:rPr>
        <w:t xml:space="preserve"> N.º 01. Mediante Resolución de Gerencia General de EF/92.2000 N. 118-2006, la Entidad declaró infundados los citados recursos de apelación y se confirmó la Buena Pro.</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El 21 de agosto de 2006, se interpuso recurso de revisión contra la citada Resolución de Gerencia General ante el Tribunal de Contrataciones y Adquisiciones del Estado, siendo resuelta mediante Resolución N.º 869-2006-TC-SU de fecha 24 de octubre de 2006, que declaró infundado el recurso de revisión interpuesto y dando por agotada la vía administrativa.</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Mediante Carta EF/92.2621 N.º 651-2006 de fecha 27 de octubre de 2006, se le comunicó al Postor ganador de la Buena Pro el consentimiento de dicho acto, y se le otorgó el plazo de máximo de diez días para que se apersone para la respectiva suscripción del contrato, dicho plazo venció el 13 de noviembre de 2006.</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lastRenderedPageBreak/>
        <w:t>No habiéndose presentado el Postor para la respectiva firma del contrato, mediante Carta  EF/92.2621 N. 695 2006 de fecha 13 de noviembre de 2006 y notificada el 15 de noviembre de 2006, se le comunicó al Postor la perdida de la buena pro.</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Mediante escrito de fecha 22 de enero de 2007, la Entidad comunicó a este órgano colegiado los hechos expuestos; y en virtud a ello, con decreto de fecha 24 de enero de 2007 se dispuso el inicio del procedimiento administrativo sancionador contra el Postor, otorgándole el plazo de diez días para que se presente sus descargos respectivos.</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Con escrito de fecha 16 de febrero de 2007, dentro del plazo otorgado, el Postor cumplió con presentar sus descargos en los siguientes términos:</w:t>
      </w:r>
    </w:p>
    <w:p w:rsidR="003717D0" w:rsidRDefault="003717D0" w:rsidP="003717D0">
      <w:pPr>
        <w:tabs>
          <w:tab w:val="left" w:pos="180"/>
        </w:tabs>
        <w:jc w:val="both"/>
        <w:rPr>
          <w:rFonts w:ascii="Tahoma" w:hAnsi="Tahoma" w:cs="Tahoma"/>
        </w:rPr>
      </w:pPr>
    </w:p>
    <w:p w:rsidR="003717D0" w:rsidRDefault="003717D0" w:rsidP="003717D0">
      <w:pPr>
        <w:numPr>
          <w:ilvl w:val="0"/>
          <w:numId w:val="2"/>
        </w:numPr>
        <w:tabs>
          <w:tab w:val="left" w:pos="180"/>
        </w:tabs>
        <w:jc w:val="both"/>
        <w:rPr>
          <w:rFonts w:ascii="Tahoma" w:hAnsi="Tahoma" w:cs="Tahoma"/>
        </w:rPr>
      </w:pPr>
      <w:r>
        <w:rPr>
          <w:rFonts w:ascii="Tahoma" w:hAnsi="Tahoma" w:cs="Tahoma"/>
        </w:rPr>
        <w:t>En virtud a la citación formulada por la Entidad para la suscripción del contrato, el Postor solicitó a la Gerencia de Registros del CONSUCODE la Constancia de no estar inhabilitado para contratar con el Estado, la cual fue emitida el 07 de noviembre de 2006 mediante la Constancia N.º 19560.</w:t>
      </w:r>
    </w:p>
    <w:p w:rsidR="003717D0" w:rsidRDefault="003717D0" w:rsidP="003717D0">
      <w:pPr>
        <w:numPr>
          <w:ilvl w:val="0"/>
          <w:numId w:val="2"/>
        </w:numPr>
        <w:tabs>
          <w:tab w:val="left" w:pos="180"/>
        </w:tabs>
        <w:jc w:val="both"/>
        <w:rPr>
          <w:rFonts w:ascii="Tahoma" w:hAnsi="Tahoma" w:cs="Tahoma"/>
        </w:rPr>
      </w:pPr>
      <w:r>
        <w:rPr>
          <w:rFonts w:ascii="Tahoma" w:hAnsi="Tahoma" w:cs="Tahoma"/>
        </w:rPr>
        <w:t>EL 09 de noviembre de 2006 la Compañía de Seguros de Crédito y Garantías (SECREX), emitió a favor del Postor las garantías por el fiel cumplimiento y el monto diferencial de su propuesta  a favor de la Entidad, por un monto ascendente a S/. 59 367.67 Nuevos Soles y S/.43, 720.82 Nuevos Soles respectivamente.</w:t>
      </w:r>
    </w:p>
    <w:p w:rsidR="003717D0" w:rsidRDefault="003717D0" w:rsidP="003717D0">
      <w:pPr>
        <w:numPr>
          <w:ilvl w:val="0"/>
          <w:numId w:val="2"/>
        </w:numPr>
        <w:tabs>
          <w:tab w:val="left" w:pos="180"/>
        </w:tabs>
        <w:jc w:val="both"/>
        <w:rPr>
          <w:rFonts w:ascii="Tahoma" w:hAnsi="Tahoma" w:cs="Tahoma"/>
        </w:rPr>
      </w:pPr>
      <w:r>
        <w:rPr>
          <w:rFonts w:ascii="Tahoma" w:hAnsi="Tahoma" w:cs="Tahoma"/>
        </w:rPr>
        <w:t>Antes de la fecha límite para la suscripción del contrato el Postor contaba con la documentación requerida para el referido acto.</w:t>
      </w:r>
    </w:p>
    <w:p w:rsidR="003717D0" w:rsidRDefault="003717D0" w:rsidP="003717D0">
      <w:pPr>
        <w:numPr>
          <w:ilvl w:val="0"/>
          <w:numId w:val="2"/>
        </w:numPr>
        <w:tabs>
          <w:tab w:val="left" w:pos="180"/>
        </w:tabs>
        <w:jc w:val="both"/>
        <w:rPr>
          <w:rFonts w:ascii="Tahoma" w:hAnsi="Tahoma" w:cs="Tahoma"/>
        </w:rPr>
      </w:pPr>
      <w:r>
        <w:rPr>
          <w:rFonts w:ascii="Tahoma" w:hAnsi="Tahoma" w:cs="Tahoma"/>
        </w:rPr>
        <w:t xml:space="preserve">Con fecha 13  de noviembre de 2006, alrededor de las tres de la tarde, a dos cuadras de las oficinas de la empresa </w:t>
      </w:r>
      <w:proofErr w:type="spellStart"/>
      <w:r>
        <w:rPr>
          <w:rFonts w:ascii="Tahoma" w:hAnsi="Tahoma" w:cs="Tahoma"/>
        </w:rPr>
        <w:t>Multirollos</w:t>
      </w:r>
      <w:proofErr w:type="spellEnd"/>
      <w:r>
        <w:rPr>
          <w:rFonts w:ascii="Tahoma" w:hAnsi="Tahoma" w:cs="Tahoma"/>
        </w:rPr>
        <w:t xml:space="preserve"> S.A.C. sito en </w:t>
      </w:r>
      <w:proofErr w:type="spellStart"/>
      <w:r>
        <w:rPr>
          <w:rFonts w:ascii="Tahoma" w:hAnsi="Tahoma" w:cs="Tahoma"/>
        </w:rPr>
        <w:t>Mz.</w:t>
      </w:r>
      <w:proofErr w:type="spellEnd"/>
      <w:r>
        <w:rPr>
          <w:rFonts w:ascii="Tahoma" w:hAnsi="Tahoma" w:cs="Tahoma"/>
        </w:rPr>
        <w:t xml:space="preserve"> E Lote 4, Urbanización San Francisco, distrito de Ate, el Jefe de Ventas de la empresa Sr. Cesar </w:t>
      </w:r>
      <w:proofErr w:type="spellStart"/>
      <w:r>
        <w:rPr>
          <w:rFonts w:ascii="Tahoma" w:hAnsi="Tahoma" w:cs="Tahoma"/>
        </w:rPr>
        <w:t>Ramirez</w:t>
      </w:r>
      <w:proofErr w:type="spellEnd"/>
      <w:r>
        <w:rPr>
          <w:rFonts w:ascii="Tahoma" w:hAnsi="Tahoma" w:cs="Tahoma"/>
        </w:rPr>
        <w:t xml:space="preserve"> Bazán, que se dirigía a la Entidad para la firma del contrato fue asaltado por dos sujetos armados que le arrebataron, entre otros objetos personales, un maletín que contenía los documentos recabados para la suscripción del vínculo contractual.</w:t>
      </w:r>
    </w:p>
    <w:p w:rsidR="003717D0" w:rsidRPr="005D6962" w:rsidRDefault="003717D0" w:rsidP="003717D0">
      <w:pPr>
        <w:tabs>
          <w:tab w:val="left" w:pos="180"/>
          <w:tab w:val="num" w:pos="54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 xml:space="preserve">Al haber cumplido el Postor con presentar sus descargos, mediante decreto de fecha 13 de marzo de 2007 se dispuso </w:t>
      </w:r>
      <w:proofErr w:type="spellStart"/>
      <w:r>
        <w:rPr>
          <w:rFonts w:ascii="Tahoma" w:hAnsi="Tahoma" w:cs="Tahoma"/>
        </w:rPr>
        <w:t>al</w:t>
      </w:r>
      <w:proofErr w:type="spellEnd"/>
      <w:r>
        <w:rPr>
          <w:rFonts w:ascii="Tahoma" w:hAnsi="Tahoma" w:cs="Tahoma"/>
        </w:rPr>
        <w:t xml:space="preserve"> remisión del expediente administrativo a la Segunda Sala del Tribunal</w:t>
      </w:r>
      <w:r w:rsidRPr="005D6962">
        <w:rPr>
          <w:rFonts w:ascii="Tahoma" w:hAnsi="Tahoma" w:cs="Tahoma"/>
        </w:rPr>
        <w:t>, constituida mediante Resolución N.º 1</w:t>
      </w:r>
      <w:r>
        <w:rPr>
          <w:rFonts w:ascii="Tahoma" w:hAnsi="Tahoma" w:cs="Tahoma"/>
        </w:rPr>
        <w:t>24-2007-CONSUCODE/PRE de fecha 09</w:t>
      </w:r>
      <w:r w:rsidRPr="005D6962">
        <w:rPr>
          <w:rFonts w:ascii="Tahoma" w:hAnsi="Tahoma" w:cs="Tahoma"/>
        </w:rPr>
        <w:t>.0</w:t>
      </w:r>
      <w:r>
        <w:rPr>
          <w:rFonts w:ascii="Tahoma" w:hAnsi="Tahoma" w:cs="Tahoma"/>
        </w:rPr>
        <w:t>3</w:t>
      </w:r>
      <w:r w:rsidRPr="005D6962">
        <w:rPr>
          <w:rFonts w:ascii="Tahoma" w:hAnsi="Tahoma" w:cs="Tahoma"/>
        </w:rPr>
        <w:t>.2007, para que resuelva.</w:t>
      </w:r>
    </w:p>
    <w:p w:rsidR="003717D0" w:rsidRDefault="003717D0" w:rsidP="003717D0">
      <w:pPr>
        <w:tabs>
          <w:tab w:val="left" w:pos="180"/>
        </w:tabs>
        <w:jc w:val="both"/>
        <w:rPr>
          <w:rFonts w:ascii="Tahoma" w:hAnsi="Tahoma" w:cs="Tahoma"/>
        </w:rPr>
      </w:pPr>
    </w:p>
    <w:p w:rsidR="003717D0" w:rsidRPr="00421355"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M</w:t>
      </w:r>
      <w:r w:rsidRPr="005D6962">
        <w:rPr>
          <w:rFonts w:ascii="Tahoma" w:hAnsi="Tahoma" w:cs="Tahoma"/>
        </w:rPr>
        <w:t>ediante Resolución N</w:t>
      </w:r>
      <w:proofErr w:type="gramStart"/>
      <w:r w:rsidRPr="005D6962">
        <w:rPr>
          <w:rFonts w:ascii="Tahoma" w:hAnsi="Tahoma" w:cs="Tahoma"/>
        </w:rPr>
        <w:t>.º</w:t>
      </w:r>
      <w:proofErr w:type="gramEnd"/>
      <w:r w:rsidRPr="005D6962">
        <w:rPr>
          <w:rFonts w:ascii="Tahoma" w:hAnsi="Tahoma" w:cs="Tahoma"/>
        </w:rPr>
        <w:t xml:space="preserve"> 177-2007-CONSUCODE/PRE de fecha 06.04.2007,</w:t>
      </w:r>
      <w:r>
        <w:rPr>
          <w:rFonts w:ascii="Tahoma" w:hAnsi="Tahoma" w:cs="Tahoma"/>
        </w:rPr>
        <w:t xml:space="preserve"> se constituyó la Tercera Sala del Tribunal, por lo que</w:t>
      </w:r>
      <w:r w:rsidRPr="005D6962">
        <w:rPr>
          <w:rFonts w:ascii="Tahoma" w:hAnsi="Tahoma" w:cs="Tahoma"/>
        </w:rPr>
        <w:t xml:space="preserve"> </w:t>
      </w:r>
      <w:r>
        <w:rPr>
          <w:rFonts w:ascii="Tahoma" w:hAnsi="Tahoma" w:cs="Tahoma"/>
        </w:rPr>
        <w:t xml:space="preserve">mediante decreto de fecha 26 de abril de 2007, se dispuso la remisión del expediente administrativo </w:t>
      </w:r>
      <w:r w:rsidRPr="005D6962">
        <w:rPr>
          <w:rFonts w:ascii="Tahoma" w:hAnsi="Tahoma" w:cs="Tahoma"/>
        </w:rPr>
        <w:t xml:space="preserve">para que </w:t>
      </w:r>
      <w:r>
        <w:rPr>
          <w:rFonts w:ascii="Tahoma" w:hAnsi="Tahoma" w:cs="Tahoma"/>
        </w:rPr>
        <w:t>emita pronunciamiento</w:t>
      </w:r>
      <w:r w:rsidRPr="005D6962">
        <w:rPr>
          <w:rFonts w:ascii="Tahoma" w:hAnsi="Tahoma" w:cs="Tahoma"/>
        </w:rPr>
        <w:t>.</w:t>
      </w:r>
    </w:p>
    <w:p w:rsidR="003717D0" w:rsidRDefault="003717D0" w:rsidP="003717D0">
      <w:pPr>
        <w:tabs>
          <w:tab w:val="left" w:pos="180"/>
        </w:tabs>
        <w:jc w:val="both"/>
        <w:rPr>
          <w:rFonts w:ascii="Tahoma" w:hAnsi="Tahoma" w:cs="Tahoma"/>
          <w:b/>
          <w:u w:val="single"/>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Con Decreto de fecha 18 de octubre de 2007, el Tribunal requirió información adicional a la Entidad a fin  de que se sirva informar si el Postor a quien se le otorgó la Buena Pro del Ítem N</w:t>
      </w:r>
      <w:proofErr w:type="gramStart"/>
      <w:r>
        <w:rPr>
          <w:rFonts w:ascii="Tahoma" w:hAnsi="Tahoma" w:cs="Tahoma"/>
        </w:rPr>
        <w:t>.º</w:t>
      </w:r>
      <w:proofErr w:type="gramEnd"/>
      <w:r>
        <w:rPr>
          <w:rFonts w:ascii="Tahoma" w:hAnsi="Tahoma" w:cs="Tahoma"/>
        </w:rPr>
        <w:t xml:space="preserve"> 01 del proceso de selección Licitación Pública N.º 017-2006-BN, comunicó oportunamente que en la fecha para la suscripción del contrato (13.11.2006) fue víctima de un robo que le imposibilitó suscribir dicho contrato, conforme se advierte de la denuncia Policial  que adjunta.</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Mediante Carta N</w:t>
      </w:r>
      <w:proofErr w:type="gramStart"/>
      <w:r>
        <w:rPr>
          <w:rFonts w:ascii="Tahoma" w:hAnsi="Tahoma" w:cs="Tahoma"/>
        </w:rPr>
        <w:t>.º</w:t>
      </w:r>
      <w:proofErr w:type="gramEnd"/>
      <w:r>
        <w:rPr>
          <w:rFonts w:ascii="Tahoma" w:hAnsi="Tahoma" w:cs="Tahoma"/>
        </w:rPr>
        <w:t xml:space="preserve"> EF.92.2621 N.º 476-2007 de fecha 26 de octubre de 2007, la Entidad informó que el Postor no comunicó sobre el hecho acaecido que le imposibilitó la firma del contrato.</w:t>
      </w:r>
    </w:p>
    <w:p w:rsidR="003717D0" w:rsidRDefault="003717D0" w:rsidP="003717D0">
      <w:pPr>
        <w:tabs>
          <w:tab w:val="left" w:pos="180"/>
        </w:tabs>
        <w:jc w:val="both"/>
        <w:rPr>
          <w:rFonts w:ascii="Tahoma" w:hAnsi="Tahoma" w:cs="Tahoma"/>
        </w:rPr>
      </w:pPr>
    </w:p>
    <w:p w:rsidR="003717D0" w:rsidRDefault="003717D0" w:rsidP="003717D0">
      <w:pPr>
        <w:numPr>
          <w:ilvl w:val="0"/>
          <w:numId w:val="1"/>
        </w:numPr>
        <w:tabs>
          <w:tab w:val="clear" w:pos="720"/>
          <w:tab w:val="left" w:pos="180"/>
          <w:tab w:val="num" w:pos="540"/>
        </w:tabs>
        <w:ind w:left="540" w:hanging="540"/>
        <w:jc w:val="both"/>
        <w:rPr>
          <w:rFonts w:ascii="Tahoma" w:hAnsi="Tahoma" w:cs="Tahoma"/>
        </w:rPr>
      </w:pPr>
      <w:r>
        <w:rPr>
          <w:rFonts w:ascii="Tahoma" w:hAnsi="Tahoma" w:cs="Tahoma"/>
        </w:rPr>
        <w:t>El 31 de octubre de 2007 el Postor presentó argumentos a ser considerados al momento de resolver.</w:t>
      </w:r>
    </w:p>
    <w:p w:rsidR="003717D0" w:rsidRDefault="003717D0" w:rsidP="003717D0">
      <w:pPr>
        <w:pStyle w:val="NormalWeb"/>
        <w:tabs>
          <w:tab w:val="num" w:pos="900"/>
        </w:tabs>
        <w:spacing w:before="0" w:beforeAutospacing="0" w:after="0" w:afterAutospacing="0"/>
        <w:ind w:left="360"/>
        <w:jc w:val="both"/>
        <w:rPr>
          <w:rFonts w:ascii="Tahoma" w:hAnsi="Tahoma" w:cs="Tahoma"/>
          <w:sz w:val="20"/>
          <w:szCs w:val="20"/>
        </w:rPr>
      </w:pPr>
    </w:p>
    <w:p w:rsidR="003717D0" w:rsidRDefault="003717D0" w:rsidP="003717D0">
      <w:pPr>
        <w:pStyle w:val="NormalWeb"/>
        <w:tabs>
          <w:tab w:val="num" w:pos="900"/>
        </w:tabs>
        <w:spacing w:before="0" w:beforeAutospacing="0" w:after="0" w:afterAutospacing="0"/>
        <w:ind w:left="360"/>
        <w:jc w:val="both"/>
        <w:rPr>
          <w:rFonts w:ascii="Tahoma" w:hAnsi="Tahoma" w:cs="Tahoma"/>
          <w:sz w:val="20"/>
          <w:szCs w:val="20"/>
        </w:rPr>
      </w:pPr>
    </w:p>
    <w:p w:rsidR="003717D0" w:rsidRDefault="003717D0" w:rsidP="003717D0">
      <w:pPr>
        <w:jc w:val="both"/>
        <w:rPr>
          <w:rFonts w:ascii="Tahoma" w:hAnsi="Tahoma" w:cs="Tahoma"/>
          <w:b/>
          <w:shadow/>
        </w:rPr>
      </w:pPr>
      <w:r w:rsidRPr="00F107B5">
        <w:rPr>
          <w:rFonts w:ascii="Tahoma" w:hAnsi="Tahoma" w:cs="Tahoma"/>
          <w:b/>
          <w:shadow/>
        </w:rPr>
        <w:lastRenderedPageBreak/>
        <w:t>FUNDAMENTACIÓN:</w:t>
      </w:r>
    </w:p>
    <w:p w:rsidR="003717D0" w:rsidRPr="006F4F4C" w:rsidRDefault="003717D0" w:rsidP="003717D0">
      <w:pPr>
        <w:jc w:val="both"/>
        <w:rPr>
          <w:rFonts w:ascii="Tahoma" w:hAnsi="Tahoma" w:cs="Tahoma"/>
          <w:b/>
          <w:u w:val="single"/>
        </w:rPr>
      </w:pPr>
    </w:p>
    <w:p w:rsidR="003717D0" w:rsidRPr="006F4F4C" w:rsidRDefault="003717D0" w:rsidP="003717D0">
      <w:pPr>
        <w:numPr>
          <w:ilvl w:val="0"/>
          <w:numId w:val="3"/>
        </w:numPr>
        <w:tabs>
          <w:tab w:val="clear" w:pos="360"/>
          <w:tab w:val="num" w:pos="540"/>
        </w:tabs>
        <w:ind w:left="540" w:hanging="540"/>
        <w:jc w:val="both"/>
        <w:rPr>
          <w:rFonts w:ascii="Tahoma" w:hAnsi="Tahoma" w:cs="Tahoma"/>
        </w:rPr>
      </w:pPr>
      <w:r w:rsidRPr="006F4F4C">
        <w:rPr>
          <w:rFonts w:ascii="Tahoma" w:hAnsi="Tahoma" w:cs="Tahoma"/>
        </w:rPr>
        <w:t xml:space="preserve">El presente procedimiento administrativo está referido a la supuesta responsabilidad de la empresa </w:t>
      </w:r>
      <w:proofErr w:type="spellStart"/>
      <w:r>
        <w:rPr>
          <w:rFonts w:ascii="Tahoma" w:hAnsi="Tahoma" w:cs="Tahoma"/>
          <w:b/>
        </w:rPr>
        <w:t>Multirollos</w:t>
      </w:r>
      <w:proofErr w:type="spellEnd"/>
      <w:r>
        <w:rPr>
          <w:rFonts w:ascii="Tahoma" w:hAnsi="Tahoma" w:cs="Tahoma"/>
          <w:b/>
        </w:rPr>
        <w:t xml:space="preserve"> S.A.C</w:t>
      </w:r>
      <w:r w:rsidRPr="00683398">
        <w:rPr>
          <w:rFonts w:ascii="Tahoma" w:hAnsi="Tahoma" w:cs="Tahoma"/>
          <w:b/>
        </w:rPr>
        <w:t>.</w:t>
      </w:r>
      <w:r>
        <w:rPr>
          <w:rFonts w:ascii="Tahoma" w:hAnsi="Tahoma" w:cs="Tahoma"/>
        </w:rPr>
        <w:t xml:space="preserve"> </w:t>
      </w:r>
      <w:r w:rsidRPr="006F4F4C">
        <w:rPr>
          <w:rFonts w:ascii="Tahoma" w:hAnsi="Tahoma" w:cs="Tahoma"/>
        </w:rPr>
        <w:t xml:space="preserve">por no suscribir </w:t>
      </w:r>
      <w:r>
        <w:rPr>
          <w:rFonts w:ascii="Tahoma" w:hAnsi="Tahoma" w:cs="Tahoma"/>
        </w:rPr>
        <w:t xml:space="preserve">injustificadamente el contrato derivado </w:t>
      </w:r>
      <w:r w:rsidRPr="006F4F4C">
        <w:rPr>
          <w:rFonts w:ascii="Tahoma" w:hAnsi="Tahoma" w:cs="Tahoma"/>
        </w:rPr>
        <w:t xml:space="preserve">de la </w:t>
      </w:r>
      <w:r>
        <w:rPr>
          <w:rFonts w:ascii="Tahoma" w:hAnsi="Tahoma" w:cs="Tahoma"/>
        </w:rPr>
        <w:t xml:space="preserve">Licitación Pública </w:t>
      </w:r>
      <w:r w:rsidRPr="005D6962">
        <w:rPr>
          <w:rFonts w:ascii="Tahoma" w:hAnsi="Tahoma" w:cs="Tahoma"/>
        </w:rPr>
        <w:t xml:space="preserve">№ </w:t>
      </w:r>
      <w:r>
        <w:rPr>
          <w:rFonts w:ascii="Tahoma" w:hAnsi="Tahoma" w:cs="Tahoma"/>
        </w:rPr>
        <w:t>0017</w:t>
      </w:r>
      <w:r w:rsidRPr="005D6962">
        <w:rPr>
          <w:rFonts w:ascii="Tahoma" w:hAnsi="Tahoma" w:cs="Tahoma"/>
        </w:rPr>
        <w:t>-200</w:t>
      </w:r>
      <w:r>
        <w:rPr>
          <w:rFonts w:ascii="Tahoma" w:hAnsi="Tahoma" w:cs="Tahoma"/>
        </w:rPr>
        <w:t>6</w:t>
      </w:r>
      <w:r w:rsidRPr="005D6962">
        <w:rPr>
          <w:rFonts w:ascii="Tahoma" w:hAnsi="Tahoma" w:cs="Tahoma"/>
        </w:rPr>
        <w:t>-</w:t>
      </w:r>
      <w:r>
        <w:rPr>
          <w:rFonts w:ascii="Tahoma" w:hAnsi="Tahoma" w:cs="Tahoma"/>
        </w:rPr>
        <w:t>BN</w:t>
      </w:r>
      <w:r w:rsidRPr="006F4F4C">
        <w:rPr>
          <w:rFonts w:ascii="Tahoma" w:hAnsi="Tahoma" w:cs="Tahoma"/>
        </w:rPr>
        <w:t>, infracción tipificada en el numeral 1) del artículo 294 del Reglamento de la Ley de Contrataciones y Adquisiciones del Estado</w:t>
      </w:r>
      <w:r>
        <w:rPr>
          <w:rStyle w:val="Refdenotaalpie"/>
          <w:rFonts w:ascii="Tahoma" w:hAnsi="Tahoma" w:cs="Tahoma"/>
        </w:rPr>
        <w:footnoteReference w:id="2"/>
      </w:r>
      <w:r w:rsidRPr="006F4F4C">
        <w:rPr>
          <w:rFonts w:ascii="Tahoma" w:hAnsi="Tahoma" w:cs="Tahoma"/>
        </w:rPr>
        <w:t>, aprobado por Decreto Supremo N.° 084-2004-PCM, en adelante el Reglamento, norma vigente al suscitarse los hechos.</w:t>
      </w:r>
    </w:p>
    <w:p w:rsidR="003717D0" w:rsidRPr="006F4F4C" w:rsidRDefault="003717D0" w:rsidP="003717D0">
      <w:pPr>
        <w:jc w:val="both"/>
        <w:rPr>
          <w:rFonts w:ascii="Tahoma" w:hAnsi="Tahoma" w:cs="Tahoma"/>
        </w:rPr>
      </w:pPr>
    </w:p>
    <w:p w:rsidR="003717D0" w:rsidRPr="006F4F4C" w:rsidRDefault="003717D0" w:rsidP="003717D0">
      <w:pPr>
        <w:numPr>
          <w:ilvl w:val="0"/>
          <w:numId w:val="3"/>
        </w:numPr>
        <w:tabs>
          <w:tab w:val="clear" w:pos="360"/>
          <w:tab w:val="num" w:pos="540"/>
        </w:tabs>
        <w:ind w:left="540" w:hanging="540"/>
        <w:jc w:val="both"/>
        <w:rPr>
          <w:rFonts w:ascii="Tahoma" w:hAnsi="Tahoma" w:cs="Tahoma"/>
        </w:rPr>
      </w:pPr>
      <w:r w:rsidRPr="006F4F4C">
        <w:rPr>
          <w:rFonts w:ascii="Tahoma" w:hAnsi="Tahoma" w:cs="Tahoma"/>
        </w:rPr>
        <w:t xml:space="preserve">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 Asimismo, </w:t>
      </w:r>
      <w:r w:rsidRPr="006F4F4C">
        <w:rPr>
          <w:rFonts w:ascii="Tahoma" w:hAnsi="Tahoma" w:cs="Tahoma"/>
          <w:lang w:val="es-ES_tradnl"/>
        </w:rPr>
        <w:t>el citado dispositivo reglamentario precisa que, e</w:t>
      </w:r>
      <w:r w:rsidRPr="006F4F4C">
        <w:rPr>
          <w:rFonts w:ascii="Tahoma" w:hAnsi="Tahoma" w:cs="Tahoma"/>
        </w:rPr>
        <w:t>n caso de que el postor no se presente dentro del plazo otorgado, perderá automáticamente la buena pro, sin perjuicio de la imposición administrativamente aplicable.</w:t>
      </w:r>
    </w:p>
    <w:p w:rsidR="003717D0" w:rsidRPr="006F4F4C" w:rsidRDefault="003717D0" w:rsidP="003717D0">
      <w:pPr>
        <w:jc w:val="both"/>
        <w:rPr>
          <w:rFonts w:ascii="Tahoma" w:hAnsi="Tahoma" w:cs="Tahoma"/>
        </w:rPr>
      </w:pPr>
    </w:p>
    <w:p w:rsidR="003717D0" w:rsidRPr="006F4F4C" w:rsidRDefault="003717D0" w:rsidP="003717D0">
      <w:pPr>
        <w:ind w:left="540"/>
        <w:jc w:val="both"/>
        <w:rPr>
          <w:rFonts w:ascii="Tahoma" w:hAnsi="Tahoma" w:cs="Tahoma"/>
          <w:lang w:val="es-ES_tradnl"/>
        </w:rPr>
      </w:pPr>
      <w:r w:rsidRPr="006F4F4C">
        <w:rPr>
          <w:rFonts w:ascii="Tahoma" w:hAnsi="Tahoma" w:cs="Tahoma"/>
          <w:lang w:val="es-ES_tradnl"/>
        </w:rPr>
        <w:t xml:space="preserve">El cumplimiento de este procedimiento es </w:t>
      </w:r>
      <w:r w:rsidRPr="006F4F4C">
        <w:rPr>
          <w:rFonts w:ascii="Tahoma" w:hAnsi="Tahoma" w:cs="Tahoma"/>
          <w:b/>
          <w:i/>
          <w:lang w:val="es-ES_tradnl"/>
        </w:rPr>
        <w:t>condición necesaria</w:t>
      </w:r>
      <w:r w:rsidRPr="006F4F4C">
        <w:rPr>
          <w:rFonts w:ascii="Tahoma" w:hAnsi="Tahoma" w:cs="Tahoma"/>
          <w:lang w:val="es-ES_tradnl"/>
        </w:rPr>
        <w:t xml:space="preserve"> para evaluar la existencia de eventuales responsabilidades por la comisión de la infracción tipificada en el numeral 1) del artículo 205 del Reglamento.</w:t>
      </w:r>
    </w:p>
    <w:p w:rsidR="003717D0" w:rsidRPr="006F4F4C" w:rsidRDefault="003717D0" w:rsidP="003717D0">
      <w:pPr>
        <w:jc w:val="both"/>
        <w:rPr>
          <w:rFonts w:ascii="Tahoma" w:hAnsi="Tahoma" w:cs="Tahoma"/>
        </w:rPr>
      </w:pPr>
    </w:p>
    <w:p w:rsidR="003717D0" w:rsidRPr="006F4F4C" w:rsidRDefault="003717D0" w:rsidP="003717D0">
      <w:pPr>
        <w:numPr>
          <w:ilvl w:val="0"/>
          <w:numId w:val="3"/>
        </w:numPr>
        <w:tabs>
          <w:tab w:val="clear" w:pos="360"/>
          <w:tab w:val="num" w:pos="540"/>
        </w:tabs>
        <w:ind w:left="540" w:hanging="540"/>
        <w:jc w:val="both"/>
        <w:rPr>
          <w:rFonts w:ascii="Tahoma" w:hAnsi="Tahoma" w:cs="Tahoma"/>
          <w:lang w:val="es-ES_tradnl"/>
        </w:rPr>
      </w:pPr>
      <w:r w:rsidRPr="006F4F4C">
        <w:rPr>
          <w:rFonts w:ascii="Tahoma" w:hAnsi="Tahoma" w:cs="Tahoma"/>
          <w:lang w:val="es-ES_tradnl"/>
        </w:rPr>
        <w:t>En ese sentido, corresponde determinar de manera previa, si la Entidad ha seguido el debido procedimiento para suscribir el contrato. En tal sentido, cabe señalar que el día a partir del cual se empieza a computar los diez (10) días hábiles  para que el Postor Adjudicatario se apersone a suscribir el contrato a la Entidad, debe iniciarse a partir del día siguiente que toma conocimiento del documento que contiene la citación para que se apersone a suscribir el mismo. El artículo 203 del Reglamento es imperativo al otorgar dicho plazo, el cual deber ser respetado por las Entidades, más aún, tratándose de un plazo que ha sido otorgado en beneficio de los administrados.</w:t>
      </w:r>
    </w:p>
    <w:p w:rsidR="003717D0" w:rsidRPr="006F4F4C" w:rsidRDefault="003717D0" w:rsidP="003717D0">
      <w:pPr>
        <w:jc w:val="both"/>
        <w:rPr>
          <w:rFonts w:ascii="Tahoma" w:hAnsi="Tahoma" w:cs="Tahoma"/>
          <w:lang w:val="es-ES_tradnl"/>
        </w:rPr>
      </w:pPr>
    </w:p>
    <w:p w:rsidR="003717D0" w:rsidRDefault="003717D0" w:rsidP="003717D0">
      <w:pPr>
        <w:numPr>
          <w:ilvl w:val="0"/>
          <w:numId w:val="3"/>
        </w:numPr>
        <w:tabs>
          <w:tab w:val="clear" w:pos="360"/>
          <w:tab w:val="num" w:pos="540"/>
        </w:tabs>
        <w:ind w:left="540" w:hanging="540"/>
        <w:jc w:val="both"/>
        <w:rPr>
          <w:rFonts w:ascii="Tahoma" w:hAnsi="Tahoma" w:cs="Tahoma"/>
        </w:rPr>
      </w:pPr>
      <w:r w:rsidRPr="006F4F4C">
        <w:rPr>
          <w:rFonts w:ascii="Tahoma" w:hAnsi="Tahoma" w:cs="Tahoma"/>
          <w:lang w:val="es-ES_tradnl"/>
        </w:rPr>
        <w:t>En el presente caso, la Entidad señaló que mediante</w:t>
      </w:r>
      <w:r w:rsidRPr="006F4F4C">
        <w:rPr>
          <w:rFonts w:ascii="Tahoma" w:hAnsi="Tahoma" w:cs="Tahoma"/>
        </w:rPr>
        <w:t xml:space="preserve"> Carta</w:t>
      </w:r>
      <w:r>
        <w:rPr>
          <w:rFonts w:ascii="Tahoma" w:hAnsi="Tahoma" w:cs="Tahoma"/>
        </w:rPr>
        <w:t xml:space="preserve"> N</w:t>
      </w:r>
      <w:proofErr w:type="gramStart"/>
      <w:r>
        <w:rPr>
          <w:rFonts w:ascii="Tahoma" w:hAnsi="Tahoma" w:cs="Tahoma"/>
        </w:rPr>
        <w:t>.º</w:t>
      </w:r>
      <w:proofErr w:type="gramEnd"/>
      <w:r>
        <w:rPr>
          <w:rFonts w:ascii="Tahoma" w:hAnsi="Tahoma" w:cs="Tahoma"/>
        </w:rPr>
        <w:t xml:space="preserve"> </w:t>
      </w:r>
      <w:r w:rsidRPr="006F4F4C">
        <w:rPr>
          <w:rFonts w:ascii="Tahoma" w:hAnsi="Tahoma" w:cs="Tahoma"/>
        </w:rPr>
        <w:t xml:space="preserve"> </w:t>
      </w:r>
      <w:r>
        <w:rPr>
          <w:rFonts w:ascii="Tahoma" w:hAnsi="Tahoma" w:cs="Tahoma"/>
        </w:rPr>
        <w:t>EF/92.2621 Nº 651-2006</w:t>
      </w:r>
      <w:r w:rsidRPr="006F4F4C">
        <w:rPr>
          <w:rStyle w:val="Refdenotaalpie"/>
          <w:rFonts w:ascii="Tahoma" w:hAnsi="Tahoma" w:cs="Tahoma"/>
        </w:rPr>
        <w:footnoteReference w:id="3"/>
      </w:r>
      <w:r w:rsidRPr="006F4F4C">
        <w:rPr>
          <w:rFonts w:ascii="Tahoma" w:hAnsi="Tahoma" w:cs="Tahoma"/>
        </w:rPr>
        <w:t xml:space="preserve"> de fecha </w:t>
      </w:r>
      <w:r>
        <w:rPr>
          <w:rFonts w:ascii="Tahoma" w:hAnsi="Tahoma" w:cs="Tahoma"/>
        </w:rPr>
        <w:t>26 de octubre de 2007</w:t>
      </w:r>
      <w:r w:rsidRPr="006F4F4C">
        <w:rPr>
          <w:rFonts w:ascii="Tahoma" w:hAnsi="Tahoma" w:cs="Tahoma"/>
          <w:lang w:val="es-ES_tradnl"/>
        </w:rPr>
        <w:t xml:space="preserve"> y notificada</w:t>
      </w:r>
      <w:r>
        <w:rPr>
          <w:rFonts w:ascii="Tahoma" w:hAnsi="Tahoma" w:cs="Tahoma"/>
          <w:lang w:val="es-ES_tradnl"/>
        </w:rPr>
        <w:t>s el 27</w:t>
      </w:r>
      <w:r w:rsidRPr="006F4F4C">
        <w:rPr>
          <w:rFonts w:ascii="Tahoma" w:hAnsi="Tahoma" w:cs="Tahoma"/>
          <w:lang w:val="es-ES_tradnl"/>
        </w:rPr>
        <w:t xml:space="preserve"> de </w:t>
      </w:r>
      <w:r>
        <w:rPr>
          <w:rFonts w:ascii="Tahoma" w:hAnsi="Tahoma" w:cs="Tahoma"/>
          <w:lang w:val="es-ES_tradnl"/>
        </w:rPr>
        <w:t>octubre de 2006</w:t>
      </w:r>
      <w:r w:rsidRPr="006F4F4C">
        <w:rPr>
          <w:rFonts w:ascii="Tahoma" w:hAnsi="Tahoma" w:cs="Tahoma"/>
          <w:lang w:val="es-ES_tradnl"/>
        </w:rPr>
        <w:t xml:space="preserve">, se citó al Postor para la respectiva firma del contrato, el cual a pesar de dicha comunicación debidamente diligenciada, no se apersonó para la realización del </w:t>
      </w:r>
      <w:r w:rsidRPr="006F4F4C">
        <w:rPr>
          <w:rFonts w:ascii="Tahoma" w:hAnsi="Tahoma" w:cs="Tahoma"/>
        </w:rPr>
        <w:t xml:space="preserve">acto jurídico contractual, por lo que la </w:t>
      </w:r>
      <w:r>
        <w:rPr>
          <w:rFonts w:ascii="Tahoma" w:hAnsi="Tahoma" w:cs="Tahoma"/>
        </w:rPr>
        <w:t>Entidad le revocó la buena pro.</w:t>
      </w:r>
    </w:p>
    <w:p w:rsidR="003717D0" w:rsidRDefault="003717D0" w:rsidP="003717D0">
      <w:pPr>
        <w:jc w:val="both"/>
        <w:rPr>
          <w:rFonts w:ascii="Tahoma" w:hAnsi="Tahoma" w:cs="Tahoma"/>
        </w:rPr>
      </w:pPr>
    </w:p>
    <w:p w:rsidR="003717D0" w:rsidRPr="00A42BBF" w:rsidRDefault="003717D0" w:rsidP="003717D0">
      <w:pPr>
        <w:numPr>
          <w:ilvl w:val="0"/>
          <w:numId w:val="3"/>
        </w:numPr>
        <w:tabs>
          <w:tab w:val="clear" w:pos="360"/>
          <w:tab w:val="num" w:pos="540"/>
        </w:tabs>
        <w:ind w:left="540" w:hanging="540"/>
        <w:jc w:val="both"/>
        <w:rPr>
          <w:rFonts w:ascii="Tahoma" w:hAnsi="Tahoma" w:cs="Tahoma"/>
        </w:rPr>
      </w:pPr>
      <w:r w:rsidRPr="00D52AF9">
        <w:rPr>
          <w:rFonts w:ascii="Tahoma" w:hAnsi="Tahoma" w:cs="Tahoma"/>
        </w:rPr>
        <w:t>E</w:t>
      </w:r>
      <w:r w:rsidRPr="00D52AF9">
        <w:rPr>
          <w:rFonts w:ascii="Tahoma" w:hAnsi="Tahoma" w:cs="Tahoma"/>
          <w:lang w:val="es-ES_tradnl"/>
        </w:rPr>
        <w:t xml:space="preserve">n razón a lo expuesto, habiéndose verificado que la </w:t>
      </w:r>
      <w:r w:rsidRPr="00D52AF9">
        <w:rPr>
          <w:rFonts w:ascii="Tahoma" w:hAnsi="Tahoma" w:cs="Tahoma"/>
        </w:rPr>
        <w:t xml:space="preserve">Entidad cumplió las formalidades y procedimientos para la suscripción del contrato, </w:t>
      </w:r>
      <w:r w:rsidRPr="00D52AF9">
        <w:rPr>
          <w:rFonts w:ascii="Tahoma" w:hAnsi="Tahoma" w:cs="Tahoma"/>
          <w:lang w:val="es-ES_tradnl"/>
        </w:rPr>
        <w:t>corresponde a este Colegiado determinar si dicha omisión resultó justificada o no, en tanto que solamente la no suscripción que obedece a causas injustificadas atribuibles al</w:t>
      </w:r>
      <w:r>
        <w:rPr>
          <w:rFonts w:ascii="Tahoma" w:hAnsi="Tahoma" w:cs="Tahoma"/>
          <w:lang w:val="es-ES_tradnl"/>
        </w:rPr>
        <w:t xml:space="preserve"> Postor</w:t>
      </w:r>
      <w:r w:rsidRPr="00D52AF9">
        <w:rPr>
          <w:rFonts w:ascii="Tahoma" w:hAnsi="Tahoma" w:cs="Tahoma"/>
          <w:lang w:val="es-ES_tradnl"/>
        </w:rPr>
        <w:t xml:space="preserve"> es sancionable administrativamente.  </w:t>
      </w:r>
    </w:p>
    <w:p w:rsidR="003717D0" w:rsidRDefault="003717D0" w:rsidP="003717D0">
      <w:pPr>
        <w:jc w:val="both"/>
        <w:rPr>
          <w:rFonts w:ascii="Tahoma" w:hAnsi="Tahoma" w:cs="Tahoma"/>
        </w:rPr>
      </w:pPr>
    </w:p>
    <w:p w:rsidR="003717D0" w:rsidRPr="00A42BBF" w:rsidRDefault="003717D0" w:rsidP="003717D0">
      <w:pPr>
        <w:numPr>
          <w:ilvl w:val="0"/>
          <w:numId w:val="3"/>
        </w:numPr>
        <w:tabs>
          <w:tab w:val="clear" w:pos="360"/>
          <w:tab w:val="num" w:pos="540"/>
        </w:tabs>
        <w:ind w:left="540" w:hanging="540"/>
        <w:jc w:val="both"/>
        <w:rPr>
          <w:rFonts w:ascii="Tahoma" w:hAnsi="Tahoma" w:cs="Tahoma"/>
        </w:rPr>
      </w:pPr>
      <w:r w:rsidRPr="00D52AF9">
        <w:rPr>
          <w:rFonts w:ascii="Tahoma" w:hAnsi="Tahoma" w:cs="Tahoma"/>
          <w:lang w:val="es-ES_tradnl"/>
        </w:rPr>
        <w:t>En relación a la falta de suscripción del contrato, existe la presunción legal</w:t>
      </w:r>
      <w:r w:rsidRPr="00D52AF9">
        <w:rPr>
          <w:rStyle w:val="Refdenotaalpie"/>
          <w:rFonts w:ascii="Tahoma" w:hAnsi="Tahoma" w:cs="Tahoma"/>
          <w:lang w:val="es-ES_tradnl"/>
        </w:rPr>
        <w:footnoteReference w:id="4"/>
      </w:r>
      <w:r w:rsidRPr="00D52AF9">
        <w:rPr>
          <w:rFonts w:ascii="Tahoma" w:hAnsi="Tahoma" w:cs="Tahoma"/>
          <w:lang w:val="es-ES_tradnl"/>
        </w:rPr>
        <w:t xml:space="preserve"> de que ésta es producto de la falta de diligencia del</w:t>
      </w:r>
      <w:r>
        <w:rPr>
          <w:rFonts w:ascii="Tahoma" w:hAnsi="Tahoma" w:cs="Tahoma"/>
          <w:lang w:val="es-ES_tradnl"/>
        </w:rPr>
        <w:t xml:space="preserve"> Postor</w:t>
      </w:r>
      <w:r w:rsidRPr="00D52AF9">
        <w:rPr>
          <w:rFonts w:ascii="Tahoma" w:hAnsi="Tahoma" w:cs="Tahoma"/>
          <w:lang w:val="es-ES_tradnl"/>
        </w:rPr>
        <w:t xml:space="preserve"> adjudicado con la buena pro, lo cual implica que es su deber </w:t>
      </w:r>
      <w:r w:rsidRPr="00D52AF9">
        <w:rPr>
          <w:rFonts w:ascii="Tahoma" w:hAnsi="Tahoma" w:cs="Tahoma"/>
          <w:lang w:val="es-ES_tradnl"/>
        </w:rPr>
        <w:lastRenderedPageBreak/>
        <w:t>demostrar lo contrario. Es decir, acreditar que, no obstante haber actuado con diligencia ordinaria le fue imposible suscribir el contrato respectivo debido a factores ajenos a su voluntad por haber mediado caso fortuito o fuerza mayor.</w:t>
      </w:r>
    </w:p>
    <w:p w:rsidR="003717D0" w:rsidRDefault="003717D0" w:rsidP="003717D0">
      <w:pPr>
        <w:jc w:val="both"/>
        <w:rPr>
          <w:rFonts w:ascii="Tahoma" w:hAnsi="Tahoma" w:cs="Tahoma"/>
        </w:rPr>
      </w:pPr>
    </w:p>
    <w:p w:rsidR="003717D0" w:rsidRDefault="003717D0" w:rsidP="003717D0">
      <w:pPr>
        <w:numPr>
          <w:ilvl w:val="0"/>
          <w:numId w:val="3"/>
        </w:numPr>
        <w:tabs>
          <w:tab w:val="clear" w:pos="360"/>
          <w:tab w:val="num" w:pos="540"/>
        </w:tabs>
        <w:ind w:left="540" w:hanging="540"/>
        <w:jc w:val="both"/>
        <w:rPr>
          <w:rFonts w:ascii="Tahoma" w:hAnsi="Tahoma" w:cs="Tahoma"/>
        </w:rPr>
      </w:pPr>
      <w:r w:rsidRPr="00D52AF9">
        <w:rPr>
          <w:rFonts w:ascii="Tahoma" w:hAnsi="Tahoma" w:cs="Tahoma"/>
        </w:rPr>
        <w:t>A este respecto, es conveniente señalar que el caso fortuito o la fuerza mayor constituyen figuras previstas por el ordenamiento jurídico y son definidas, por lo general, como sucesos o acontecimientos inopinados e imprevistos o cuyo resultado, siendo previsibles, no han podido evitarse o resistirse</w:t>
      </w:r>
      <w:r w:rsidRPr="00D52AF9">
        <w:rPr>
          <w:rStyle w:val="Refdenotaalpie"/>
          <w:rFonts w:ascii="Tahoma" w:hAnsi="Tahoma" w:cs="Tahoma"/>
        </w:rPr>
        <w:footnoteReference w:id="5"/>
      </w:r>
      <w:r w:rsidRPr="00D52AF9">
        <w:rPr>
          <w:rFonts w:ascii="Tahoma" w:hAnsi="Tahoma" w:cs="Tahoma"/>
        </w:rPr>
        <w:t>.</w:t>
      </w:r>
    </w:p>
    <w:p w:rsidR="003717D0" w:rsidRDefault="003717D0" w:rsidP="003717D0">
      <w:pPr>
        <w:jc w:val="both"/>
        <w:rPr>
          <w:rFonts w:ascii="Tahoma" w:hAnsi="Tahoma" w:cs="Tahoma"/>
        </w:rPr>
      </w:pPr>
    </w:p>
    <w:p w:rsidR="003717D0" w:rsidRDefault="003717D0" w:rsidP="003717D0">
      <w:pPr>
        <w:pStyle w:val="Textoindependiente"/>
        <w:ind w:left="540"/>
        <w:rPr>
          <w:rFonts w:cs="Tahoma"/>
          <w:sz w:val="20"/>
        </w:rPr>
      </w:pPr>
      <w:r w:rsidRPr="00D52AF9">
        <w:rPr>
          <w:rFonts w:cs="Tahoma"/>
          <w:sz w:val="20"/>
        </w:rPr>
        <w:t>Doctrinariamente se puede distinguir ambas figuras, asimilándose al caso fortuito los acontecimientos que provienen de la naturaleza, en tanto que la fuerza mayor es atribuida a los que provienen del hombre, pero en ambos casos la característica común es que el acontecimiento se encuentra fuera de la voluntad y del control de las partes contratantes.</w:t>
      </w:r>
    </w:p>
    <w:p w:rsidR="003717D0" w:rsidRPr="00D52AF9" w:rsidRDefault="003717D0" w:rsidP="003717D0">
      <w:pPr>
        <w:pStyle w:val="Textoindependiente"/>
        <w:ind w:left="540"/>
        <w:rPr>
          <w:rFonts w:cs="Tahoma"/>
          <w:sz w:val="20"/>
        </w:rPr>
      </w:pPr>
    </w:p>
    <w:p w:rsidR="003717D0" w:rsidRDefault="003717D0" w:rsidP="003717D0">
      <w:pPr>
        <w:ind w:left="540" w:hanging="540"/>
        <w:jc w:val="both"/>
        <w:rPr>
          <w:rFonts w:ascii="Tahoma" w:hAnsi="Tahoma" w:cs="Tahoma"/>
          <w:b/>
          <w:i/>
        </w:rPr>
      </w:pPr>
      <w:r w:rsidRPr="00D52AF9">
        <w:rPr>
          <w:rFonts w:ascii="Tahoma" w:hAnsi="Tahoma" w:cs="Tahoma"/>
        </w:rPr>
        <w:tab/>
        <w:t xml:space="preserve">De acuerdo a ello, </w:t>
      </w:r>
      <w:r>
        <w:rPr>
          <w:rFonts w:ascii="Tahoma" w:hAnsi="Tahoma" w:cs="Tahoma"/>
        </w:rPr>
        <w:t>en virtud a la documentación obrante en autos, se ha determinado que en la fecha establecida para la firma del contrato,</w:t>
      </w:r>
      <w:r w:rsidRPr="009172DD">
        <w:rPr>
          <w:rFonts w:ascii="Tahoma" w:hAnsi="Tahoma" w:cs="Tahoma"/>
        </w:rPr>
        <w:t xml:space="preserve"> </w:t>
      </w:r>
      <w:r>
        <w:rPr>
          <w:rFonts w:ascii="Tahoma" w:hAnsi="Tahoma" w:cs="Tahoma"/>
        </w:rPr>
        <w:t xml:space="preserve">es decir el 13 de noviembre de 2006, el representante del Postor fue víctima de un robo, situación que se corrobora de la copia certificada de la denuncia signada con el número de ocurrencia Nº 7459 que obra en la dependencia de la Comisaría de Salamanca, en el que se señala expresamente la </w:t>
      </w:r>
      <w:proofErr w:type="spellStart"/>
      <w:r>
        <w:rPr>
          <w:rFonts w:ascii="Tahoma" w:hAnsi="Tahoma" w:cs="Tahoma"/>
        </w:rPr>
        <w:t>perdida</w:t>
      </w:r>
      <w:proofErr w:type="spellEnd"/>
      <w:r>
        <w:rPr>
          <w:rFonts w:ascii="Tahoma" w:hAnsi="Tahoma" w:cs="Tahoma"/>
        </w:rPr>
        <w:t xml:space="preserve"> de un portafolio que contenía entre otros, </w:t>
      </w:r>
      <w:r w:rsidRPr="009172DD">
        <w:rPr>
          <w:rFonts w:ascii="Tahoma" w:hAnsi="Tahoma" w:cs="Tahoma"/>
          <w:b/>
          <w:i/>
        </w:rPr>
        <w:t xml:space="preserve">carta de garantía de fiel cumplimiento, carta de garantía por </w:t>
      </w:r>
      <w:proofErr w:type="spellStart"/>
      <w:r w:rsidRPr="009172DD">
        <w:rPr>
          <w:rFonts w:ascii="Tahoma" w:hAnsi="Tahoma" w:cs="Tahoma"/>
          <w:b/>
          <w:i/>
        </w:rPr>
        <w:t>le</w:t>
      </w:r>
      <w:proofErr w:type="spellEnd"/>
      <w:r w:rsidRPr="009172DD">
        <w:rPr>
          <w:rFonts w:ascii="Tahoma" w:hAnsi="Tahoma" w:cs="Tahoma"/>
          <w:b/>
          <w:i/>
        </w:rPr>
        <w:t xml:space="preserve"> monto diferencial de la propuesta, documento de registros públicos, constancias de no estar inhabilitado para contratar con el Estado emitida por el CONSUCODE, Documento Nacional de Identidad, etc.</w:t>
      </w:r>
      <w:r>
        <w:rPr>
          <w:rFonts w:ascii="Tahoma" w:hAnsi="Tahoma" w:cs="Tahoma"/>
          <w:b/>
          <w:i/>
        </w:rPr>
        <w:t xml:space="preserve"> </w:t>
      </w:r>
      <w:r>
        <w:rPr>
          <w:rStyle w:val="Refdenotaalpie"/>
          <w:rFonts w:ascii="Tahoma" w:hAnsi="Tahoma" w:cs="Tahoma"/>
          <w:b/>
          <w:i/>
        </w:rPr>
        <w:footnoteReference w:id="6"/>
      </w:r>
    </w:p>
    <w:p w:rsidR="003717D0" w:rsidRDefault="003717D0" w:rsidP="003717D0">
      <w:pPr>
        <w:ind w:left="540" w:hanging="540"/>
        <w:jc w:val="both"/>
        <w:rPr>
          <w:rFonts w:ascii="Tahoma" w:hAnsi="Tahoma" w:cs="Tahoma"/>
          <w:b/>
          <w:i/>
        </w:rPr>
      </w:pPr>
    </w:p>
    <w:p w:rsidR="003717D0" w:rsidRDefault="003717D0" w:rsidP="003717D0">
      <w:pPr>
        <w:ind w:left="540" w:hanging="540"/>
        <w:jc w:val="both"/>
        <w:rPr>
          <w:rFonts w:ascii="Tahoma" w:hAnsi="Tahoma" w:cs="Tahoma"/>
        </w:rPr>
      </w:pPr>
      <w:r>
        <w:rPr>
          <w:rFonts w:ascii="Tahoma" w:hAnsi="Tahoma" w:cs="Tahoma"/>
          <w:b/>
          <w:i/>
        </w:rPr>
        <w:tab/>
      </w:r>
      <w:r>
        <w:rPr>
          <w:rFonts w:ascii="Tahoma" w:hAnsi="Tahoma" w:cs="Tahoma"/>
        </w:rPr>
        <w:t>En función a la documentación obrante en el expediente administrativo, se ha corroborado mediante la verificación de la copias presentadas de las garantías aludidas, que ambas fueron obtenidas con fecha 09 de noviembre de 2006</w:t>
      </w:r>
      <w:r>
        <w:rPr>
          <w:rStyle w:val="Refdenotaalpie"/>
          <w:rFonts w:ascii="Tahoma" w:hAnsi="Tahoma" w:cs="Tahoma"/>
        </w:rPr>
        <w:footnoteReference w:id="7"/>
      </w:r>
      <w:r>
        <w:rPr>
          <w:rFonts w:ascii="Tahoma" w:hAnsi="Tahoma" w:cs="Tahoma"/>
        </w:rPr>
        <w:t>, dentro del plazo otorgado para la respectiva firma del contrato con la Entidad, así como la constancia emitida por el CONSUCODE  respecto a no estar inhabilitado para contratar con el Estado de fecha 07 de noviembre de 2007</w:t>
      </w:r>
      <w:r>
        <w:rPr>
          <w:rStyle w:val="Refdenotaalpie"/>
          <w:rFonts w:ascii="Tahoma" w:hAnsi="Tahoma" w:cs="Tahoma"/>
        </w:rPr>
        <w:footnoteReference w:id="8"/>
      </w:r>
      <w:r>
        <w:rPr>
          <w:rFonts w:ascii="Tahoma" w:hAnsi="Tahoma" w:cs="Tahoma"/>
        </w:rPr>
        <w:t>.</w:t>
      </w:r>
    </w:p>
    <w:p w:rsidR="003717D0" w:rsidRDefault="003717D0" w:rsidP="003717D0">
      <w:pPr>
        <w:ind w:left="540" w:hanging="540"/>
        <w:jc w:val="both"/>
        <w:rPr>
          <w:rFonts w:ascii="Tahoma" w:hAnsi="Tahoma" w:cs="Tahoma"/>
        </w:rPr>
      </w:pPr>
    </w:p>
    <w:p w:rsidR="003717D0" w:rsidRDefault="003717D0" w:rsidP="003717D0">
      <w:pPr>
        <w:ind w:left="540" w:hanging="540"/>
        <w:jc w:val="both"/>
        <w:rPr>
          <w:rFonts w:ascii="Tahoma" w:hAnsi="Tahoma" w:cs="Tahoma"/>
        </w:rPr>
      </w:pPr>
      <w:r>
        <w:rPr>
          <w:rFonts w:ascii="Tahoma" w:hAnsi="Tahoma" w:cs="Tahoma"/>
        </w:rPr>
        <w:tab/>
        <w:t>Estos hechos permiten determinar la debida diligencia del Postor para recabar la documentación exigida antes del vencimiento del plazo otorgado para dicho acto, y que la no realización de esa conducta se debió a un hecho ajeno a la voluntad del Postor</w:t>
      </w:r>
      <w:r w:rsidRPr="00D52AF9">
        <w:rPr>
          <w:rFonts w:ascii="Tahoma" w:hAnsi="Tahoma" w:cs="Tahoma"/>
        </w:rPr>
        <w:t xml:space="preserve">; </w:t>
      </w:r>
      <w:r>
        <w:rPr>
          <w:rFonts w:ascii="Tahoma" w:hAnsi="Tahoma" w:cs="Tahoma"/>
        </w:rPr>
        <w:t xml:space="preserve">situación </w:t>
      </w:r>
      <w:r w:rsidRPr="00D52AF9">
        <w:rPr>
          <w:rFonts w:ascii="Tahoma" w:hAnsi="Tahoma" w:cs="Tahoma"/>
        </w:rPr>
        <w:t xml:space="preserve">que </w:t>
      </w:r>
      <w:r>
        <w:rPr>
          <w:rFonts w:ascii="Tahoma" w:hAnsi="Tahoma" w:cs="Tahoma"/>
        </w:rPr>
        <w:t xml:space="preserve">se constituye como un </w:t>
      </w:r>
      <w:r w:rsidRPr="00D52AF9">
        <w:rPr>
          <w:rFonts w:ascii="Tahoma" w:hAnsi="Tahoma" w:cs="Tahoma"/>
        </w:rPr>
        <w:t xml:space="preserve">caso fortuito o fuerza mayor, a cuyo efecto debe tenerse en cuenta lo dispuesto por el Código Civil, cuerpo normativo aplicable de manera supletoria al caso que nos ocupa. En este sentido, </w:t>
      </w:r>
      <w:r>
        <w:rPr>
          <w:rFonts w:ascii="Tahoma" w:hAnsi="Tahoma" w:cs="Tahoma"/>
        </w:rPr>
        <w:t>el texto normativo antes acotado</w:t>
      </w:r>
      <w:r w:rsidRPr="00D52AF9">
        <w:rPr>
          <w:rFonts w:ascii="Tahoma" w:hAnsi="Tahoma" w:cs="Tahoma"/>
        </w:rPr>
        <w:t xml:space="preserve"> establece en su artículo 1315 que el caso fortuito o la fuerza mayor es la causa no imputable, consistente en un evento extraordinario, imprevisible e irresistible, que impide la ejecución de la obligación o determina su cumplimiento parcial, tardío o defectuoso.</w:t>
      </w:r>
    </w:p>
    <w:p w:rsidR="003717D0" w:rsidRDefault="003717D0" w:rsidP="003717D0">
      <w:pPr>
        <w:jc w:val="both"/>
        <w:rPr>
          <w:rFonts w:ascii="Tahoma" w:hAnsi="Tahoma" w:cs="Tahoma"/>
        </w:rPr>
      </w:pPr>
    </w:p>
    <w:p w:rsidR="003717D0" w:rsidRPr="00F868B6" w:rsidRDefault="003717D0" w:rsidP="003717D0">
      <w:pPr>
        <w:numPr>
          <w:ilvl w:val="0"/>
          <w:numId w:val="3"/>
        </w:numPr>
        <w:tabs>
          <w:tab w:val="clear" w:pos="360"/>
          <w:tab w:val="num" w:pos="540"/>
        </w:tabs>
        <w:ind w:left="540" w:hanging="540"/>
        <w:jc w:val="both"/>
        <w:rPr>
          <w:rFonts w:ascii="Tahoma" w:hAnsi="Tahoma" w:cs="Tahoma"/>
          <w:lang w:val="es-ES_tradnl"/>
        </w:rPr>
      </w:pPr>
      <w:r w:rsidRPr="00D52AF9">
        <w:rPr>
          <w:rFonts w:ascii="Tahoma" w:hAnsi="Tahoma" w:cs="Tahoma"/>
        </w:rPr>
        <w:t>Teniendo en cuenta todo lo expuesto, y habiéndose acreditado durante el trámite del presente procedimiento administrativo que</w:t>
      </w:r>
      <w:r>
        <w:rPr>
          <w:rFonts w:ascii="Tahoma" w:hAnsi="Tahoma" w:cs="Tahoma"/>
        </w:rPr>
        <w:t xml:space="preserve"> el Postor</w:t>
      </w:r>
      <w:r w:rsidRPr="00D52AF9">
        <w:rPr>
          <w:rFonts w:ascii="Tahoma" w:hAnsi="Tahoma" w:cs="Tahoma"/>
        </w:rPr>
        <w:t xml:space="preserve"> actuó de manera diligente</w:t>
      </w:r>
      <w:r>
        <w:rPr>
          <w:rFonts w:ascii="Tahoma" w:hAnsi="Tahoma" w:cs="Tahoma"/>
        </w:rPr>
        <w:t xml:space="preserve"> al gestionar y obtener de </w:t>
      </w:r>
      <w:r>
        <w:rPr>
          <w:rFonts w:ascii="Tahoma" w:hAnsi="Tahoma" w:cs="Tahoma"/>
        </w:rPr>
        <w:lastRenderedPageBreak/>
        <w:t>manera oportuna los documentos necesarios para la suscripción de contrato</w:t>
      </w:r>
      <w:r w:rsidRPr="00D52AF9">
        <w:rPr>
          <w:rFonts w:ascii="Tahoma" w:hAnsi="Tahoma" w:cs="Tahoma"/>
        </w:rPr>
        <w:t>, este Colegiado concluye</w:t>
      </w:r>
      <w:r w:rsidRPr="00D52AF9">
        <w:rPr>
          <w:rFonts w:ascii="Tahoma" w:hAnsi="Tahoma" w:cs="Tahoma"/>
          <w:lang w:val="es-ES_tradnl"/>
        </w:rPr>
        <w:t xml:space="preserve"> que la no </w:t>
      </w:r>
      <w:r>
        <w:rPr>
          <w:rFonts w:ascii="Tahoma" w:hAnsi="Tahoma" w:cs="Tahoma"/>
          <w:lang w:val="es-ES_tradnl"/>
        </w:rPr>
        <w:t xml:space="preserve">realización de dicho acto </w:t>
      </w:r>
      <w:r w:rsidRPr="00D52AF9">
        <w:rPr>
          <w:rFonts w:ascii="Tahoma" w:hAnsi="Tahoma" w:cs="Tahoma"/>
          <w:lang w:val="es-ES_tradnl"/>
        </w:rPr>
        <w:t>obedeció a un hecho justificado que exime de responsabilidad al</w:t>
      </w:r>
      <w:r>
        <w:rPr>
          <w:rFonts w:ascii="Tahoma" w:hAnsi="Tahoma" w:cs="Tahoma"/>
          <w:lang w:val="es-ES_tradnl"/>
        </w:rPr>
        <w:t xml:space="preserve"> Postor</w:t>
      </w:r>
      <w:r w:rsidRPr="00D52AF9">
        <w:rPr>
          <w:rFonts w:ascii="Tahoma" w:hAnsi="Tahoma" w:cs="Tahoma"/>
          <w:lang w:val="es-ES_tradnl"/>
        </w:rPr>
        <w:t xml:space="preserve">, por lo que no corresponde </w:t>
      </w:r>
      <w:r w:rsidRPr="00D52AF9">
        <w:rPr>
          <w:rFonts w:ascii="Tahoma" w:hAnsi="Tahoma" w:cs="Tahoma"/>
        </w:rPr>
        <w:t>imponer</w:t>
      </w:r>
      <w:r>
        <w:rPr>
          <w:rFonts w:ascii="Tahoma" w:hAnsi="Tahoma" w:cs="Tahoma"/>
        </w:rPr>
        <w:t>le</w:t>
      </w:r>
      <w:r w:rsidRPr="00D52AF9">
        <w:rPr>
          <w:rFonts w:ascii="Tahoma" w:hAnsi="Tahoma" w:cs="Tahoma"/>
        </w:rPr>
        <w:t xml:space="preserve"> sanción administrativa respecto de los hechos imputados.</w:t>
      </w:r>
    </w:p>
    <w:p w:rsidR="003717D0" w:rsidRPr="008A15CB" w:rsidRDefault="003717D0" w:rsidP="003717D0">
      <w:pPr>
        <w:ind w:left="900" w:hanging="720"/>
        <w:jc w:val="both"/>
        <w:rPr>
          <w:rFonts w:ascii="Tahoma" w:hAnsi="Tahoma" w:cs="Tahoma"/>
          <w:lang w:val="es-ES_tradnl"/>
        </w:rPr>
      </w:pPr>
    </w:p>
    <w:p w:rsidR="003717D0" w:rsidRPr="00F107B5" w:rsidRDefault="003717D0" w:rsidP="003717D0">
      <w:pPr>
        <w:jc w:val="both"/>
        <w:rPr>
          <w:rFonts w:ascii="Tahoma" w:hAnsi="Tahoma" w:cs="Tahoma"/>
        </w:rPr>
      </w:pPr>
      <w:r w:rsidRPr="00F107B5">
        <w:rPr>
          <w:rFonts w:ascii="Tahoma" w:hAnsi="Tahoma" w:cs="Tahoma"/>
        </w:rPr>
        <w:t xml:space="preserve">Por estos fundamentos, de conformidad con el informe de la Vocal Ponente doctora </w:t>
      </w:r>
      <w:proofErr w:type="spellStart"/>
      <w:r w:rsidRPr="00F107B5">
        <w:rPr>
          <w:rFonts w:ascii="Tahoma" w:hAnsi="Tahoma" w:cs="Tahoma"/>
        </w:rPr>
        <w:t>Janette</w:t>
      </w:r>
      <w:proofErr w:type="spellEnd"/>
      <w:r w:rsidRPr="00F107B5">
        <w:rPr>
          <w:rFonts w:ascii="Tahoma" w:hAnsi="Tahoma" w:cs="Tahoma"/>
        </w:rPr>
        <w:t xml:space="preserve"> </w:t>
      </w:r>
      <w:proofErr w:type="spellStart"/>
      <w:r w:rsidRPr="00F107B5">
        <w:rPr>
          <w:rFonts w:ascii="Tahoma" w:hAnsi="Tahoma" w:cs="Tahoma"/>
        </w:rPr>
        <w:t>Elke</w:t>
      </w:r>
      <w:proofErr w:type="spellEnd"/>
      <w:r w:rsidRPr="00F107B5">
        <w:rPr>
          <w:rFonts w:ascii="Tahoma" w:hAnsi="Tahoma" w:cs="Tahoma"/>
        </w:rPr>
        <w:t xml:space="preserve"> Ramírez </w:t>
      </w:r>
      <w:proofErr w:type="spellStart"/>
      <w:r w:rsidRPr="00F107B5">
        <w:rPr>
          <w:rFonts w:ascii="Tahoma" w:hAnsi="Tahoma" w:cs="Tahoma"/>
        </w:rPr>
        <w:t>Maynetto</w:t>
      </w:r>
      <w:proofErr w:type="spellEnd"/>
      <w:r w:rsidRPr="00F107B5">
        <w:rPr>
          <w:rFonts w:ascii="Tahoma" w:hAnsi="Tahoma" w:cs="Tahoma"/>
        </w:rPr>
        <w:t xml:space="preserve">, con la intervención de los doctores Juan Carlos Valdivia </w:t>
      </w:r>
      <w:proofErr w:type="spellStart"/>
      <w:r w:rsidRPr="00F107B5">
        <w:rPr>
          <w:rFonts w:ascii="Tahoma" w:hAnsi="Tahoma" w:cs="Tahoma"/>
        </w:rPr>
        <w:t>Huaringa</w:t>
      </w:r>
      <w:proofErr w:type="spellEnd"/>
      <w:r w:rsidRPr="00F107B5">
        <w:rPr>
          <w:rFonts w:ascii="Tahoma" w:hAnsi="Tahoma" w:cs="Tahoma"/>
        </w:rPr>
        <w:t xml:space="preserve"> y Carlos Vicente Navas Rondón, atendiendo a la </w:t>
      </w:r>
      <w:proofErr w:type="spellStart"/>
      <w:r w:rsidRPr="00F107B5">
        <w:rPr>
          <w:rFonts w:ascii="Tahoma" w:hAnsi="Tahoma" w:cs="Tahoma"/>
        </w:rPr>
        <w:t>reconformación</w:t>
      </w:r>
      <w:proofErr w:type="spellEnd"/>
      <w:r w:rsidRPr="00F107B5">
        <w:rPr>
          <w:rFonts w:ascii="Tahoma" w:hAnsi="Tahoma" w:cs="Tahoma"/>
        </w:rPr>
        <w:t xml:space="preserve"> de </w:t>
      </w:r>
      <w:smartTag w:uri="urn:schemas-microsoft-com:office:smarttags" w:element="PersonName">
        <w:smartTagPr>
          <w:attr w:name="ProductID" w:val="la Tercera Sala"/>
        </w:smartTagPr>
        <w:r w:rsidRPr="00F107B5">
          <w:rPr>
            <w:rFonts w:ascii="Tahoma" w:hAnsi="Tahoma" w:cs="Tahoma"/>
          </w:rPr>
          <w:t>la Tercera Sala</w:t>
        </w:r>
      </w:smartTag>
      <w:r w:rsidRPr="00F107B5">
        <w:rPr>
          <w:rFonts w:ascii="Tahoma" w:hAnsi="Tahoma" w:cs="Tahoma"/>
        </w:rPr>
        <w:t xml:space="preserve"> del Tribunal de Contrataciones y Adquisiciones del Estado, según lo dispuesto en </w:t>
      </w:r>
      <w:smartTag w:uri="urn:schemas-microsoft-com:office:smarttags" w:element="PersonName">
        <w:smartTagPr>
          <w:attr w:name="ProductID" w:val="la Resoluci￳n N.ﾺ"/>
        </w:smartTagPr>
        <w:r w:rsidRPr="00F107B5">
          <w:rPr>
            <w:rFonts w:ascii="Tahoma" w:hAnsi="Tahoma" w:cs="Tahoma"/>
          </w:rPr>
          <w:t>la Resolución N.º</w:t>
        </w:r>
      </w:smartTag>
      <w:r w:rsidRPr="00F107B5">
        <w:rPr>
          <w:rFonts w:ascii="Tahoma" w:hAnsi="Tahoma" w:cs="Tahoma"/>
        </w:rPr>
        <w:t xml:space="preserve"> 279-2007-CONSUCODE/PRE de fecha 21 de mayo de 2007, y de conformidad con las facultades conferidas en los artículos 53, 59 y 61 del Texto Único Ordenado de </w:t>
      </w:r>
      <w:smartTag w:uri="urn:schemas-microsoft-com:office:smarttags" w:element="PersonName">
        <w:smartTagPr>
          <w:attr w:name="ProductID" w:val="la Ley"/>
        </w:smartTagPr>
        <w:r w:rsidRPr="00F107B5">
          <w:rPr>
            <w:rFonts w:ascii="Tahoma" w:hAnsi="Tahoma" w:cs="Tahoma"/>
          </w:rPr>
          <w:t>la Ley</w:t>
        </w:r>
      </w:smartTag>
      <w:r w:rsidRPr="00F107B5">
        <w:rPr>
          <w:rFonts w:ascii="Tahoma" w:hAnsi="Tahoma" w:cs="Tahoma"/>
        </w:rPr>
        <w:t xml:space="preserve"> de Contrataciones y Adquisiciones del Estado, aprobado por Decreto Supremo N.º 083-2004-PCM, su Reglamento, aprobado por Decreto Supremo N.º 084-2004-PCM, y los artículos 17 y 18 del Reglamento de Organización y Funciones del CONSUCODE, aprobado por Decreto Supremos N.º 054-2007-EF; analizados los antecedentes y luego de agotado el correspondiente debate, por unanimidad;</w:t>
      </w:r>
    </w:p>
    <w:p w:rsidR="003717D0" w:rsidRPr="00F107B5" w:rsidRDefault="003717D0" w:rsidP="003717D0">
      <w:pPr>
        <w:tabs>
          <w:tab w:val="num" w:pos="360"/>
        </w:tabs>
        <w:ind w:left="-180" w:firstLine="180"/>
        <w:jc w:val="both"/>
        <w:rPr>
          <w:rFonts w:ascii="Tahoma" w:hAnsi="Tahoma" w:cs="Tahoma"/>
          <w:b/>
          <w:shadow/>
        </w:rPr>
      </w:pPr>
    </w:p>
    <w:p w:rsidR="003717D0" w:rsidRPr="00F107B5" w:rsidRDefault="003717D0" w:rsidP="003717D0">
      <w:pPr>
        <w:tabs>
          <w:tab w:val="num" w:pos="360"/>
        </w:tabs>
        <w:ind w:left="-180" w:firstLine="180"/>
        <w:jc w:val="both"/>
        <w:rPr>
          <w:rFonts w:ascii="Tahoma" w:hAnsi="Tahoma" w:cs="Tahoma"/>
          <w:b/>
          <w:shadow/>
        </w:rPr>
      </w:pPr>
      <w:r w:rsidRPr="00F107B5">
        <w:rPr>
          <w:rFonts w:ascii="Tahoma" w:hAnsi="Tahoma" w:cs="Tahoma"/>
          <w:b/>
          <w:shadow/>
        </w:rPr>
        <w:t>LA SALA RESUELVE:</w:t>
      </w:r>
    </w:p>
    <w:p w:rsidR="003717D0" w:rsidRDefault="003717D0" w:rsidP="003717D0">
      <w:pPr>
        <w:jc w:val="both"/>
        <w:rPr>
          <w:rFonts w:ascii="Tahoma" w:hAnsi="Tahoma" w:cs="Tahoma"/>
          <w:b/>
          <w:shadow/>
        </w:rPr>
      </w:pPr>
    </w:p>
    <w:p w:rsidR="003717D0" w:rsidRPr="00D52AF9" w:rsidRDefault="003717D0" w:rsidP="003717D0">
      <w:pPr>
        <w:jc w:val="both"/>
        <w:rPr>
          <w:rFonts w:ascii="Tahoma" w:hAnsi="Tahoma" w:cs="Tahoma"/>
          <w:b/>
          <w:shadow/>
        </w:rPr>
      </w:pPr>
    </w:p>
    <w:p w:rsidR="003717D0" w:rsidRPr="00D52AF9" w:rsidRDefault="003717D0" w:rsidP="003717D0">
      <w:pPr>
        <w:tabs>
          <w:tab w:val="num" w:pos="540"/>
        </w:tabs>
        <w:ind w:left="540" w:hanging="540"/>
        <w:jc w:val="both"/>
        <w:rPr>
          <w:rFonts w:ascii="Tahoma" w:hAnsi="Tahoma" w:cs="Tahoma"/>
        </w:rPr>
      </w:pPr>
      <w:r w:rsidRPr="00D52AF9">
        <w:rPr>
          <w:rFonts w:ascii="Tahoma" w:hAnsi="Tahoma" w:cs="Tahoma"/>
          <w:b/>
        </w:rPr>
        <w:t>1.</w:t>
      </w:r>
      <w:r w:rsidRPr="00D52AF9">
        <w:rPr>
          <w:rFonts w:ascii="Tahoma" w:hAnsi="Tahoma" w:cs="Tahoma"/>
          <w:b/>
        </w:rPr>
        <w:tab/>
      </w:r>
      <w:r w:rsidRPr="008A15CB">
        <w:rPr>
          <w:rFonts w:ascii="Tahoma" w:hAnsi="Tahoma" w:cs="Tahoma"/>
          <w:b/>
        </w:rPr>
        <w:t>NO HA LUGAR</w:t>
      </w:r>
      <w:r w:rsidRPr="00D52AF9">
        <w:rPr>
          <w:rFonts w:ascii="Tahoma" w:hAnsi="Tahoma" w:cs="Tahoma"/>
        </w:rPr>
        <w:t xml:space="preserve"> a la aplicación de sanción administrativa a la </w:t>
      </w:r>
      <w:r>
        <w:rPr>
          <w:rFonts w:ascii="Tahoma" w:hAnsi="Tahoma" w:cs="Tahoma"/>
        </w:rPr>
        <w:t xml:space="preserve">empresa </w:t>
      </w:r>
      <w:proofErr w:type="spellStart"/>
      <w:r w:rsidRPr="008A15CB">
        <w:rPr>
          <w:rFonts w:ascii="Tahoma" w:hAnsi="Tahoma" w:cs="Tahoma"/>
          <w:b/>
        </w:rPr>
        <w:t>Multirollos</w:t>
      </w:r>
      <w:proofErr w:type="spellEnd"/>
      <w:r w:rsidRPr="008A15CB">
        <w:rPr>
          <w:rFonts w:ascii="Tahoma" w:hAnsi="Tahoma" w:cs="Tahoma"/>
          <w:b/>
        </w:rPr>
        <w:t xml:space="preserve"> S.A.C.</w:t>
      </w:r>
      <w:r>
        <w:rPr>
          <w:rFonts w:ascii="Tahoma" w:hAnsi="Tahoma" w:cs="Tahoma"/>
        </w:rPr>
        <w:t xml:space="preserve"> </w:t>
      </w:r>
      <w:r w:rsidRPr="00D52AF9">
        <w:rPr>
          <w:rFonts w:ascii="Tahoma" w:hAnsi="Tahoma" w:cs="Tahoma"/>
        </w:rPr>
        <w:t>por los fundamentos expuestos, debiendo archivarse el presente expediente.</w:t>
      </w:r>
    </w:p>
    <w:p w:rsidR="003717D0" w:rsidRDefault="003717D0" w:rsidP="003717D0">
      <w:pPr>
        <w:pStyle w:val="BodyText2"/>
        <w:rPr>
          <w:rFonts w:cs="Tahoma"/>
          <w:sz w:val="20"/>
        </w:rPr>
      </w:pPr>
    </w:p>
    <w:p w:rsidR="003717D0" w:rsidRPr="00F107B5" w:rsidRDefault="003717D0" w:rsidP="003717D0">
      <w:pPr>
        <w:pStyle w:val="BodyText2"/>
        <w:ind w:firstLine="360"/>
        <w:rPr>
          <w:rFonts w:cs="Tahoma"/>
          <w:sz w:val="20"/>
        </w:rPr>
      </w:pPr>
      <w:r w:rsidRPr="00F107B5">
        <w:rPr>
          <w:rFonts w:cs="Tahoma"/>
          <w:sz w:val="20"/>
        </w:rPr>
        <w:t>Regístrese, comuníquese y publíquese.</w:t>
      </w:r>
    </w:p>
    <w:p w:rsidR="003717D0" w:rsidRPr="00F107B5" w:rsidRDefault="003717D0" w:rsidP="003717D0">
      <w:pPr>
        <w:jc w:val="center"/>
        <w:rPr>
          <w:rFonts w:ascii="Tahoma" w:hAnsi="Tahoma" w:cs="Tahoma"/>
          <w:b/>
          <w:lang w:val="es-ES_tradnl"/>
        </w:rPr>
      </w:pPr>
    </w:p>
    <w:p w:rsidR="003717D0" w:rsidRDefault="003717D0" w:rsidP="003717D0">
      <w:pPr>
        <w:jc w:val="center"/>
        <w:rPr>
          <w:rFonts w:ascii="Tahoma" w:hAnsi="Tahoma" w:cs="Tahoma"/>
          <w:b/>
        </w:rPr>
      </w:pPr>
    </w:p>
    <w:p w:rsidR="003717D0" w:rsidRDefault="003717D0" w:rsidP="003717D0">
      <w:pPr>
        <w:jc w:val="center"/>
        <w:rPr>
          <w:rFonts w:ascii="Tahoma" w:hAnsi="Tahoma" w:cs="Tahoma"/>
          <w:b/>
        </w:rPr>
      </w:pPr>
    </w:p>
    <w:p w:rsidR="003717D0" w:rsidRDefault="003717D0" w:rsidP="003717D0">
      <w:pPr>
        <w:jc w:val="center"/>
        <w:rPr>
          <w:rFonts w:ascii="Tahoma" w:hAnsi="Tahoma" w:cs="Tahoma"/>
          <w:b/>
        </w:rPr>
      </w:pPr>
    </w:p>
    <w:p w:rsidR="003717D0" w:rsidRPr="00F107B5" w:rsidRDefault="003717D0" w:rsidP="003717D0">
      <w:pPr>
        <w:jc w:val="center"/>
        <w:rPr>
          <w:rFonts w:ascii="Tahoma" w:hAnsi="Tahoma" w:cs="Tahoma"/>
          <w:b/>
        </w:rPr>
      </w:pPr>
    </w:p>
    <w:p w:rsidR="003717D0" w:rsidRPr="00F107B5" w:rsidRDefault="003717D0" w:rsidP="003717D0">
      <w:pPr>
        <w:jc w:val="center"/>
        <w:rPr>
          <w:rFonts w:ascii="Tahoma" w:hAnsi="Tahoma" w:cs="Tahoma"/>
          <w:b/>
        </w:rPr>
      </w:pPr>
    </w:p>
    <w:p w:rsidR="003717D0" w:rsidRPr="00F107B5" w:rsidRDefault="003717D0" w:rsidP="003717D0">
      <w:pPr>
        <w:jc w:val="center"/>
        <w:rPr>
          <w:rFonts w:ascii="Tahoma" w:hAnsi="Tahoma" w:cs="Tahoma"/>
          <w:b/>
          <w:shadow/>
          <w:lang w:val="pt-BR"/>
        </w:rPr>
      </w:pPr>
      <w:r w:rsidRPr="00F107B5">
        <w:rPr>
          <w:rFonts w:ascii="Tahoma" w:hAnsi="Tahoma" w:cs="Tahoma"/>
          <w:b/>
          <w:shadow/>
          <w:lang w:val="pt-BR"/>
        </w:rPr>
        <w:t>PRESIDENTE</w:t>
      </w:r>
    </w:p>
    <w:p w:rsidR="003717D0" w:rsidRPr="00F107B5" w:rsidRDefault="003717D0" w:rsidP="003717D0">
      <w:pPr>
        <w:jc w:val="center"/>
        <w:rPr>
          <w:rFonts w:ascii="Tahoma" w:hAnsi="Tahoma" w:cs="Tahoma"/>
          <w:b/>
          <w:shadow/>
          <w:lang w:val="pt-BR"/>
        </w:rPr>
      </w:pPr>
    </w:p>
    <w:p w:rsidR="003717D0" w:rsidRPr="00F107B5" w:rsidRDefault="003717D0" w:rsidP="003717D0">
      <w:pPr>
        <w:jc w:val="center"/>
        <w:rPr>
          <w:rFonts w:ascii="Tahoma" w:hAnsi="Tahoma" w:cs="Tahoma"/>
          <w:b/>
          <w:shadow/>
          <w:lang w:val="pt-BR"/>
        </w:rPr>
      </w:pPr>
    </w:p>
    <w:p w:rsidR="003717D0" w:rsidRPr="00F107B5" w:rsidRDefault="003717D0" w:rsidP="003717D0">
      <w:pPr>
        <w:jc w:val="center"/>
        <w:rPr>
          <w:rFonts w:ascii="Tahoma" w:hAnsi="Tahoma" w:cs="Tahoma"/>
          <w:b/>
          <w:shadow/>
          <w:lang w:val="pt-BR"/>
        </w:rPr>
      </w:pPr>
    </w:p>
    <w:p w:rsidR="003717D0" w:rsidRPr="00F107B5" w:rsidRDefault="003717D0" w:rsidP="003717D0">
      <w:pPr>
        <w:jc w:val="center"/>
        <w:rPr>
          <w:rFonts w:ascii="Tahoma" w:hAnsi="Tahoma" w:cs="Tahoma"/>
          <w:b/>
          <w:shadow/>
          <w:lang w:val="pt-BR"/>
        </w:rPr>
      </w:pPr>
    </w:p>
    <w:p w:rsidR="003717D0" w:rsidRPr="00F107B5" w:rsidRDefault="003717D0" w:rsidP="003717D0">
      <w:pPr>
        <w:jc w:val="center"/>
        <w:rPr>
          <w:rFonts w:ascii="Tahoma" w:hAnsi="Tahoma" w:cs="Tahoma"/>
          <w:b/>
          <w:shadow/>
          <w:lang w:val="pt-BR"/>
        </w:rPr>
      </w:pPr>
    </w:p>
    <w:p w:rsidR="003717D0" w:rsidRPr="00F107B5" w:rsidRDefault="003717D0" w:rsidP="003717D0">
      <w:pPr>
        <w:ind w:left="708"/>
        <w:jc w:val="both"/>
        <w:rPr>
          <w:rFonts w:ascii="Tahoma" w:hAnsi="Tahoma" w:cs="Tahoma"/>
          <w:b/>
          <w:shadow/>
          <w:lang w:val="pt-BR"/>
        </w:rPr>
      </w:pPr>
      <w:r w:rsidRPr="00F107B5">
        <w:rPr>
          <w:rFonts w:ascii="Tahoma" w:hAnsi="Tahoma" w:cs="Tahoma"/>
          <w:b/>
          <w:shadow/>
          <w:lang w:val="pt-BR"/>
        </w:rPr>
        <w:t xml:space="preserve"> VOCAL           </w:t>
      </w:r>
      <w:r w:rsidRPr="00F107B5">
        <w:rPr>
          <w:rFonts w:ascii="Tahoma" w:hAnsi="Tahoma" w:cs="Tahoma"/>
          <w:b/>
          <w:shadow/>
          <w:lang w:val="pt-BR"/>
        </w:rPr>
        <w:tab/>
      </w:r>
      <w:r w:rsidRPr="00F107B5">
        <w:rPr>
          <w:rFonts w:ascii="Tahoma" w:hAnsi="Tahoma" w:cs="Tahoma"/>
          <w:b/>
          <w:shadow/>
          <w:lang w:val="pt-BR"/>
        </w:rPr>
        <w:tab/>
        <w:t xml:space="preserve">                                                                    VOCAL</w:t>
      </w:r>
    </w:p>
    <w:p w:rsidR="003717D0" w:rsidRPr="00F107B5" w:rsidRDefault="003717D0" w:rsidP="003717D0">
      <w:pPr>
        <w:ind w:firstLine="708"/>
        <w:rPr>
          <w:rFonts w:ascii="Tahoma" w:hAnsi="Tahoma" w:cs="Tahoma"/>
          <w:b/>
          <w:shadow/>
          <w:lang w:val="pt-BR"/>
        </w:rPr>
      </w:pPr>
    </w:p>
    <w:p w:rsidR="003717D0" w:rsidRPr="00F107B5" w:rsidRDefault="003717D0" w:rsidP="003717D0">
      <w:pPr>
        <w:ind w:firstLine="708"/>
        <w:rPr>
          <w:rFonts w:ascii="Tahoma" w:hAnsi="Tahoma" w:cs="Tahoma"/>
          <w:b/>
          <w:shadow/>
          <w:lang w:val="pt-BR"/>
        </w:rPr>
      </w:pPr>
    </w:p>
    <w:p w:rsidR="003717D0" w:rsidRPr="00F107B5" w:rsidRDefault="003717D0" w:rsidP="003717D0">
      <w:pPr>
        <w:ind w:firstLine="708"/>
        <w:rPr>
          <w:rFonts w:ascii="Tahoma" w:hAnsi="Tahoma" w:cs="Tahoma"/>
          <w:b/>
          <w:shadow/>
          <w:lang w:val="pt-BR"/>
        </w:rPr>
      </w:pPr>
    </w:p>
    <w:p w:rsidR="003717D0" w:rsidRDefault="003717D0" w:rsidP="003717D0">
      <w:pPr>
        <w:ind w:firstLine="708"/>
        <w:rPr>
          <w:rFonts w:ascii="Tahoma" w:hAnsi="Tahoma" w:cs="Tahoma"/>
          <w:b/>
          <w:shadow/>
          <w:lang w:val="pt-BR"/>
        </w:rPr>
      </w:pPr>
    </w:p>
    <w:p w:rsidR="003717D0" w:rsidRDefault="003717D0" w:rsidP="003717D0">
      <w:pPr>
        <w:ind w:firstLine="708"/>
        <w:rPr>
          <w:rFonts w:ascii="Tahoma" w:hAnsi="Tahoma" w:cs="Tahoma"/>
          <w:b/>
          <w:shadow/>
          <w:lang w:val="pt-BR"/>
        </w:rPr>
      </w:pPr>
    </w:p>
    <w:p w:rsidR="003717D0" w:rsidRDefault="003717D0" w:rsidP="003717D0">
      <w:pPr>
        <w:ind w:firstLine="708"/>
        <w:rPr>
          <w:rFonts w:ascii="Tahoma" w:hAnsi="Tahoma" w:cs="Tahoma"/>
          <w:b/>
          <w:shadow/>
          <w:lang w:val="pt-BR"/>
        </w:rPr>
      </w:pPr>
    </w:p>
    <w:p w:rsidR="003717D0" w:rsidRPr="00F107B5" w:rsidRDefault="003717D0" w:rsidP="003717D0">
      <w:pPr>
        <w:ind w:firstLine="708"/>
        <w:rPr>
          <w:rFonts w:ascii="Tahoma" w:hAnsi="Tahoma" w:cs="Tahoma"/>
          <w:b/>
          <w:shadow/>
          <w:lang w:val="pt-BR"/>
        </w:rPr>
      </w:pPr>
    </w:p>
    <w:p w:rsidR="003717D0" w:rsidRPr="00F107B5" w:rsidRDefault="003717D0" w:rsidP="003717D0">
      <w:pPr>
        <w:ind w:firstLine="708"/>
        <w:rPr>
          <w:rFonts w:ascii="Tahoma" w:hAnsi="Tahoma" w:cs="Tahoma"/>
          <w:b/>
          <w:shadow/>
          <w:lang w:val="pt-BR"/>
        </w:rPr>
      </w:pPr>
    </w:p>
    <w:p w:rsidR="003717D0" w:rsidRPr="00F107B5" w:rsidRDefault="003717D0" w:rsidP="003717D0">
      <w:pPr>
        <w:ind w:firstLine="708"/>
        <w:rPr>
          <w:rFonts w:ascii="Tahoma" w:hAnsi="Tahoma" w:cs="Tahoma"/>
          <w:b/>
          <w:shadow/>
          <w:lang w:val="pt-BR"/>
        </w:rPr>
      </w:pPr>
    </w:p>
    <w:p w:rsidR="003717D0" w:rsidRPr="00F107B5" w:rsidRDefault="003717D0" w:rsidP="003717D0">
      <w:pPr>
        <w:ind w:firstLine="708"/>
        <w:rPr>
          <w:rFonts w:ascii="Tahoma" w:hAnsi="Tahoma" w:cs="Tahoma"/>
          <w:b/>
          <w:shadow/>
          <w:lang w:val="pt-BR"/>
        </w:rPr>
      </w:pPr>
    </w:p>
    <w:p w:rsidR="003717D0" w:rsidRPr="00E54A4A" w:rsidRDefault="003717D0" w:rsidP="003717D0">
      <w:pPr>
        <w:jc w:val="both"/>
        <w:rPr>
          <w:rFonts w:ascii="Tahoma" w:hAnsi="Tahoma" w:cs="Tahoma"/>
          <w:sz w:val="18"/>
          <w:szCs w:val="18"/>
          <w:lang w:val="pt-BR"/>
        </w:rPr>
      </w:pPr>
      <w:proofErr w:type="gramStart"/>
      <w:r w:rsidRPr="00E54A4A">
        <w:rPr>
          <w:rFonts w:ascii="Tahoma" w:hAnsi="Tahoma" w:cs="Tahoma"/>
          <w:sz w:val="18"/>
          <w:szCs w:val="18"/>
          <w:lang w:val="pt-BR"/>
        </w:rPr>
        <w:t>ss.</w:t>
      </w:r>
      <w:proofErr w:type="gramEnd"/>
    </w:p>
    <w:p w:rsidR="003717D0" w:rsidRPr="00E54A4A" w:rsidRDefault="003717D0" w:rsidP="003717D0">
      <w:pPr>
        <w:pStyle w:val="BodyText2"/>
        <w:rPr>
          <w:rFonts w:cs="Tahoma"/>
          <w:sz w:val="18"/>
          <w:szCs w:val="18"/>
          <w:lang w:val="pt-BR"/>
        </w:rPr>
      </w:pPr>
      <w:proofErr w:type="spellStart"/>
      <w:r w:rsidRPr="00E54A4A">
        <w:rPr>
          <w:rFonts w:cs="Tahoma"/>
          <w:sz w:val="18"/>
          <w:szCs w:val="18"/>
          <w:lang w:val="pt-BR"/>
        </w:rPr>
        <w:t>Valdivia</w:t>
      </w:r>
      <w:proofErr w:type="spellEnd"/>
      <w:r w:rsidRPr="00E54A4A">
        <w:rPr>
          <w:rFonts w:cs="Tahoma"/>
          <w:sz w:val="18"/>
          <w:szCs w:val="18"/>
          <w:lang w:val="pt-BR"/>
        </w:rPr>
        <w:t xml:space="preserve"> </w:t>
      </w:r>
      <w:proofErr w:type="spellStart"/>
      <w:r w:rsidRPr="00E54A4A">
        <w:rPr>
          <w:rFonts w:cs="Tahoma"/>
          <w:sz w:val="18"/>
          <w:szCs w:val="18"/>
          <w:lang w:val="pt-BR"/>
        </w:rPr>
        <w:t>Huaringa</w:t>
      </w:r>
      <w:proofErr w:type="spellEnd"/>
      <w:r w:rsidRPr="00E54A4A">
        <w:rPr>
          <w:rFonts w:cs="Tahoma"/>
          <w:sz w:val="18"/>
          <w:szCs w:val="18"/>
          <w:lang w:val="pt-BR"/>
        </w:rPr>
        <w:t>.</w:t>
      </w:r>
    </w:p>
    <w:p w:rsidR="003717D0" w:rsidRPr="00E54A4A" w:rsidRDefault="003717D0" w:rsidP="003717D0">
      <w:pPr>
        <w:pStyle w:val="BodyText2"/>
        <w:rPr>
          <w:rFonts w:cs="Tahoma"/>
          <w:sz w:val="18"/>
          <w:szCs w:val="18"/>
        </w:rPr>
      </w:pPr>
      <w:r w:rsidRPr="00E54A4A">
        <w:rPr>
          <w:rFonts w:cs="Tahoma"/>
          <w:sz w:val="18"/>
          <w:szCs w:val="18"/>
        </w:rPr>
        <w:t xml:space="preserve">Ramírez </w:t>
      </w:r>
      <w:proofErr w:type="spellStart"/>
      <w:r w:rsidRPr="00E54A4A">
        <w:rPr>
          <w:rFonts w:cs="Tahoma"/>
          <w:sz w:val="18"/>
          <w:szCs w:val="18"/>
        </w:rPr>
        <w:t>Maynetto</w:t>
      </w:r>
      <w:proofErr w:type="spellEnd"/>
      <w:r w:rsidRPr="00E54A4A">
        <w:rPr>
          <w:rFonts w:cs="Tahoma"/>
          <w:sz w:val="18"/>
          <w:szCs w:val="18"/>
        </w:rPr>
        <w:t>.</w:t>
      </w:r>
    </w:p>
    <w:p w:rsidR="003717D0" w:rsidRPr="00E54A4A" w:rsidRDefault="003717D0" w:rsidP="003717D0">
      <w:pPr>
        <w:pStyle w:val="BodyText2"/>
        <w:tabs>
          <w:tab w:val="left" w:pos="7740"/>
        </w:tabs>
        <w:rPr>
          <w:rFonts w:cs="Tahoma"/>
          <w:sz w:val="18"/>
          <w:szCs w:val="18"/>
        </w:rPr>
      </w:pPr>
      <w:r w:rsidRPr="00E54A4A">
        <w:rPr>
          <w:rFonts w:cs="Tahoma"/>
          <w:sz w:val="18"/>
          <w:szCs w:val="18"/>
        </w:rPr>
        <w:t>Navas Rondón.</w:t>
      </w:r>
    </w:p>
    <w:p w:rsidR="003717D0" w:rsidRDefault="003717D0" w:rsidP="003717D0"/>
    <w:p w:rsidR="00DD5730" w:rsidRDefault="00015DFC"/>
    <w:sectPr w:rsidR="00DD5730" w:rsidSect="00273049">
      <w:footerReference w:type="even" r:id="rId7"/>
      <w:footerReference w:type="default" r:id="rId8"/>
      <w:pgSz w:w="11907" w:h="16840" w:code="9"/>
      <w:pgMar w:top="3235" w:right="1107" w:bottom="1618" w:left="126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7D0" w:rsidRDefault="003717D0" w:rsidP="003717D0">
      <w:r>
        <w:separator/>
      </w:r>
    </w:p>
  </w:endnote>
  <w:endnote w:type="continuationSeparator" w:id="1">
    <w:p w:rsidR="003717D0" w:rsidRDefault="003717D0" w:rsidP="003717D0">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A2" w:rsidRDefault="00015DFC" w:rsidP="0027304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3A29A2" w:rsidRDefault="00015DF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9A2" w:rsidRPr="00864C03" w:rsidRDefault="00015DFC">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sidR="00E37478">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sidR="00E37478">
      <w:rPr>
        <w:rStyle w:val="Nmerodepgina"/>
        <w:i/>
        <w:noProof/>
        <w:sz w:val="20"/>
      </w:rPr>
      <w:t>6</w:t>
    </w:r>
    <w:r w:rsidRPr="00864C03">
      <w:rPr>
        <w:rStyle w:val="Nmerodepgina"/>
        <w:i/>
        <w:sz w:val="20"/>
      </w:rPr>
      <w:fldChar w:fldCharType="end"/>
    </w:r>
  </w:p>
  <w:p w:rsidR="003A29A2" w:rsidRDefault="00015DF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7D0" w:rsidRDefault="003717D0" w:rsidP="003717D0">
      <w:r>
        <w:separator/>
      </w:r>
    </w:p>
  </w:footnote>
  <w:footnote w:type="continuationSeparator" w:id="1">
    <w:p w:rsidR="003717D0" w:rsidRDefault="003717D0" w:rsidP="003717D0">
      <w:r>
        <w:continuationSeparator/>
      </w:r>
    </w:p>
  </w:footnote>
  <w:footnote w:id="2">
    <w:p w:rsidR="003717D0" w:rsidRPr="002E4E17" w:rsidRDefault="003717D0" w:rsidP="003717D0">
      <w:pPr>
        <w:pStyle w:val="Textonotapie"/>
        <w:rPr>
          <w:rFonts w:ascii="Tahoma" w:hAnsi="Tahoma" w:cs="Tahoma"/>
          <w:b/>
          <w:sz w:val="16"/>
          <w:szCs w:val="16"/>
        </w:rPr>
      </w:pPr>
      <w:r>
        <w:rPr>
          <w:rStyle w:val="Refdenotaalpie"/>
        </w:rPr>
        <w:footnoteRef/>
      </w:r>
      <w:r>
        <w:t xml:space="preserve"> </w:t>
      </w:r>
      <w:r w:rsidRPr="002E4E17">
        <w:rPr>
          <w:rFonts w:ascii="Tahoma" w:hAnsi="Tahoma" w:cs="Tahoma"/>
          <w:b/>
          <w:sz w:val="16"/>
          <w:szCs w:val="16"/>
        </w:rPr>
        <w:t>Artículo 294.- Causales de aplicación de sanción a los proveedores, participantes, postores  y contratistas.</w:t>
      </w:r>
    </w:p>
    <w:p w:rsidR="003717D0" w:rsidRDefault="003717D0" w:rsidP="003717D0">
      <w:pPr>
        <w:pStyle w:val="Textonotapie"/>
        <w:rPr>
          <w:rFonts w:ascii="Tahoma" w:hAnsi="Tahoma" w:cs="Tahoma"/>
          <w:sz w:val="16"/>
          <w:szCs w:val="16"/>
        </w:rPr>
      </w:pPr>
      <w:r w:rsidRPr="002E4E17">
        <w:rPr>
          <w:rFonts w:ascii="Tahoma" w:hAnsi="Tahoma" w:cs="Tahoma"/>
          <w:sz w:val="16"/>
          <w:szCs w:val="16"/>
        </w:rPr>
        <w:t>El Tribunal impondrá la sanción administrativa de inhabilitación temporal o definitiva a los proveedores, participantes, postores y/o contratista que:</w:t>
      </w:r>
    </w:p>
    <w:p w:rsidR="003717D0" w:rsidRPr="002E4E17" w:rsidRDefault="003717D0" w:rsidP="003717D0">
      <w:pPr>
        <w:pStyle w:val="Textonotapie"/>
        <w:rPr>
          <w:rFonts w:ascii="Tahoma" w:hAnsi="Tahoma" w:cs="Tahoma"/>
          <w:sz w:val="16"/>
          <w:szCs w:val="16"/>
        </w:rPr>
      </w:pPr>
      <w:r>
        <w:rPr>
          <w:rFonts w:ascii="Tahoma" w:hAnsi="Tahoma" w:cs="Tahoma"/>
          <w:sz w:val="16"/>
          <w:szCs w:val="16"/>
        </w:rPr>
        <w:t>1) No mantengan su oferta hasta el otorgamiento de la Buena Pro y, de resultar ganadores, hasta la suscripción del contrato; no suscriban injustificadamente la orden de compra o de servicio emitida a su favor; (…)</w:t>
      </w:r>
    </w:p>
  </w:footnote>
  <w:footnote w:id="3">
    <w:p w:rsidR="003717D0" w:rsidRPr="00A42BBF" w:rsidRDefault="003717D0" w:rsidP="003717D0">
      <w:pPr>
        <w:pStyle w:val="Textonotapie"/>
        <w:rPr>
          <w:rFonts w:ascii="Tahoma" w:hAnsi="Tahoma" w:cs="Tahoma"/>
          <w:sz w:val="16"/>
          <w:szCs w:val="16"/>
        </w:rPr>
      </w:pPr>
      <w:r w:rsidRPr="00A42BBF">
        <w:rPr>
          <w:rStyle w:val="Refdenotaalpie"/>
          <w:rFonts w:ascii="Tahoma" w:hAnsi="Tahoma" w:cs="Tahoma"/>
        </w:rPr>
        <w:footnoteRef/>
      </w:r>
      <w:r w:rsidRPr="00A42BBF">
        <w:rPr>
          <w:rFonts w:ascii="Tahoma" w:hAnsi="Tahoma" w:cs="Tahoma"/>
          <w:sz w:val="16"/>
          <w:szCs w:val="16"/>
        </w:rPr>
        <w:t xml:space="preserve"> Documento obrante a fojas 011 del expediente administrativo.</w:t>
      </w:r>
    </w:p>
  </w:footnote>
  <w:footnote w:id="4">
    <w:p w:rsidR="003717D0" w:rsidRPr="00A42BBF" w:rsidRDefault="003717D0" w:rsidP="003717D0">
      <w:pPr>
        <w:pStyle w:val="Textonotapie"/>
        <w:jc w:val="both"/>
        <w:rPr>
          <w:rFonts w:ascii="Tahoma" w:hAnsi="Tahoma" w:cs="Tahoma"/>
          <w:sz w:val="16"/>
          <w:szCs w:val="16"/>
        </w:rPr>
      </w:pPr>
      <w:r w:rsidRPr="00A42BBF">
        <w:rPr>
          <w:rStyle w:val="Refdenotaalpie"/>
          <w:rFonts w:ascii="Tahoma" w:hAnsi="Tahoma" w:cs="Tahoma"/>
        </w:rPr>
        <w:footnoteRef/>
      </w:r>
      <w:r w:rsidRPr="00A42BBF">
        <w:rPr>
          <w:rFonts w:ascii="Tahoma" w:hAnsi="Tahoma" w:cs="Tahoma"/>
          <w:sz w:val="16"/>
          <w:szCs w:val="16"/>
        </w:rPr>
        <w:t xml:space="preserve"> 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lo dispuesto en el artículo 3 del Texto Único Ordenado de la Ley de Contrataciones y Adquisiciones del Estado, aprobado por Decreto Supremo N.° 083-2004-PCM, en adelante la Ley, en concordancia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5">
    <w:p w:rsidR="003717D0" w:rsidRPr="00A42BBF" w:rsidRDefault="003717D0" w:rsidP="003717D0">
      <w:pPr>
        <w:pStyle w:val="Textonotapie"/>
        <w:rPr>
          <w:sz w:val="16"/>
          <w:szCs w:val="16"/>
        </w:rPr>
      </w:pPr>
      <w:r w:rsidRPr="00A42BBF">
        <w:rPr>
          <w:rStyle w:val="Refdenotaalpie"/>
          <w:rFonts w:ascii="Tahoma" w:hAnsi="Tahoma" w:cs="Tahoma"/>
        </w:rPr>
        <w:footnoteRef/>
      </w:r>
      <w:r w:rsidRPr="00A42BBF">
        <w:rPr>
          <w:rFonts w:ascii="Tahoma" w:hAnsi="Tahoma" w:cs="Tahoma"/>
          <w:sz w:val="16"/>
          <w:szCs w:val="16"/>
        </w:rPr>
        <w:t xml:space="preserve"> CABANELLAS, Guillermo. </w:t>
      </w:r>
      <w:r w:rsidRPr="00A42BBF">
        <w:rPr>
          <w:rFonts w:ascii="Tahoma" w:hAnsi="Tahoma" w:cs="Tahoma"/>
          <w:b/>
          <w:sz w:val="16"/>
          <w:szCs w:val="16"/>
        </w:rPr>
        <w:t>Diccionario Enciclopédico de Derecho Usual</w:t>
      </w:r>
      <w:r w:rsidRPr="00A42BBF">
        <w:rPr>
          <w:rFonts w:ascii="Tahoma" w:hAnsi="Tahoma" w:cs="Tahoma"/>
          <w:sz w:val="16"/>
          <w:szCs w:val="16"/>
        </w:rPr>
        <w:t xml:space="preserve">. 20ª Edición. Buenos Aires: </w:t>
      </w:r>
      <w:proofErr w:type="spellStart"/>
      <w:r w:rsidRPr="00A42BBF">
        <w:rPr>
          <w:rFonts w:ascii="Tahoma" w:hAnsi="Tahoma" w:cs="Tahoma"/>
          <w:sz w:val="16"/>
          <w:szCs w:val="16"/>
        </w:rPr>
        <w:t>Heliasta</w:t>
      </w:r>
      <w:proofErr w:type="spellEnd"/>
      <w:r w:rsidRPr="00A42BBF">
        <w:rPr>
          <w:rFonts w:ascii="Tahoma" w:hAnsi="Tahoma" w:cs="Tahoma"/>
          <w:sz w:val="16"/>
          <w:szCs w:val="16"/>
        </w:rPr>
        <w:t xml:space="preserve">, 1986. Tomo II pág. 99 y Tomo IV </w:t>
      </w:r>
      <w:proofErr w:type="spellStart"/>
      <w:r w:rsidRPr="00A42BBF">
        <w:rPr>
          <w:rFonts w:ascii="Tahoma" w:hAnsi="Tahoma" w:cs="Tahoma"/>
          <w:sz w:val="16"/>
          <w:szCs w:val="16"/>
        </w:rPr>
        <w:t>pág</w:t>
      </w:r>
      <w:proofErr w:type="spellEnd"/>
      <w:r w:rsidRPr="00A42BBF">
        <w:rPr>
          <w:rFonts w:ascii="Tahoma" w:hAnsi="Tahoma" w:cs="Tahoma"/>
          <w:sz w:val="16"/>
          <w:szCs w:val="16"/>
        </w:rPr>
        <w:t xml:space="preserve"> 130.</w:t>
      </w:r>
    </w:p>
  </w:footnote>
  <w:footnote w:id="6">
    <w:p w:rsidR="003717D0" w:rsidRPr="0009356A" w:rsidRDefault="003717D0" w:rsidP="003717D0">
      <w:pPr>
        <w:pStyle w:val="Textonotapie"/>
      </w:pPr>
      <w:r>
        <w:rPr>
          <w:rStyle w:val="Refdenotaalpie"/>
        </w:rPr>
        <w:footnoteRef/>
      </w:r>
      <w:r>
        <w:t xml:space="preserve"> </w:t>
      </w:r>
      <w:r w:rsidRPr="00D626BF">
        <w:rPr>
          <w:rFonts w:ascii="Tahoma" w:hAnsi="Tahoma" w:cs="Tahoma"/>
          <w:sz w:val="16"/>
          <w:szCs w:val="16"/>
        </w:rPr>
        <w:t xml:space="preserve">Documentos obrantes a fojas </w:t>
      </w:r>
      <w:r>
        <w:rPr>
          <w:rFonts w:ascii="Tahoma" w:hAnsi="Tahoma" w:cs="Tahoma"/>
          <w:sz w:val="16"/>
          <w:szCs w:val="16"/>
        </w:rPr>
        <w:t>269</w:t>
      </w:r>
      <w:r w:rsidRPr="00D626BF">
        <w:rPr>
          <w:rFonts w:ascii="Tahoma" w:hAnsi="Tahoma" w:cs="Tahoma"/>
          <w:sz w:val="16"/>
          <w:szCs w:val="16"/>
        </w:rPr>
        <w:t xml:space="preserve"> del expediente administrativo.</w:t>
      </w:r>
    </w:p>
  </w:footnote>
  <w:footnote w:id="7">
    <w:p w:rsidR="003717D0" w:rsidRPr="009172DD" w:rsidRDefault="003717D0" w:rsidP="003717D0">
      <w:pPr>
        <w:pStyle w:val="Textonotapie"/>
      </w:pPr>
      <w:r>
        <w:rPr>
          <w:rStyle w:val="Refdenotaalpie"/>
        </w:rPr>
        <w:footnoteRef/>
      </w:r>
      <w:r>
        <w:t xml:space="preserve"> </w:t>
      </w:r>
      <w:r w:rsidRPr="00D626BF">
        <w:rPr>
          <w:rFonts w:ascii="Tahoma" w:hAnsi="Tahoma" w:cs="Tahoma"/>
          <w:sz w:val="16"/>
          <w:szCs w:val="16"/>
        </w:rPr>
        <w:t>Documentos obrantes a fojas 272 y 273 del expediente administrativo.</w:t>
      </w:r>
    </w:p>
  </w:footnote>
  <w:footnote w:id="8">
    <w:p w:rsidR="003717D0" w:rsidRPr="0009356A" w:rsidRDefault="003717D0" w:rsidP="003717D0">
      <w:pPr>
        <w:pStyle w:val="Textonotapie"/>
      </w:pPr>
      <w:r>
        <w:rPr>
          <w:rStyle w:val="Refdenotaalpie"/>
        </w:rPr>
        <w:footnoteRef/>
      </w:r>
      <w:r>
        <w:t xml:space="preserve"> </w:t>
      </w:r>
      <w:r w:rsidRPr="00D626BF">
        <w:rPr>
          <w:rFonts w:ascii="Tahoma" w:hAnsi="Tahoma" w:cs="Tahoma"/>
          <w:sz w:val="16"/>
          <w:szCs w:val="16"/>
        </w:rPr>
        <w:t xml:space="preserve">Documentos obrantes a fojas </w:t>
      </w:r>
      <w:r>
        <w:rPr>
          <w:rFonts w:ascii="Tahoma" w:hAnsi="Tahoma" w:cs="Tahoma"/>
          <w:sz w:val="16"/>
          <w:szCs w:val="16"/>
        </w:rPr>
        <w:t>270</w:t>
      </w:r>
      <w:r w:rsidRPr="00D626BF">
        <w:rPr>
          <w:rFonts w:ascii="Tahoma" w:hAnsi="Tahoma" w:cs="Tahoma"/>
          <w:sz w:val="16"/>
          <w:szCs w:val="16"/>
        </w:rPr>
        <w:t xml:space="preserve"> del expediente administrativo.</w:t>
      </w:r>
    </w:p>
    <w:p w:rsidR="003717D0" w:rsidRPr="00AF4E8D" w:rsidRDefault="003717D0" w:rsidP="003717D0">
      <w:pPr>
        <w:pStyle w:val="Textonotapi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C2536"/>
    <w:multiLevelType w:val="hybridMultilevel"/>
    <w:tmpl w:val="9C282E96"/>
    <w:lvl w:ilvl="0" w:tplc="9BFA39BA">
      <w:start w:val="1"/>
      <w:numFmt w:val="decimal"/>
      <w:lvlText w:val="%1."/>
      <w:lvlJc w:val="left"/>
      <w:pPr>
        <w:tabs>
          <w:tab w:val="num" w:pos="720"/>
        </w:tabs>
        <w:ind w:left="720" w:hanging="360"/>
      </w:pPr>
      <w:rPr>
        <w:rFonts w:ascii="Tahoma" w:hAnsi="Tahoma" w:cs="Tahoma" w:hint="default"/>
        <w:b/>
        <w:sz w:val="20"/>
        <w:szCs w:val="20"/>
      </w:rPr>
    </w:lvl>
    <w:lvl w:ilvl="1" w:tplc="868876EC">
      <w:start w:val="1"/>
      <w:numFmt w:val="lowerRoman"/>
      <w:lvlText w:val="(%2)"/>
      <w:lvlJc w:val="left"/>
      <w:pPr>
        <w:tabs>
          <w:tab w:val="num" w:pos="2160"/>
        </w:tabs>
        <w:ind w:left="2160" w:hanging="108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511609F6"/>
    <w:multiLevelType w:val="hybridMultilevel"/>
    <w:tmpl w:val="B6BE34D4"/>
    <w:lvl w:ilvl="0" w:tplc="0C0A0001">
      <w:start w:val="1"/>
      <w:numFmt w:val="bullet"/>
      <w:lvlText w:val=""/>
      <w:lvlJc w:val="left"/>
      <w:pPr>
        <w:tabs>
          <w:tab w:val="num" w:pos="1200"/>
        </w:tabs>
        <w:ind w:left="1200" w:hanging="360"/>
      </w:pPr>
      <w:rPr>
        <w:rFonts w:ascii="Symbol" w:hAnsi="Symbol" w:hint="default"/>
      </w:rPr>
    </w:lvl>
    <w:lvl w:ilvl="1" w:tplc="0C0A0003" w:tentative="1">
      <w:start w:val="1"/>
      <w:numFmt w:val="bullet"/>
      <w:lvlText w:val="o"/>
      <w:lvlJc w:val="left"/>
      <w:pPr>
        <w:tabs>
          <w:tab w:val="num" w:pos="1920"/>
        </w:tabs>
        <w:ind w:left="1920" w:hanging="360"/>
      </w:pPr>
      <w:rPr>
        <w:rFonts w:ascii="Courier New" w:hAnsi="Courier New" w:cs="Courier New" w:hint="default"/>
      </w:rPr>
    </w:lvl>
    <w:lvl w:ilvl="2" w:tplc="0C0A0005" w:tentative="1">
      <w:start w:val="1"/>
      <w:numFmt w:val="bullet"/>
      <w:lvlText w:val=""/>
      <w:lvlJc w:val="left"/>
      <w:pPr>
        <w:tabs>
          <w:tab w:val="num" w:pos="2640"/>
        </w:tabs>
        <w:ind w:left="2640" w:hanging="360"/>
      </w:pPr>
      <w:rPr>
        <w:rFonts w:ascii="Wingdings" w:hAnsi="Wingdings" w:hint="default"/>
      </w:rPr>
    </w:lvl>
    <w:lvl w:ilvl="3" w:tplc="0C0A0001" w:tentative="1">
      <w:start w:val="1"/>
      <w:numFmt w:val="bullet"/>
      <w:lvlText w:val=""/>
      <w:lvlJc w:val="left"/>
      <w:pPr>
        <w:tabs>
          <w:tab w:val="num" w:pos="3360"/>
        </w:tabs>
        <w:ind w:left="3360" w:hanging="360"/>
      </w:pPr>
      <w:rPr>
        <w:rFonts w:ascii="Symbol" w:hAnsi="Symbol" w:hint="default"/>
      </w:rPr>
    </w:lvl>
    <w:lvl w:ilvl="4" w:tplc="0C0A0003" w:tentative="1">
      <w:start w:val="1"/>
      <w:numFmt w:val="bullet"/>
      <w:lvlText w:val="o"/>
      <w:lvlJc w:val="left"/>
      <w:pPr>
        <w:tabs>
          <w:tab w:val="num" w:pos="4080"/>
        </w:tabs>
        <w:ind w:left="4080" w:hanging="360"/>
      </w:pPr>
      <w:rPr>
        <w:rFonts w:ascii="Courier New" w:hAnsi="Courier New" w:cs="Courier New" w:hint="default"/>
      </w:rPr>
    </w:lvl>
    <w:lvl w:ilvl="5" w:tplc="0C0A0005" w:tentative="1">
      <w:start w:val="1"/>
      <w:numFmt w:val="bullet"/>
      <w:lvlText w:val=""/>
      <w:lvlJc w:val="left"/>
      <w:pPr>
        <w:tabs>
          <w:tab w:val="num" w:pos="4800"/>
        </w:tabs>
        <w:ind w:left="4800" w:hanging="360"/>
      </w:pPr>
      <w:rPr>
        <w:rFonts w:ascii="Wingdings" w:hAnsi="Wingdings" w:hint="default"/>
      </w:rPr>
    </w:lvl>
    <w:lvl w:ilvl="6" w:tplc="0C0A0001" w:tentative="1">
      <w:start w:val="1"/>
      <w:numFmt w:val="bullet"/>
      <w:lvlText w:val=""/>
      <w:lvlJc w:val="left"/>
      <w:pPr>
        <w:tabs>
          <w:tab w:val="num" w:pos="5520"/>
        </w:tabs>
        <w:ind w:left="5520" w:hanging="360"/>
      </w:pPr>
      <w:rPr>
        <w:rFonts w:ascii="Symbol" w:hAnsi="Symbol" w:hint="default"/>
      </w:rPr>
    </w:lvl>
    <w:lvl w:ilvl="7" w:tplc="0C0A0003" w:tentative="1">
      <w:start w:val="1"/>
      <w:numFmt w:val="bullet"/>
      <w:lvlText w:val="o"/>
      <w:lvlJc w:val="left"/>
      <w:pPr>
        <w:tabs>
          <w:tab w:val="num" w:pos="6240"/>
        </w:tabs>
        <w:ind w:left="6240" w:hanging="360"/>
      </w:pPr>
      <w:rPr>
        <w:rFonts w:ascii="Courier New" w:hAnsi="Courier New" w:cs="Courier New" w:hint="default"/>
      </w:rPr>
    </w:lvl>
    <w:lvl w:ilvl="8" w:tplc="0C0A0005" w:tentative="1">
      <w:start w:val="1"/>
      <w:numFmt w:val="bullet"/>
      <w:lvlText w:val=""/>
      <w:lvlJc w:val="left"/>
      <w:pPr>
        <w:tabs>
          <w:tab w:val="num" w:pos="6960"/>
        </w:tabs>
        <w:ind w:left="6960" w:hanging="360"/>
      </w:pPr>
      <w:rPr>
        <w:rFonts w:ascii="Wingdings" w:hAnsi="Wingdings" w:hint="default"/>
      </w:rPr>
    </w:lvl>
  </w:abstractNum>
  <w:abstractNum w:abstractNumId="2">
    <w:nsid w:val="52357D87"/>
    <w:multiLevelType w:val="hybridMultilevel"/>
    <w:tmpl w:val="F15A9406"/>
    <w:lvl w:ilvl="0" w:tplc="5A7EEB18">
      <w:start w:val="1"/>
      <w:numFmt w:val="decimal"/>
      <w:lvlText w:val="%1."/>
      <w:lvlJc w:val="left"/>
      <w:pPr>
        <w:tabs>
          <w:tab w:val="num" w:pos="360"/>
        </w:tabs>
        <w:ind w:left="36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3717D0"/>
    <w:rsid w:val="00015DFC"/>
    <w:rsid w:val="0031028D"/>
    <w:rsid w:val="003717D0"/>
    <w:rsid w:val="005F15D1"/>
    <w:rsid w:val="00896EE1"/>
    <w:rsid w:val="00E3747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7D0"/>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3717D0"/>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3717D0"/>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3717D0"/>
  </w:style>
  <w:style w:type="paragraph" w:styleId="Textoindependiente">
    <w:name w:val="Body Text"/>
    <w:basedOn w:val="Normal"/>
    <w:link w:val="TextoindependienteCar"/>
    <w:rsid w:val="003717D0"/>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3717D0"/>
    <w:rPr>
      <w:rFonts w:ascii="Tahoma" w:eastAsia="Times New Roman" w:hAnsi="Tahoma" w:cs="Times New Roman"/>
      <w:szCs w:val="20"/>
      <w:lang w:val="es-ES_tradnl" w:eastAsia="es-ES"/>
    </w:rPr>
  </w:style>
  <w:style w:type="paragraph" w:customStyle="1" w:styleId="BodyText2">
    <w:name w:val="Body Text 2"/>
    <w:basedOn w:val="Normal"/>
    <w:rsid w:val="003717D0"/>
    <w:pPr>
      <w:jc w:val="both"/>
    </w:pPr>
    <w:rPr>
      <w:rFonts w:ascii="Tahoma" w:hAnsi="Tahoma"/>
      <w:sz w:val="22"/>
    </w:rPr>
  </w:style>
  <w:style w:type="paragraph" w:styleId="Textoindependiente3">
    <w:name w:val="Body Text 3"/>
    <w:basedOn w:val="Normal"/>
    <w:link w:val="Textoindependiente3Car"/>
    <w:rsid w:val="003717D0"/>
    <w:pPr>
      <w:spacing w:after="120"/>
    </w:pPr>
    <w:rPr>
      <w:sz w:val="16"/>
      <w:szCs w:val="16"/>
      <w:lang w:val="es-PE"/>
    </w:rPr>
  </w:style>
  <w:style w:type="character" w:customStyle="1" w:styleId="Textoindependiente3Car">
    <w:name w:val="Texto independiente 3 Car"/>
    <w:basedOn w:val="Fuentedeprrafopredeter"/>
    <w:link w:val="Textoindependiente3"/>
    <w:rsid w:val="003717D0"/>
    <w:rPr>
      <w:rFonts w:ascii="Times New Roman" w:eastAsia="Times New Roman" w:hAnsi="Times New Roman" w:cs="Times New Roman"/>
      <w:sz w:val="16"/>
      <w:szCs w:val="16"/>
      <w:lang w:val="es-PE" w:eastAsia="es-ES"/>
    </w:rPr>
  </w:style>
  <w:style w:type="paragraph" w:styleId="NormalWeb">
    <w:name w:val="Normal (Web)"/>
    <w:basedOn w:val="Normal"/>
    <w:rsid w:val="003717D0"/>
    <w:pPr>
      <w:spacing w:before="100" w:beforeAutospacing="1" w:after="100" w:afterAutospacing="1"/>
    </w:pPr>
    <w:rPr>
      <w:sz w:val="24"/>
      <w:szCs w:val="24"/>
    </w:rPr>
  </w:style>
  <w:style w:type="paragraph" w:styleId="Textonotapie">
    <w:name w:val="footnote text"/>
    <w:basedOn w:val="Normal"/>
    <w:link w:val="TextonotapieCar"/>
    <w:semiHidden/>
    <w:rsid w:val="003717D0"/>
  </w:style>
  <w:style w:type="character" w:customStyle="1" w:styleId="TextonotapieCar">
    <w:name w:val="Texto nota pie Car"/>
    <w:basedOn w:val="Fuentedeprrafopredeter"/>
    <w:link w:val="Textonotapie"/>
    <w:semiHidden/>
    <w:rsid w:val="003717D0"/>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3717D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2077</Words>
  <Characters>11428</Characters>
  <Application>Microsoft Office Word</Application>
  <DocSecurity>0</DocSecurity>
  <Lines>95</Lines>
  <Paragraphs>26</Paragraphs>
  <ScaleCrop>false</ScaleCrop>
  <Company/>
  <LinksUpToDate>false</LinksUpToDate>
  <CharactersWithSpaces>13479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1955-2007/TC-S3</dc:title>
  <dc:subject>APPLICACIÓN DE SANCIÓN A LA EMPRESA MULTIRROLLOS S.A.C. </dc:subject>
  <dc:creator>TRIBUNAL</dc:creator>
  <cp:keywords>CASO FORTUITO</cp:keywords>
  <dc:description/>
  <cp:lastModifiedBy>jcabrera</cp:lastModifiedBy>
  <cp:revision>3</cp:revision>
  <dcterms:created xsi:type="dcterms:W3CDTF">2007-12-13T19:20:00Z</dcterms:created>
  <dcterms:modified xsi:type="dcterms:W3CDTF">2007-12-13T19:23:00Z</dcterms:modified>
  <cp:category>RESOLUCION - TRIBUNAL</cp:category>
</cp:coreProperties>
</file>