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4D5" w:rsidRPr="002110BA" w:rsidRDefault="004A44D5" w:rsidP="004A44D5">
      <w:pPr>
        <w:tabs>
          <w:tab w:val="left" w:pos="2520"/>
        </w:tabs>
        <w:ind w:left="2520" w:right="765" w:hanging="1102"/>
        <w:jc w:val="both"/>
        <w:rPr>
          <w:rFonts w:ascii="Tahoma" w:hAnsi="Tahoma" w:cs="Tahoma"/>
          <w:lang w:val="es-PE"/>
        </w:rPr>
      </w:pPr>
      <w:r w:rsidRPr="002110BA">
        <w:rPr>
          <w:rFonts w:ascii="Tahoma" w:hAnsi="Tahoma" w:cs="Tahoma"/>
          <w:b/>
        </w:rPr>
        <w:t>Sumilla</w:t>
      </w:r>
      <w:r w:rsidRPr="002110BA">
        <w:rPr>
          <w:rFonts w:ascii="Tahoma" w:hAnsi="Tahoma" w:cs="Tahoma"/>
        </w:rPr>
        <w:t xml:space="preserve">:  </w:t>
      </w:r>
      <w:r w:rsidRPr="002110BA">
        <w:rPr>
          <w:rFonts w:ascii="Tahoma" w:hAnsi="Tahoma" w:cs="Tahoma"/>
        </w:rPr>
        <w:tab/>
      </w:r>
      <w:r w:rsidR="001717A1" w:rsidRPr="002110BA">
        <w:rPr>
          <w:rFonts w:ascii="Tahoma" w:hAnsi="Tahoma" w:cs="Tahoma"/>
        </w:rPr>
        <w:t>Corresponde imponer sanción administrativa a la Empresa Industrial, Comercial y de Servicios Matilde León S.A. por el período de dieciséis (16) meses de inhabilitación temporal en su derecho de presentarse en procesos de selección y contratar con el Estado</w:t>
      </w:r>
      <w:r w:rsidRPr="002110BA">
        <w:rPr>
          <w:rFonts w:ascii="Tahoma" w:hAnsi="Tahoma" w:cs="Tahoma"/>
        </w:rPr>
        <w:t>.</w:t>
      </w:r>
    </w:p>
    <w:p w:rsidR="004A44D5" w:rsidRPr="002110BA" w:rsidRDefault="004A44D5" w:rsidP="004A44D5">
      <w:pPr>
        <w:tabs>
          <w:tab w:val="left" w:pos="6180"/>
          <w:tab w:val="right" w:pos="8504"/>
        </w:tabs>
        <w:ind w:left="708" w:right="1304"/>
        <w:jc w:val="both"/>
        <w:rPr>
          <w:rFonts w:ascii="Tahoma" w:hAnsi="Tahoma" w:cs="Tahoma"/>
          <w:lang w:val="es-PE"/>
        </w:rPr>
      </w:pPr>
    </w:p>
    <w:p w:rsidR="004A44D5" w:rsidRPr="002110BA" w:rsidRDefault="004A44D5" w:rsidP="004A44D5">
      <w:pPr>
        <w:ind w:left="3540" w:firstLine="708"/>
        <w:jc w:val="center"/>
        <w:rPr>
          <w:rFonts w:ascii="Tahoma" w:hAnsi="Tahoma" w:cs="Tahoma"/>
          <w:lang w:val="es-PE"/>
        </w:rPr>
      </w:pPr>
    </w:p>
    <w:p w:rsidR="004A44D5" w:rsidRPr="002110BA" w:rsidRDefault="004A44D5" w:rsidP="007A38F7">
      <w:pPr>
        <w:ind w:left="3540" w:firstLine="708"/>
        <w:jc w:val="center"/>
        <w:rPr>
          <w:rFonts w:ascii="Tahoma" w:hAnsi="Tahoma" w:cs="Tahoma"/>
          <w:lang w:val="es-PE"/>
        </w:rPr>
      </w:pPr>
      <w:r w:rsidRPr="002110BA">
        <w:rPr>
          <w:rFonts w:ascii="Tahoma" w:hAnsi="Tahoma" w:cs="Tahoma"/>
          <w:lang w:val="es-PE"/>
        </w:rPr>
        <w:t xml:space="preserve">Lima, </w:t>
      </w:r>
      <w:r w:rsidR="007A38F7" w:rsidRPr="00667EE8">
        <w:rPr>
          <w:rFonts w:ascii="Tahoma" w:hAnsi="Tahoma" w:cs="Tahoma"/>
          <w:lang w:val="es-PE"/>
        </w:rPr>
        <w:t>08 de noviembre de 2007</w:t>
      </w:r>
    </w:p>
    <w:p w:rsidR="004A44D5" w:rsidRPr="002110BA" w:rsidRDefault="004A44D5" w:rsidP="004A44D5">
      <w:pPr>
        <w:ind w:right="-136"/>
        <w:jc w:val="both"/>
        <w:rPr>
          <w:rFonts w:ascii="Tahoma" w:hAnsi="Tahoma" w:cs="Tahoma"/>
          <w:lang w:val="es-PE"/>
        </w:rPr>
      </w:pPr>
    </w:p>
    <w:p w:rsidR="004A44D5" w:rsidRPr="002110BA" w:rsidRDefault="004A44D5" w:rsidP="004A44D5">
      <w:pPr>
        <w:pStyle w:val="Textoindependiente"/>
        <w:tabs>
          <w:tab w:val="left" w:pos="5400"/>
        </w:tabs>
        <w:rPr>
          <w:rFonts w:ascii="Tahoma" w:hAnsi="Tahoma" w:cs="Tahoma"/>
          <w:sz w:val="20"/>
        </w:rPr>
      </w:pPr>
    </w:p>
    <w:p w:rsidR="004A44D5" w:rsidRPr="002110BA" w:rsidRDefault="004A44D5" w:rsidP="004A44D5">
      <w:pPr>
        <w:pStyle w:val="Textoindependiente"/>
        <w:tabs>
          <w:tab w:val="left" w:pos="5400"/>
        </w:tabs>
        <w:rPr>
          <w:rFonts w:ascii="Tahoma" w:hAnsi="Tahoma" w:cs="Tahoma"/>
          <w:sz w:val="20"/>
        </w:rPr>
      </w:pPr>
      <w:r w:rsidRPr="002110BA">
        <w:rPr>
          <w:rFonts w:ascii="Tahoma" w:hAnsi="Tahoma" w:cs="Tahoma"/>
          <w:sz w:val="20"/>
        </w:rPr>
        <w:t>Visto, en sesión de fecha 31.10.2007 de la Tercera Sala del Tribunal de Contrataciones y Adquisiciones del Estado el Expediente N.º 240/2006.TC sobre la aplicación de sanción iniciado a la</w:t>
      </w:r>
      <w:r w:rsidR="00812CC9" w:rsidRPr="002110BA">
        <w:rPr>
          <w:rFonts w:ascii="Tahoma" w:hAnsi="Tahoma" w:cs="Tahoma"/>
          <w:sz w:val="20"/>
        </w:rPr>
        <w:t xml:space="preserve"> Empresa Industrial, Comercial y de Servicios Matilde León S.A. </w:t>
      </w:r>
      <w:r w:rsidRPr="002110BA">
        <w:rPr>
          <w:rFonts w:ascii="Tahoma" w:hAnsi="Tahoma" w:cs="Tahoma"/>
          <w:sz w:val="20"/>
        </w:rPr>
        <w:t xml:space="preserve">por su supuesta responsabilidad en la </w:t>
      </w:r>
      <w:r w:rsidR="00812CC9" w:rsidRPr="002110BA">
        <w:rPr>
          <w:rFonts w:ascii="Tahoma" w:hAnsi="Tahoma" w:cs="Tahoma"/>
          <w:sz w:val="20"/>
        </w:rPr>
        <w:t>no suscripción injustificada del contrato, a pesar de haber resultado ganador de los ítems 06, 07, 08, 09 y 10 de la Adjudicación Directa Selectiva N.º 001-2005-RED  DE SALUD TUPAC AMARU DISA III-LN</w:t>
      </w:r>
      <w:r w:rsidRPr="002110BA">
        <w:rPr>
          <w:rFonts w:ascii="Tahoma" w:hAnsi="Tahoma" w:cs="Tahoma"/>
          <w:sz w:val="20"/>
        </w:rPr>
        <w:t xml:space="preserve">, convocada por </w:t>
      </w:r>
      <w:r w:rsidR="00812CC9" w:rsidRPr="002110BA">
        <w:rPr>
          <w:rFonts w:ascii="Tahoma" w:hAnsi="Tahoma" w:cs="Tahoma"/>
          <w:sz w:val="20"/>
        </w:rPr>
        <w:t>la Dirección de Salud III Lima Norte del Ministerio de Salud</w:t>
      </w:r>
      <w:r w:rsidRPr="002110BA">
        <w:rPr>
          <w:rFonts w:ascii="Tahoma" w:hAnsi="Tahoma" w:cs="Tahoma"/>
          <w:sz w:val="20"/>
        </w:rPr>
        <w:t xml:space="preserve">; y atendiendo a los siguientes:   </w:t>
      </w:r>
      <w:r w:rsidRPr="002110BA">
        <w:rPr>
          <w:rFonts w:ascii="Tahoma" w:hAnsi="Tahoma" w:cs="Tahoma"/>
          <w:sz w:val="20"/>
        </w:rPr>
        <w:tab/>
      </w:r>
    </w:p>
    <w:p w:rsidR="004A44D5" w:rsidRPr="002110BA" w:rsidRDefault="004A44D5" w:rsidP="004A44D5">
      <w:pPr>
        <w:rPr>
          <w:rFonts w:ascii="Tahoma" w:hAnsi="Tahoma" w:cs="Tahoma"/>
          <w:shadow/>
          <w:lang w:val="es-PE"/>
        </w:rPr>
      </w:pPr>
    </w:p>
    <w:p w:rsidR="004A44D5" w:rsidRPr="002110BA" w:rsidRDefault="004A44D5" w:rsidP="004A44D5">
      <w:pPr>
        <w:jc w:val="both"/>
        <w:rPr>
          <w:rFonts w:ascii="Tahoma" w:hAnsi="Tahoma" w:cs="Tahoma"/>
          <w:b/>
          <w:shadow/>
        </w:rPr>
      </w:pPr>
    </w:p>
    <w:p w:rsidR="004A44D5" w:rsidRPr="002110BA" w:rsidRDefault="004A44D5" w:rsidP="004A44D5">
      <w:pPr>
        <w:jc w:val="both"/>
        <w:rPr>
          <w:rFonts w:ascii="Tahoma" w:hAnsi="Tahoma" w:cs="Tahoma"/>
          <w:b/>
          <w:shadow/>
        </w:rPr>
      </w:pPr>
      <w:r w:rsidRPr="002110BA">
        <w:rPr>
          <w:rFonts w:ascii="Tahoma" w:hAnsi="Tahoma" w:cs="Tahoma"/>
          <w:b/>
          <w:shadow/>
        </w:rPr>
        <w:t>ANTECEDENTES</w:t>
      </w:r>
    </w:p>
    <w:p w:rsidR="004A44D5" w:rsidRPr="002110BA" w:rsidRDefault="004A44D5" w:rsidP="004A44D5">
      <w:pPr>
        <w:jc w:val="both"/>
        <w:rPr>
          <w:rFonts w:ascii="Tahoma" w:hAnsi="Tahoma" w:cs="Tahoma"/>
          <w:b/>
          <w:shadow/>
        </w:rPr>
      </w:pPr>
    </w:p>
    <w:p w:rsidR="004A44D5" w:rsidRPr="002110BA" w:rsidRDefault="004A44D5" w:rsidP="004A44D5">
      <w:pPr>
        <w:jc w:val="both"/>
        <w:rPr>
          <w:rFonts w:ascii="Tahoma" w:hAnsi="Tahoma" w:cs="Tahoma"/>
          <w:b/>
          <w:shadow/>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rPr>
        <w:t>El 28 de diciembre de 2005, la Dirección de Salud III Lima Norte del Ministerio de Salud, en lo sucesivo la Entidad, convocó la Adjudicación Directa Selectiva N</w:t>
      </w:r>
      <w:proofErr w:type="gramStart"/>
      <w:r w:rsidRPr="002110BA">
        <w:rPr>
          <w:rFonts w:ascii="Tahoma" w:hAnsi="Tahoma" w:cs="Tahoma"/>
        </w:rPr>
        <w:t>.º</w:t>
      </w:r>
      <w:proofErr w:type="gramEnd"/>
      <w:r w:rsidRPr="002110BA">
        <w:rPr>
          <w:rFonts w:ascii="Tahoma" w:hAnsi="Tahoma" w:cs="Tahoma"/>
        </w:rPr>
        <w:t xml:space="preserve"> 001-2005-RED  DE SALUD TUPAC AMARU DISA III-LN para la adquisición de combustibles, lubricantes y carburantes para la Red de Salud Túpac Amaru III Lima Norte, por un valor referencial de S/. 167,730.56.</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 xml:space="preserve">El 24 de febrero de 2005 </w:t>
      </w:r>
      <w:r w:rsidRPr="002110BA">
        <w:rPr>
          <w:rFonts w:ascii="Tahoma" w:hAnsi="Tahoma" w:cs="Tahoma"/>
        </w:rPr>
        <w:t>el Comité Especial del proceso de selección convocado otorgó la buena pro de los ítems 06, 07, 08, 09 y 10 a la Empresa Industrial, Comercial y de Servicios Matilde León S.A., en adelante el Postor.</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El 16 de marzo de 2005, con Oficio N</w:t>
      </w:r>
      <w:proofErr w:type="gramStart"/>
      <w:r w:rsidRPr="002110BA">
        <w:rPr>
          <w:rFonts w:ascii="Tahoma" w:hAnsi="Tahoma" w:cs="Tahoma"/>
          <w:lang w:val="es-PE"/>
        </w:rPr>
        <w:t>.º</w:t>
      </w:r>
      <w:proofErr w:type="gramEnd"/>
      <w:r w:rsidRPr="002110BA">
        <w:rPr>
          <w:rFonts w:ascii="Tahoma" w:hAnsi="Tahoma" w:cs="Tahoma"/>
          <w:lang w:val="es-PE"/>
        </w:rPr>
        <w:t xml:space="preserve"> 120-2005-UL-REDSA-TA-VI  la Entidad comunicó al Postor el consentimiento del otorgamiento de la buena pro de los referidos ítems y lo citó para la firma del contrato correspondiente.</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Con Carta de fecha 30 de marzo de 2005, el Postor solicitó a la Entidad un plazo adicional para la firma del contrato respectivo, debido a que una acción coactiva iniciada por la Superintendencia Nacional de Administración Tributaria (SUNAT), no le permitía obtener la carta fianza necesaria para la suscripción del contrato.</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Mediante Oficio N</w:t>
      </w:r>
      <w:proofErr w:type="gramStart"/>
      <w:r w:rsidRPr="002110BA">
        <w:rPr>
          <w:rFonts w:ascii="Tahoma" w:hAnsi="Tahoma" w:cs="Tahoma"/>
          <w:lang w:val="es-PE"/>
        </w:rPr>
        <w:t>.º</w:t>
      </w:r>
      <w:proofErr w:type="gramEnd"/>
      <w:r w:rsidRPr="002110BA">
        <w:rPr>
          <w:rFonts w:ascii="Tahoma" w:hAnsi="Tahoma" w:cs="Tahoma"/>
          <w:lang w:val="es-PE"/>
        </w:rPr>
        <w:t xml:space="preserve"> 141-2005-UL-REDSA-TA-VI</w:t>
      </w:r>
      <w:r w:rsidRPr="002110BA">
        <w:rPr>
          <w:rStyle w:val="Refdenotaalpie"/>
          <w:rFonts w:ascii="Tahoma" w:hAnsi="Tahoma" w:cs="Tahoma"/>
          <w:lang w:val="es-PE"/>
        </w:rPr>
        <w:footnoteReference w:id="2"/>
      </w:r>
      <w:r w:rsidRPr="002110BA">
        <w:rPr>
          <w:rFonts w:ascii="Tahoma" w:hAnsi="Tahoma" w:cs="Tahoma"/>
          <w:lang w:val="es-PE"/>
        </w:rPr>
        <w:t xml:space="preserve"> debidamente recibido el 06 de abril de 2005, la Entidad citó nuevamente al Postor para el día 20 de abril del 2005 para la suscripción del referido contrato.</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lastRenderedPageBreak/>
        <w:t>No habiéndose presentado el Postor para la suscripción del contrato respectivo en la fecha programada, la Entidad mediante Oficio N</w:t>
      </w:r>
      <w:proofErr w:type="gramStart"/>
      <w:r w:rsidRPr="002110BA">
        <w:rPr>
          <w:rFonts w:ascii="Tahoma" w:hAnsi="Tahoma" w:cs="Tahoma"/>
          <w:lang w:val="es-PE"/>
        </w:rPr>
        <w:t>.º</w:t>
      </w:r>
      <w:proofErr w:type="gramEnd"/>
      <w:r w:rsidRPr="002110BA">
        <w:rPr>
          <w:rFonts w:ascii="Tahoma" w:hAnsi="Tahoma" w:cs="Tahoma"/>
          <w:lang w:val="es-PE"/>
        </w:rPr>
        <w:t xml:space="preserve"> 157-2005-UL-REDSA de fecha 21 de abril de 2005 citó a la señora Peregrina Troncos Vda. De Gálvez, postor que ocupó el segundo lugar en el orden de prelación, para el día 04 de mayo del mismo año a fin de suscribir el contrato correspondiente.</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 xml:space="preserve">El 16 de febrero de 2006, la Entidad a través del Oficio N.º 136-2006-DE-UL-REDSA </w:t>
      </w:r>
      <w:r w:rsidRPr="002110BA">
        <w:rPr>
          <w:rFonts w:ascii="Tahoma" w:hAnsi="Tahoma" w:cs="Tahoma"/>
        </w:rPr>
        <w:t xml:space="preserve">puso en conocimiento del Tribunal de Contrataciones y Adquisiciones del Estado que </w:t>
      </w:r>
      <w:r w:rsidRPr="002110BA">
        <w:rPr>
          <w:rFonts w:ascii="Tahoma" w:hAnsi="Tahoma" w:cs="Tahoma"/>
          <w:lang w:val="es-PE"/>
        </w:rPr>
        <w:t xml:space="preserve">el Postor </w:t>
      </w:r>
      <w:r w:rsidRPr="002110BA">
        <w:rPr>
          <w:rFonts w:ascii="Tahoma" w:hAnsi="Tahoma" w:cs="Tahoma"/>
        </w:rPr>
        <w:t>habría incurrido en supuesta responsabilidad por no suscribir injustificadamente el contrato correspondiente a pesar de resultar ganadora de los ítems 06, 07, 08, 09 y 10 del proceso de selección convocado.</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rPr>
        <w:t xml:space="preserve">El 17 de febrero de 2006, se inició procedimiento administrativo sancionador contra </w:t>
      </w:r>
      <w:r w:rsidRPr="002110BA">
        <w:rPr>
          <w:rFonts w:ascii="Tahoma" w:hAnsi="Tahoma" w:cs="Tahoma"/>
          <w:lang w:val="es-PE"/>
        </w:rPr>
        <w:t xml:space="preserve">la </w:t>
      </w:r>
      <w:r w:rsidRPr="002110BA">
        <w:rPr>
          <w:rFonts w:ascii="Tahoma" w:hAnsi="Tahoma" w:cs="Tahoma"/>
        </w:rPr>
        <w:t>Empresa Industrial, Comercial y de Servicios Matilde León S.A., por su supuesta responsabilidad en la no suscripción injustificada del contrato, a pesar de haber resultado ganador de los ítems 06, 07, 08, 09 y 10 de la Adjudicación Directa Selectiva N.º 001-2005-RED  DE SALUD TUPAC AMARU DISA III-LN convocada para la adquisición de combustibles, lubricantes y carburantes para la Red de Salud Túpac Amaru III Lima Norte. Asimismo, se emplazó al Postor a fin que presente sus descargos dentro del plazo de diez (10) días.</w:t>
      </w:r>
    </w:p>
    <w:p w:rsidR="004A44D5" w:rsidRPr="002110BA" w:rsidRDefault="004A44D5" w:rsidP="004A44D5">
      <w:pPr>
        <w:jc w:val="both"/>
        <w:rPr>
          <w:rFonts w:ascii="Tahoma" w:hAnsi="Tahoma" w:cs="Tahoma"/>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rPr>
        <w:t xml:space="preserve">Mediante escritos de fecha 15 y 17 de marzo de 2006 el Postor presentó sus descargos, manifestando que no pudo suscribir el referido contrato debido a que la SUNAT intempestivamente inmovilizó sus cuentas por una presunta deuda que a la fecha ha quedado desvirtuada. </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rPr>
        <w:t>Mediante decreto de fecha 20 de marzo de 2006 se remitió el expediente a la Sala Única del Tribunal para que resuelva.</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rPr>
        <w:t>El Acuerdo N</w:t>
      </w:r>
      <w:proofErr w:type="gramStart"/>
      <w:r w:rsidRPr="002110BA">
        <w:rPr>
          <w:rFonts w:ascii="Tahoma" w:hAnsi="Tahoma" w:cs="Tahoma"/>
        </w:rPr>
        <w:t>.º</w:t>
      </w:r>
      <w:proofErr w:type="gramEnd"/>
      <w:r w:rsidRPr="002110BA">
        <w:rPr>
          <w:rFonts w:ascii="Tahoma" w:hAnsi="Tahoma" w:cs="Tahoma"/>
        </w:rPr>
        <w:t xml:space="preserve"> 007/2007 expedido en sesión de Sala Plena del Tribunal el 12 de abril de 2007, estableció que la Tercera Sala del Tribunal conocerá los procedimientos administrativos sancionadores y determinó los criterios de asignación de expedientes de aplicación de sanción, motivo por el cual, mediante decreto de fecha 04 de junio de 2007 se remitió el presente expediente administrativo a la Tercera Sala del Tribunal. </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 xml:space="preserve">Mediante decreto de fecha 14 de setiembre de 2007, a </w:t>
      </w:r>
      <w:r w:rsidRPr="002110BA">
        <w:rPr>
          <w:rFonts w:ascii="Tahoma" w:hAnsi="Tahoma" w:cs="Tahoma"/>
        </w:rPr>
        <w:t>fin que la Tercera Sala del Tribunal tenga mayores elementos de juicio al momento de resolver el presente procedimiento, se requirió a la Empresa Comercial y de Servicios Matilde León S.A. remita la documentación que sustente lo expuesto en sus descargos, en el sentido que la Superintendencia Nacional de Administración Tributaria inmovilizó la cuenta corriente de su representada como consecuencia de una acción coactiva.</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El 21 de setiembre de 2007 el Postor remitió copia de la Resolución Coactiva N</w:t>
      </w:r>
      <w:proofErr w:type="gramStart"/>
      <w:r w:rsidRPr="002110BA">
        <w:rPr>
          <w:rFonts w:ascii="Tahoma" w:hAnsi="Tahoma" w:cs="Tahoma"/>
          <w:lang w:val="es-PE"/>
        </w:rPr>
        <w:t>.º</w:t>
      </w:r>
      <w:proofErr w:type="gramEnd"/>
      <w:r w:rsidRPr="002110BA">
        <w:rPr>
          <w:rFonts w:ascii="Tahoma" w:hAnsi="Tahoma" w:cs="Tahoma"/>
          <w:lang w:val="es-PE"/>
        </w:rPr>
        <w:t xml:space="preserve"> 021070298822, la Resolución del tribunal Fiscal N.º 06671-4-2006 y la Resolución de Intendencia N.º 026-015-0001767/SUNAT.</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lastRenderedPageBreak/>
        <w:t xml:space="preserve">Con decreto de fecha 10 de octubre del 2007 la Tercera Sala del Tribunal requirió a la SUNAT a fin de que informe </w:t>
      </w:r>
      <w:r w:rsidRPr="002110BA">
        <w:rPr>
          <w:rFonts w:ascii="Tahoma" w:hAnsi="Tahoma" w:cs="Tahoma"/>
        </w:rPr>
        <w:t>a este Colegiado en que estado se encontraba, durante el mes de febrero del año 2005, la medida cautelar interpuesta contra la Empresa Industrial, Comercial y de Servicios Matilde León S.A. mediante Resolución Coactiva N</w:t>
      </w:r>
      <w:proofErr w:type="gramStart"/>
      <w:r w:rsidRPr="002110BA">
        <w:rPr>
          <w:rFonts w:ascii="Tahoma" w:hAnsi="Tahoma" w:cs="Tahoma"/>
        </w:rPr>
        <w:t>.º</w:t>
      </w:r>
      <w:proofErr w:type="gramEnd"/>
      <w:r w:rsidRPr="002110BA">
        <w:rPr>
          <w:rFonts w:ascii="Tahoma" w:hAnsi="Tahoma" w:cs="Tahoma"/>
        </w:rPr>
        <w:t xml:space="preserve"> 02107029822 correspondiente al Expediente N.º 02106093043.</w:t>
      </w:r>
    </w:p>
    <w:p w:rsidR="004A44D5" w:rsidRPr="002110BA" w:rsidRDefault="004A44D5" w:rsidP="004A44D5">
      <w:pPr>
        <w:jc w:val="both"/>
        <w:rPr>
          <w:rFonts w:ascii="Tahoma" w:hAnsi="Tahoma" w:cs="Tahoma"/>
          <w:lang w:val="es-PE"/>
        </w:rPr>
      </w:pPr>
    </w:p>
    <w:p w:rsidR="004A44D5" w:rsidRPr="002110BA" w:rsidRDefault="004A44D5" w:rsidP="004A44D5">
      <w:pPr>
        <w:numPr>
          <w:ilvl w:val="0"/>
          <w:numId w:val="5"/>
        </w:numPr>
        <w:tabs>
          <w:tab w:val="clear" w:pos="454"/>
          <w:tab w:val="num" w:pos="540"/>
        </w:tabs>
        <w:ind w:left="540" w:hanging="540"/>
        <w:jc w:val="both"/>
        <w:rPr>
          <w:rFonts w:ascii="Tahoma" w:hAnsi="Tahoma" w:cs="Tahoma"/>
          <w:lang w:val="es-PE"/>
        </w:rPr>
      </w:pPr>
      <w:r w:rsidRPr="002110BA">
        <w:rPr>
          <w:rFonts w:ascii="Tahoma" w:hAnsi="Tahoma" w:cs="Tahoma"/>
          <w:lang w:val="es-PE"/>
        </w:rPr>
        <w:t>El 19 de octubre de 2007 la SUNAT informó que la medida cautelar de embargo en forma de retención bancaria trabada mediante Resolución Coactiva N.º 02107029822, se mantuvo vigente desde el 25 de abril de 2001 hasta el 07 de setiembre de 2006; en consecuencia, durante el mes de febrero de 2005 dicha medida se encontraba vigente. Asimismo, adjuntó el Informe N</w:t>
      </w:r>
      <w:proofErr w:type="gramStart"/>
      <w:r w:rsidRPr="002110BA">
        <w:rPr>
          <w:rFonts w:ascii="Tahoma" w:hAnsi="Tahoma" w:cs="Tahoma"/>
          <w:lang w:val="es-PE"/>
        </w:rPr>
        <w:t>.º</w:t>
      </w:r>
      <w:proofErr w:type="gramEnd"/>
      <w:r w:rsidRPr="002110BA">
        <w:rPr>
          <w:rFonts w:ascii="Tahoma" w:hAnsi="Tahoma" w:cs="Tahoma"/>
          <w:lang w:val="es-PE"/>
        </w:rPr>
        <w:t xml:space="preserve"> 863-2007-SUNAT/210203 emitido por la Sección Cobranza de la Intendencia Regional Lima de la misma Entidad.</w:t>
      </w:r>
    </w:p>
    <w:p w:rsidR="004A44D5" w:rsidRPr="002110BA" w:rsidRDefault="004A44D5" w:rsidP="004A44D5">
      <w:pPr>
        <w:rPr>
          <w:rFonts w:ascii="Tahoma" w:hAnsi="Tahoma" w:cs="Tahoma"/>
          <w:b/>
          <w:shadow/>
          <w:lang w:val="es-PE"/>
        </w:rPr>
      </w:pPr>
    </w:p>
    <w:p w:rsidR="004A44D5" w:rsidRPr="002110BA" w:rsidRDefault="004A44D5" w:rsidP="004A44D5">
      <w:pPr>
        <w:rPr>
          <w:rFonts w:ascii="Tahoma" w:hAnsi="Tahoma" w:cs="Tahoma"/>
          <w:b/>
          <w:shadow/>
          <w:lang w:val="es-PE"/>
        </w:rPr>
      </w:pPr>
    </w:p>
    <w:p w:rsidR="004A44D5" w:rsidRPr="002110BA" w:rsidRDefault="004A44D5" w:rsidP="004A44D5">
      <w:pPr>
        <w:rPr>
          <w:rFonts w:ascii="Tahoma" w:hAnsi="Tahoma" w:cs="Tahoma"/>
          <w:b/>
          <w:shadow/>
        </w:rPr>
      </w:pPr>
      <w:r w:rsidRPr="002110BA">
        <w:rPr>
          <w:rFonts w:ascii="Tahoma" w:hAnsi="Tahoma" w:cs="Tahoma"/>
          <w:b/>
          <w:shadow/>
        </w:rPr>
        <w:t>FUNDAMENTOS</w:t>
      </w:r>
    </w:p>
    <w:p w:rsidR="004A44D5" w:rsidRPr="002110BA" w:rsidRDefault="004A44D5" w:rsidP="004A44D5">
      <w:pPr>
        <w:tabs>
          <w:tab w:val="left" w:pos="540"/>
        </w:tabs>
        <w:ind w:left="360"/>
        <w:jc w:val="both"/>
        <w:rPr>
          <w:rFonts w:ascii="Tahoma" w:hAnsi="Tahoma" w:cs="Tahoma"/>
        </w:rPr>
      </w:pPr>
    </w:p>
    <w:p w:rsidR="004A44D5" w:rsidRPr="002110BA" w:rsidRDefault="004A44D5" w:rsidP="004A44D5">
      <w:pPr>
        <w:tabs>
          <w:tab w:val="left" w:pos="540"/>
        </w:tabs>
        <w:ind w:left="360"/>
        <w:jc w:val="both"/>
        <w:rPr>
          <w:rFonts w:ascii="Tahoma" w:hAnsi="Tahoma" w:cs="Tahoma"/>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La infracción por la cual se decretó el inicio del presente procedimiento administrativo sancionador se encuentra tipificada en el inciso 9) del artículo 294 del Reglamento de la Ley de Contrataciones y Adquisiciones del Estado, aprobado por Decreto Supremo N.° 084-2004-PCM</w:t>
      </w:r>
      <w:r w:rsidRPr="009B7390">
        <w:rPr>
          <w:rStyle w:val="Refdenotaalpie"/>
          <w:rFonts w:ascii="Tahoma" w:hAnsi="Tahoma" w:cs="Tahoma"/>
          <w:sz w:val="20"/>
        </w:rPr>
        <w:footnoteReference w:id="3"/>
      </w:r>
      <w:r w:rsidRPr="009B7390">
        <w:rPr>
          <w:rFonts w:ascii="Tahoma" w:hAnsi="Tahoma" w:cs="Tahoma"/>
          <w:sz w:val="20"/>
        </w:rPr>
        <w:t>, en lo sucesivo el Reglamento. Dicha infracción consiste en la presentación de documentos falsos o inexactos en procesos de selección, ante la Entidad o el Consejo Superior de Contrataciones y Adquisiciones del Estado – CONSUCODE.</w:t>
      </w:r>
    </w:p>
    <w:p w:rsidR="00D976F9" w:rsidRPr="009B7390" w:rsidRDefault="00D976F9" w:rsidP="00D976F9">
      <w:pPr>
        <w:pStyle w:val="Textoindependiente"/>
        <w:tabs>
          <w:tab w:val="num" w:pos="540"/>
          <w:tab w:val="left" w:pos="2410"/>
        </w:tabs>
        <w:rPr>
          <w:rFonts w:ascii="Tahoma" w:hAnsi="Tahoma" w:cs="Tahoma"/>
          <w:sz w:val="20"/>
        </w:rPr>
      </w:pPr>
    </w:p>
    <w:p w:rsidR="00D976F9" w:rsidRPr="009B7390" w:rsidRDefault="00D976F9" w:rsidP="00D976F9">
      <w:pPr>
        <w:pStyle w:val="Textoindependiente"/>
        <w:tabs>
          <w:tab w:val="num" w:pos="540"/>
          <w:tab w:val="left" w:pos="2410"/>
        </w:tabs>
        <w:ind w:left="540"/>
        <w:rPr>
          <w:rFonts w:ascii="Tahoma" w:hAnsi="Tahoma" w:cs="Tahoma"/>
          <w:sz w:val="20"/>
        </w:rPr>
      </w:pPr>
      <w:r w:rsidRPr="009B7390">
        <w:rPr>
          <w:rFonts w:ascii="Tahoma" w:hAnsi="Tahoma" w:cs="Tahoma"/>
          <w:sz w:val="20"/>
          <w:lang w:val="es-MX"/>
        </w:rPr>
        <w:t>Al respecto, debe tenerse presente que p</w:t>
      </w:r>
      <w:r w:rsidRPr="009B7390">
        <w:rPr>
          <w:rFonts w:ascii="Tahoma" w:hAnsi="Tahoma" w:cs="Tahoma"/>
          <w:sz w:val="20"/>
        </w:rPr>
        <w:t>ara la configuración del supuesto de hecho de la norma que contiene la infracción invocada, se requiere previamente acreditar la falsedad del documento cuestionado, es decir, que éste no ha sido expedido por el órgano emisor correspondiente o que siendo válidamente expedido, ha sido adulterado en su contenido. Por otro lado, la infracción referida a información inexacta se configura ante la presentación de documentos no concordantes con la realidad, es decir, constituye una forma de falseamiento de la realidad, a través del quebrantamiento de los principios de moralidad y de presunción de veracidad.</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 xml:space="preserve">La imputación efectuada contra las empresas </w:t>
      </w:r>
      <w:proofErr w:type="spellStart"/>
      <w:r w:rsidRPr="009B7390">
        <w:rPr>
          <w:rFonts w:ascii="Tahoma" w:hAnsi="Tahoma" w:cs="Tahoma"/>
          <w:sz w:val="20"/>
        </w:rPr>
        <w:t>Renz</w:t>
      </w:r>
      <w:proofErr w:type="spellEnd"/>
      <w:r w:rsidRPr="009B7390">
        <w:rPr>
          <w:rFonts w:ascii="Tahoma" w:hAnsi="Tahoma" w:cs="Tahoma"/>
          <w:sz w:val="20"/>
        </w:rPr>
        <w:t xml:space="preserve"> S.A.C. y Servicio de Acondicionamiento en General Apolo S.R.L. integrantes del Consorcio se refiere a la presentación del Anexo N</w:t>
      </w:r>
      <w:proofErr w:type="gramStart"/>
      <w:r w:rsidRPr="009B7390">
        <w:rPr>
          <w:rFonts w:ascii="Tahoma" w:hAnsi="Tahoma" w:cs="Tahoma"/>
          <w:sz w:val="20"/>
        </w:rPr>
        <w:t>.º</w:t>
      </w:r>
      <w:proofErr w:type="gramEnd"/>
      <w:r w:rsidRPr="009B7390">
        <w:rPr>
          <w:rFonts w:ascii="Tahoma" w:hAnsi="Tahoma" w:cs="Tahoma"/>
          <w:sz w:val="20"/>
        </w:rPr>
        <w:t xml:space="preserve"> 03 correspondiente a la Declaración Jurada en la que afirmó que los bienes ofertados eran producidos en territorio nacional, conforme a lo establecido por el artículo 1º del Decreto Supremo N.º 003-2001-PCM, documento que contendría información inexacta. </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Al respecto, la Entidad manifestó en el Informe Legal N</w:t>
      </w:r>
      <w:proofErr w:type="gramStart"/>
      <w:r w:rsidRPr="009B7390">
        <w:rPr>
          <w:rFonts w:ascii="Tahoma" w:hAnsi="Tahoma" w:cs="Tahoma"/>
          <w:sz w:val="20"/>
        </w:rPr>
        <w:t>.º</w:t>
      </w:r>
      <w:proofErr w:type="gramEnd"/>
      <w:r w:rsidRPr="009B7390">
        <w:rPr>
          <w:rFonts w:ascii="Tahoma" w:hAnsi="Tahoma" w:cs="Tahoma"/>
          <w:sz w:val="20"/>
        </w:rPr>
        <w:t xml:space="preserve"> 028-2006-SUNAT/2B2300</w:t>
      </w:r>
      <w:r w:rsidRPr="009B7390">
        <w:rPr>
          <w:rStyle w:val="Refdenotaalpie"/>
          <w:rFonts w:ascii="Tahoma" w:hAnsi="Tahoma" w:cs="Tahoma"/>
          <w:sz w:val="20"/>
        </w:rPr>
        <w:footnoteReference w:id="4"/>
      </w:r>
      <w:r w:rsidRPr="009B7390">
        <w:rPr>
          <w:rFonts w:ascii="Tahoma" w:hAnsi="Tahoma" w:cs="Tahoma"/>
          <w:sz w:val="20"/>
        </w:rPr>
        <w:t xml:space="preserve"> que </w:t>
      </w:r>
      <w:r w:rsidRPr="009B7390">
        <w:rPr>
          <w:rFonts w:ascii="Tahoma" w:hAnsi="Tahoma" w:cs="Tahoma"/>
          <w:sz w:val="20"/>
        </w:rPr>
        <w:lastRenderedPageBreak/>
        <w:t>el Comité especial constató al revisar las muestras entregadas por el Postor, que la corbata presentada llevaba en la parte posterior una etiqueta que consignaba “</w:t>
      </w:r>
      <w:proofErr w:type="spellStart"/>
      <w:r w:rsidRPr="009B7390">
        <w:rPr>
          <w:rFonts w:ascii="Tahoma" w:hAnsi="Tahoma" w:cs="Tahoma"/>
          <w:sz w:val="20"/>
        </w:rPr>
        <w:t>Made</w:t>
      </w:r>
      <w:proofErr w:type="spellEnd"/>
      <w:r w:rsidRPr="009B7390">
        <w:rPr>
          <w:rFonts w:ascii="Tahoma" w:hAnsi="Tahoma" w:cs="Tahoma"/>
          <w:sz w:val="20"/>
        </w:rPr>
        <w:t xml:space="preserve"> in China”, lo cual a criterio de la Entidad, desvirtuó la declaración jurada presentada como Anexo N.º 03 por el Postor. </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tabs>
          <w:tab w:val="left" w:pos="2410"/>
        </w:tabs>
        <w:ind w:left="540"/>
        <w:rPr>
          <w:rFonts w:ascii="Tahoma" w:hAnsi="Tahoma" w:cs="Tahoma"/>
          <w:sz w:val="20"/>
        </w:rPr>
      </w:pPr>
      <w:r w:rsidRPr="009B7390">
        <w:rPr>
          <w:rFonts w:ascii="Tahoma" w:hAnsi="Tahoma" w:cs="Tahoma"/>
          <w:sz w:val="20"/>
        </w:rPr>
        <w:t>En ese sentido, indicó la Entidad, se verificó que la muestra no ha sido producida en el Perú, y consecuentemente no cumplía con las condiciones establecidas en el Decreto Supremo N</w:t>
      </w:r>
      <w:proofErr w:type="gramStart"/>
      <w:r w:rsidRPr="009B7390">
        <w:rPr>
          <w:rFonts w:ascii="Tahoma" w:hAnsi="Tahoma" w:cs="Tahoma"/>
          <w:sz w:val="20"/>
        </w:rPr>
        <w:t>.º</w:t>
      </w:r>
      <w:proofErr w:type="gramEnd"/>
      <w:r w:rsidRPr="009B7390">
        <w:rPr>
          <w:rFonts w:ascii="Tahoma" w:hAnsi="Tahoma" w:cs="Tahoma"/>
          <w:sz w:val="20"/>
        </w:rPr>
        <w:t xml:space="preserve"> 003-2001-PCM por lo que, no se le otorgó el 10% adicional a la sumatoria de la calificación técnica y económica. </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numPr>
          <w:ilvl w:val="0"/>
          <w:numId w:val="4"/>
        </w:numPr>
        <w:rPr>
          <w:rFonts w:ascii="Tahoma" w:hAnsi="Tahoma" w:cs="Tahoma"/>
          <w:b/>
          <w:sz w:val="20"/>
        </w:rPr>
      </w:pPr>
      <w:r w:rsidRPr="009B7390">
        <w:rPr>
          <w:rFonts w:ascii="Tahoma" w:hAnsi="Tahoma" w:cs="Tahoma"/>
          <w:sz w:val="20"/>
        </w:rPr>
        <w:t xml:space="preserve">En virtud al derecho de defensa que ampara al administrado, el Consorcio presentó sus descargos respectivos, en los cuales afirmó que </w:t>
      </w:r>
      <w:r w:rsidRPr="009B7390">
        <w:rPr>
          <w:rFonts w:ascii="Tahoma" w:hAnsi="Tahoma" w:cs="Tahoma"/>
          <w:b/>
          <w:i/>
          <w:sz w:val="20"/>
        </w:rPr>
        <w:t xml:space="preserve">“(…) se considera bien nacional cuando más del 50% del mismo, o del conjunto que se presenta es de origen o fabricación nacional, en el caso de autos al ser el terno y la camisa de exclusiva fabricación nacional y constituir más del porcentaje en mención, debe desestimarse lo solicitado”. </w:t>
      </w:r>
      <w:r w:rsidRPr="009B7390">
        <w:rPr>
          <w:rFonts w:ascii="Tahoma" w:hAnsi="Tahoma" w:cs="Tahoma"/>
          <w:sz w:val="20"/>
        </w:rPr>
        <w:t>(el resaltado es nuestro)</w:t>
      </w:r>
    </w:p>
    <w:p w:rsidR="00D976F9" w:rsidRPr="009B7390" w:rsidRDefault="00D976F9" w:rsidP="00D976F9">
      <w:pPr>
        <w:pStyle w:val="Textoindependiente"/>
        <w:tabs>
          <w:tab w:val="left" w:pos="2410"/>
        </w:tabs>
        <w:rPr>
          <w:rFonts w:ascii="Tahoma" w:hAnsi="Tahoma" w:cs="Tahoma"/>
          <w:sz w:val="20"/>
        </w:rPr>
      </w:pPr>
      <w:r w:rsidRPr="009B7390">
        <w:rPr>
          <w:rFonts w:ascii="Tahoma" w:hAnsi="Tahoma" w:cs="Tahoma"/>
          <w:sz w:val="20"/>
        </w:rPr>
        <w:t xml:space="preserve"> </w:t>
      </w:r>
    </w:p>
    <w:p w:rsidR="00D976F9" w:rsidRPr="009B7390" w:rsidRDefault="00D976F9" w:rsidP="00D976F9">
      <w:pPr>
        <w:pStyle w:val="Textoindependiente"/>
        <w:tabs>
          <w:tab w:val="left" w:pos="2410"/>
        </w:tabs>
        <w:ind w:left="540"/>
        <w:rPr>
          <w:rFonts w:ascii="Tahoma" w:hAnsi="Tahoma" w:cs="Tahoma"/>
          <w:sz w:val="20"/>
        </w:rPr>
      </w:pPr>
      <w:r w:rsidRPr="009B7390">
        <w:rPr>
          <w:rFonts w:ascii="Tahoma" w:hAnsi="Tahoma" w:cs="Tahoma"/>
          <w:sz w:val="20"/>
        </w:rPr>
        <w:t>Posteriormente, la empresa Servicios de Acondicionamiento en General Apolo S.R.L. integrante del Consorcio manifestó mediante escrito de fecha 07 de agosto de 2006 que al momento de elaborar los paquetes de muestras se adjuntó por error una corbata de origen chino que serviría de modelo para la elaboración en las prendas ofertadas y que no existió intención de perjudicar a la Entidad.</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De la revisión de la documentación obrante en autos, se advierte que efectivamente el Consorcio presentó, como parte de su propuesta técnica, el Anexo N</w:t>
      </w:r>
      <w:proofErr w:type="gramStart"/>
      <w:r w:rsidRPr="009B7390">
        <w:rPr>
          <w:rFonts w:ascii="Tahoma" w:hAnsi="Tahoma" w:cs="Tahoma"/>
          <w:sz w:val="20"/>
        </w:rPr>
        <w:t>.º</w:t>
      </w:r>
      <w:proofErr w:type="gramEnd"/>
      <w:r w:rsidRPr="009B7390">
        <w:rPr>
          <w:rFonts w:ascii="Tahoma" w:hAnsi="Tahoma" w:cs="Tahoma"/>
          <w:sz w:val="20"/>
        </w:rPr>
        <w:t xml:space="preserve"> 03</w:t>
      </w:r>
      <w:r w:rsidRPr="009B7390">
        <w:rPr>
          <w:rStyle w:val="Refdenotaalpie"/>
          <w:rFonts w:ascii="Tahoma" w:hAnsi="Tahoma" w:cs="Tahoma"/>
          <w:sz w:val="20"/>
        </w:rPr>
        <w:footnoteReference w:id="5"/>
      </w:r>
      <w:r w:rsidRPr="009B7390">
        <w:rPr>
          <w:rFonts w:ascii="Tahoma" w:hAnsi="Tahoma" w:cs="Tahoma"/>
          <w:sz w:val="20"/>
        </w:rPr>
        <w:t xml:space="preserve"> correspondiente a una Declaración Jurada por cada una de las empresas integrantes del Consorcio en las que afirmó que los bienes que ofertaban eran producidos en territorio nacional, conforme a lo establecido por el artículo 1º del Decreto Supremo N.º 003-2001-PCM. </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tabs>
          <w:tab w:val="left" w:pos="2410"/>
        </w:tabs>
        <w:ind w:left="540"/>
        <w:rPr>
          <w:rFonts w:ascii="Tahoma" w:hAnsi="Tahoma" w:cs="Tahoma"/>
          <w:sz w:val="20"/>
        </w:rPr>
      </w:pPr>
      <w:r w:rsidRPr="009B7390">
        <w:rPr>
          <w:rFonts w:ascii="Tahoma" w:hAnsi="Tahoma" w:cs="Tahoma"/>
          <w:sz w:val="20"/>
        </w:rPr>
        <w:t>Asimismo, consta, en los descargos y en el escrito de fecha 07 de agosto de 2006 que obran en autos, que tanto el representante del Consorcio como el representante de la empresa Servicios de Acondicionamiento en General Apolo S.R.L. han reconocido haber presentado, por error, una corbata fabricada en China como muestra del producto ofertado.</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Sobre el particular, el literal f) del numeral 6.9 del punto VI de las bases administrativas señalan que la oferta técnica debe considerar los documentos, muestras, características y especificaciones técnicas detallados en el Anexo N</w:t>
      </w:r>
      <w:proofErr w:type="gramStart"/>
      <w:r w:rsidRPr="009B7390">
        <w:rPr>
          <w:rFonts w:ascii="Tahoma" w:hAnsi="Tahoma" w:cs="Tahoma"/>
          <w:sz w:val="20"/>
        </w:rPr>
        <w:t>.º</w:t>
      </w:r>
      <w:proofErr w:type="gramEnd"/>
      <w:r w:rsidRPr="009B7390">
        <w:rPr>
          <w:rFonts w:ascii="Tahoma" w:hAnsi="Tahoma" w:cs="Tahoma"/>
          <w:sz w:val="20"/>
        </w:rPr>
        <w:t xml:space="preserve"> 04. </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tabs>
          <w:tab w:val="left" w:pos="2410"/>
        </w:tabs>
        <w:ind w:left="540"/>
        <w:rPr>
          <w:rFonts w:ascii="Tahoma" w:hAnsi="Tahoma" w:cs="Tahoma"/>
          <w:sz w:val="20"/>
        </w:rPr>
      </w:pPr>
      <w:r w:rsidRPr="009B7390">
        <w:rPr>
          <w:rFonts w:ascii="Tahoma" w:hAnsi="Tahoma" w:cs="Tahoma"/>
          <w:sz w:val="20"/>
        </w:rPr>
        <w:t>Por su lado, el punto IV del Anexo N</w:t>
      </w:r>
      <w:proofErr w:type="gramStart"/>
      <w:r w:rsidRPr="009B7390">
        <w:rPr>
          <w:rFonts w:ascii="Tahoma" w:hAnsi="Tahoma" w:cs="Tahoma"/>
          <w:sz w:val="20"/>
        </w:rPr>
        <w:t>.º</w:t>
      </w:r>
      <w:proofErr w:type="gramEnd"/>
      <w:r w:rsidRPr="009B7390">
        <w:rPr>
          <w:rFonts w:ascii="Tahoma" w:hAnsi="Tahoma" w:cs="Tahoma"/>
          <w:sz w:val="20"/>
        </w:rPr>
        <w:t xml:space="preserve"> 04 señala textualmente que </w:t>
      </w:r>
      <w:r w:rsidRPr="009B7390">
        <w:rPr>
          <w:rFonts w:ascii="Tahoma" w:hAnsi="Tahoma" w:cs="Tahoma"/>
          <w:i/>
          <w:sz w:val="20"/>
        </w:rPr>
        <w:t>“</w:t>
      </w:r>
      <w:r w:rsidRPr="009B7390">
        <w:rPr>
          <w:rFonts w:ascii="Tahoma" w:hAnsi="Tahoma" w:cs="Tahoma"/>
          <w:i/>
          <w:sz w:val="20"/>
          <w:u w:val="single"/>
        </w:rPr>
        <w:t>El postor deberá presentar una muestra de cada una de las prendas solicitadas</w:t>
      </w:r>
      <w:r w:rsidRPr="009B7390">
        <w:rPr>
          <w:rFonts w:ascii="Tahoma" w:hAnsi="Tahoma" w:cs="Tahoma"/>
          <w:i/>
          <w:sz w:val="20"/>
        </w:rPr>
        <w:t xml:space="preserve">, conjuntamente con su propuesta el día señalado para tal fin en el calendario del proceso. El postor deberá presentar sus muestras debidamente rotuladas con el nombre del postor, mediante Guía de Remisión con destinatario SUNAT. </w:t>
      </w:r>
      <w:r w:rsidRPr="009B7390">
        <w:rPr>
          <w:rFonts w:ascii="Tahoma" w:hAnsi="Tahoma" w:cs="Tahoma"/>
          <w:b/>
          <w:i/>
          <w:sz w:val="20"/>
        </w:rPr>
        <w:t xml:space="preserve">Las muestras deberán estar confeccionadas </w:t>
      </w:r>
      <w:r w:rsidRPr="009B7390">
        <w:rPr>
          <w:rFonts w:ascii="Tahoma" w:hAnsi="Tahoma" w:cs="Tahoma"/>
          <w:b/>
          <w:i/>
          <w:sz w:val="20"/>
        </w:rPr>
        <w:lastRenderedPageBreak/>
        <w:t>con la tela y materiales que ofrezcan en la Propuesta Técnica</w:t>
      </w:r>
      <w:r w:rsidRPr="009B7390">
        <w:rPr>
          <w:rFonts w:ascii="Tahoma" w:hAnsi="Tahoma" w:cs="Tahoma"/>
          <w:i/>
          <w:sz w:val="20"/>
        </w:rPr>
        <w:t xml:space="preserve">” </w:t>
      </w:r>
      <w:r w:rsidRPr="009B7390">
        <w:rPr>
          <w:rFonts w:ascii="Tahoma" w:hAnsi="Tahoma" w:cs="Tahoma"/>
          <w:sz w:val="20"/>
        </w:rPr>
        <w:t>(el resaltado es nuestro).</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tabs>
          <w:tab w:val="left" w:pos="2410"/>
        </w:tabs>
        <w:ind w:left="540"/>
        <w:rPr>
          <w:rFonts w:ascii="Tahoma" w:hAnsi="Tahoma" w:cs="Tahoma"/>
          <w:sz w:val="20"/>
        </w:rPr>
      </w:pPr>
      <w:r w:rsidRPr="009B7390">
        <w:rPr>
          <w:rFonts w:ascii="Tahoma" w:hAnsi="Tahoma" w:cs="Tahoma"/>
          <w:sz w:val="20"/>
        </w:rPr>
        <w:t xml:space="preserve">En ese sentido, era obligación de los postores presentar una muestra por cada prenda que formara parte de su propuesta, y éstas, a su vez, debían estar confeccionadas con los materiales del producto ofertado. Consecuentemente, siendo que el Consorcio afirmó que los bienes ofertados por ellos eran elaborados en territorio nacional, las prendas que entregaron en calidad de muestra debieron cumplir con esa condición. </w:t>
      </w:r>
    </w:p>
    <w:p w:rsidR="00D976F9" w:rsidRPr="009B7390" w:rsidRDefault="00D976F9" w:rsidP="00D976F9">
      <w:pPr>
        <w:pStyle w:val="Textoindependiente"/>
        <w:tabs>
          <w:tab w:val="left" w:pos="2410"/>
        </w:tabs>
        <w:ind w:left="540"/>
        <w:rPr>
          <w:rFonts w:ascii="Tahoma" w:hAnsi="Tahoma" w:cs="Tahoma"/>
          <w:sz w:val="20"/>
        </w:rPr>
      </w:pPr>
    </w:p>
    <w:p w:rsidR="00D976F9" w:rsidRPr="009B7390" w:rsidRDefault="00D976F9" w:rsidP="00D976F9">
      <w:pPr>
        <w:pStyle w:val="Textoindependiente"/>
        <w:tabs>
          <w:tab w:val="left" w:pos="2410"/>
        </w:tabs>
        <w:ind w:left="540"/>
        <w:rPr>
          <w:rFonts w:ascii="Tahoma" w:hAnsi="Tahoma" w:cs="Tahoma"/>
          <w:sz w:val="20"/>
        </w:rPr>
      </w:pPr>
      <w:r w:rsidRPr="009B7390">
        <w:rPr>
          <w:rFonts w:ascii="Tahoma" w:hAnsi="Tahoma" w:cs="Tahoma"/>
          <w:sz w:val="20"/>
        </w:rPr>
        <w:t>Sin embargo, ello no ocurrió en el caso de autos, ya que, como manifestó la Entidad, el Comité Especial al revisar la muestra de la corbata ofertada, encontró una etiqueta en la que se consignó que el producto fue elaborado en China, desvirtuándose así el origen nacional de la prenda entregada. Es más, este hecho ha sido corroborado por el propio Consorcio en los escritos remitidos a este Tribunal, en los cuales reconoció que por error, el personal encargado de una de las empresas integrantes del Consorcio, incluyó una prenda de procedencia China como muestra.</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En este punto, no podemos dejar de mencionar que tanto la Ley del Procedimiento Administrativo General</w:t>
      </w:r>
      <w:r w:rsidRPr="009B7390">
        <w:rPr>
          <w:rStyle w:val="Refdenotaalpie"/>
          <w:rFonts w:ascii="Tahoma" w:hAnsi="Tahoma" w:cs="Tahoma"/>
          <w:sz w:val="20"/>
        </w:rPr>
        <w:footnoteReference w:id="6"/>
      </w:r>
      <w:r w:rsidRPr="009B7390">
        <w:rPr>
          <w:rFonts w:ascii="Tahoma" w:hAnsi="Tahoma" w:cs="Tahoma"/>
          <w:sz w:val="20"/>
        </w:rPr>
        <w:t>, como el Reglamento de la Ley de Contrataciones y Adquisiciones del Estado</w:t>
      </w:r>
      <w:r w:rsidRPr="009B7390">
        <w:rPr>
          <w:rStyle w:val="Refdenotaalpie"/>
          <w:rFonts w:ascii="Tahoma" w:hAnsi="Tahoma" w:cs="Tahoma"/>
          <w:sz w:val="20"/>
        </w:rPr>
        <w:footnoteReference w:id="7"/>
      </w:r>
      <w:r w:rsidRPr="009B7390">
        <w:rPr>
          <w:rFonts w:ascii="Tahoma" w:hAnsi="Tahoma" w:cs="Tahoma"/>
          <w:sz w:val="20"/>
        </w:rPr>
        <w:t xml:space="preserve"> han establecido que la responsabilidad por la presentación de documentos falsos o inexactos corresponde al administrado que lo presentó en el trámite del procedimiento administrativo. En el mismo sentido, el numeral 9) del artículo 294 del Reglamento considera autor de la infracción al postor que presenta una oferta que contenga documentos falsos o inexactos dentro de un proceso de selección.</w:t>
      </w:r>
    </w:p>
    <w:p w:rsidR="00D976F9" w:rsidRPr="009B7390" w:rsidRDefault="00D976F9" w:rsidP="00D976F9">
      <w:pPr>
        <w:pStyle w:val="Textoindependiente"/>
        <w:tabs>
          <w:tab w:val="num" w:pos="540"/>
          <w:tab w:val="left" w:pos="2410"/>
        </w:tabs>
        <w:ind w:left="540"/>
        <w:rPr>
          <w:rFonts w:ascii="Tahoma" w:hAnsi="Tahoma" w:cs="Tahoma"/>
          <w:sz w:val="20"/>
        </w:rPr>
      </w:pPr>
    </w:p>
    <w:p w:rsidR="00D976F9" w:rsidRPr="009B7390" w:rsidRDefault="00D976F9" w:rsidP="00D976F9">
      <w:pPr>
        <w:pStyle w:val="Textoindependiente"/>
        <w:tabs>
          <w:tab w:val="num" w:pos="540"/>
          <w:tab w:val="left" w:pos="2410"/>
        </w:tabs>
        <w:ind w:left="540"/>
        <w:rPr>
          <w:rFonts w:ascii="Tahoma" w:hAnsi="Tahoma" w:cs="Tahoma"/>
          <w:sz w:val="20"/>
        </w:rPr>
      </w:pPr>
      <w:r w:rsidRPr="009B7390">
        <w:rPr>
          <w:rFonts w:ascii="Tahoma" w:hAnsi="Tahoma" w:cs="Tahoma"/>
          <w:sz w:val="20"/>
        </w:rPr>
        <w:t>De lo expuesto, se concluye que las normas legales vinculadas con los procesos de selección no han establecido que deba mediar dolo o culpa en los infractores para que se configuren las infracciones</w:t>
      </w:r>
      <w:r w:rsidRPr="009B7390">
        <w:rPr>
          <w:rStyle w:val="Refdenotaalpie"/>
          <w:rFonts w:ascii="Tahoma" w:hAnsi="Tahoma" w:cs="Tahoma"/>
          <w:sz w:val="20"/>
        </w:rPr>
        <w:footnoteReference w:id="8"/>
      </w:r>
      <w:r w:rsidRPr="009B7390">
        <w:rPr>
          <w:rFonts w:ascii="Tahoma" w:hAnsi="Tahoma" w:cs="Tahoma"/>
          <w:sz w:val="20"/>
        </w:rPr>
        <w:t>. Tal conclusión surge del hecho que la intencionalidad del autor no ha sido establecida en el Reglamento como una condición para la configuración de la infracción sino como un criterio para la graduación de la sanción.</w:t>
      </w:r>
    </w:p>
    <w:p w:rsidR="00D976F9" w:rsidRPr="009B7390" w:rsidRDefault="00D976F9" w:rsidP="00D976F9">
      <w:pPr>
        <w:pStyle w:val="Textoindependiente"/>
        <w:ind w:left="540"/>
        <w:rPr>
          <w:rFonts w:ascii="Tahoma" w:hAnsi="Tahoma" w:cs="Tahoma"/>
          <w:sz w:val="20"/>
        </w:rPr>
      </w:pPr>
    </w:p>
    <w:p w:rsidR="00D976F9" w:rsidRPr="009B7390" w:rsidRDefault="00D976F9" w:rsidP="00D976F9">
      <w:pPr>
        <w:pStyle w:val="Textoindependiente"/>
        <w:ind w:left="540"/>
        <w:rPr>
          <w:rFonts w:ascii="Tahoma" w:hAnsi="Tahoma" w:cs="Tahoma"/>
          <w:sz w:val="20"/>
        </w:rPr>
      </w:pPr>
      <w:r w:rsidRPr="009B7390">
        <w:rPr>
          <w:rFonts w:ascii="Tahoma" w:hAnsi="Tahoma" w:cs="Tahoma"/>
          <w:sz w:val="20"/>
        </w:rPr>
        <w:t>Dentro de este contexto, en el caso materia de autos existe un innegable vínculo entre el Consorcio denunciado y la conducta prevista en la norma como infracción. Debe concluirse, por tanto, que la infracción se ha cometido y que el autor de la infracción ha sido el Consorcio, pues el vínculo jurídico que ha surgido en el proceso de selección ha sido entre la Entidad y el Consorcio; máxime cuando la propuesta presentada con ocasión de la Adjudicación Directa Selectiva N</w:t>
      </w:r>
      <w:proofErr w:type="gramStart"/>
      <w:r w:rsidRPr="009B7390">
        <w:rPr>
          <w:rFonts w:ascii="Tahoma" w:hAnsi="Tahoma" w:cs="Tahoma"/>
          <w:sz w:val="20"/>
        </w:rPr>
        <w:t>.º</w:t>
      </w:r>
      <w:proofErr w:type="gramEnd"/>
      <w:r w:rsidRPr="009B7390">
        <w:rPr>
          <w:rFonts w:ascii="Tahoma" w:hAnsi="Tahoma" w:cs="Tahoma"/>
          <w:sz w:val="20"/>
        </w:rPr>
        <w:t xml:space="preserve"> 0053-2005-SUNAT/2G3100 ha sido suscrita por los representantes legales de ambas empresas integrantes del referido Consorcio.</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 xml:space="preserve">De otro lado, respecto al argumento del Consorcio según el cual corresponde otorgarse la </w:t>
      </w:r>
      <w:r w:rsidRPr="009B7390">
        <w:rPr>
          <w:rFonts w:ascii="Tahoma" w:hAnsi="Tahoma" w:cs="Tahoma"/>
          <w:sz w:val="20"/>
        </w:rPr>
        <w:lastRenderedPageBreak/>
        <w:t xml:space="preserve">bonificación adicional del 20% cuando </w:t>
      </w:r>
      <w:r w:rsidRPr="009B7390">
        <w:rPr>
          <w:rFonts w:ascii="Tahoma" w:hAnsi="Tahoma" w:cs="Tahoma"/>
          <w:sz w:val="20"/>
          <w:u w:val="single"/>
        </w:rPr>
        <w:t>más del 50% del conjunto de bienes</w:t>
      </w:r>
      <w:r w:rsidRPr="009B7390">
        <w:rPr>
          <w:rFonts w:ascii="Tahoma" w:hAnsi="Tahoma" w:cs="Tahoma"/>
          <w:sz w:val="20"/>
        </w:rPr>
        <w:t xml:space="preserve"> que se oferta es de origen o fabricación nacional, cabe mencionar que, ni el artículo único de la Ley N</w:t>
      </w:r>
      <w:proofErr w:type="gramStart"/>
      <w:r w:rsidRPr="009B7390">
        <w:rPr>
          <w:rFonts w:ascii="Tahoma" w:hAnsi="Tahoma" w:cs="Tahoma"/>
          <w:sz w:val="20"/>
        </w:rPr>
        <w:t>.º</w:t>
      </w:r>
      <w:proofErr w:type="gramEnd"/>
      <w:r w:rsidRPr="009B7390">
        <w:rPr>
          <w:rFonts w:ascii="Tahoma" w:hAnsi="Tahoma" w:cs="Tahoma"/>
          <w:sz w:val="20"/>
        </w:rPr>
        <w:t xml:space="preserve"> 27143, Ley de Promoción Temporal del Desarrollo Productivo Nacional</w:t>
      </w:r>
      <w:r w:rsidRPr="009B7390">
        <w:rPr>
          <w:rStyle w:val="Refdenotaalpie"/>
          <w:rFonts w:ascii="Tahoma" w:hAnsi="Tahoma" w:cs="Tahoma"/>
          <w:sz w:val="20"/>
        </w:rPr>
        <w:footnoteReference w:id="9"/>
      </w:r>
      <w:r w:rsidRPr="009B7390">
        <w:rPr>
          <w:rFonts w:ascii="Tahoma" w:hAnsi="Tahoma" w:cs="Tahoma"/>
          <w:sz w:val="20"/>
        </w:rPr>
        <w:t>, ni el artículo 1º del Decreto Supremo 003-2001-PCM</w:t>
      </w:r>
      <w:r w:rsidRPr="009B7390">
        <w:rPr>
          <w:rStyle w:val="Refdenotaalpie"/>
          <w:rFonts w:ascii="Tahoma" w:hAnsi="Tahoma" w:cs="Tahoma"/>
          <w:sz w:val="20"/>
        </w:rPr>
        <w:footnoteReference w:id="10"/>
      </w:r>
      <w:r w:rsidRPr="009B7390">
        <w:rPr>
          <w:rFonts w:ascii="Tahoma" w:hAnsi="Tahoma" w:cs="Tahoma"/>
          <w:sz w:val="20"/>
        </w:rPr>
        <w:t xml:space="preserve"> contiene dicho supuesto.</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Debe hacerse mención que es el Consorcio quien participó y presentó la propuesta conteniendo el documento cuestionado al proceso de selección, motivo por el cual la responsabilidad por la presentación de documentos e información al proceso recae en las empresas integrantes del Consorcio, de conformidad con lo establecido en el artículo 119º del Reglamento, debido a que en el presente procedimiento no se ha podido individualizar la responsabilidad de cada uno de los integrantes del Consorcio.</w:t>
      </w:r>
      <w:r w:rsidRPr="009B7390">
        <w:rPr>
          <w:rStyle w:val="Refdenotaalpie"/>
          <w:rFonts w:ascii="Tahoma" w:hAnsi="Tahoma" w:cs="Tahoma"/>
          <w:sz w:val="20"/>
        </w:rPr>
        <w:footnoteReference w:id="11"/>
      </w:r>
      <w:r w:rsidRPr="009B7390">
        <w:rPr>
          <w:rFonts w:ascii="Tahoma" w:hAnsi="Tahoma" w:cs="Tahoma"/>
          <w:sz w:val="20"/>
        </w:rPr>
        <w:t xml:space="preserve"> </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En cuanto a la graduación de la sanción imponible, debe tenerse en cuenta que el artículo 294º del Reglamento ha establecido que los postores que incurran en la infracción tipificada en el numeral 9) del citado artículo serán inhabilitados en su derecho para contratar con el Estado por un período no menor de tres meses ni mayor de un año.</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Asimismo, el principio de razonabilidad</w:t>
      </w:r>
      <w:r w:rsidRPr="009B7390">
        <w:rPr>
          <w:rFonts w:ascii="Tahoma" w:hAnsi="Tahoma" w:cs="Tahoma"/>
          <w:sz w:val="20"/>
          <w:vertAlign w:val="superscript"/>
        </w:rPr>
        <w:footnoteReference w:id="12"/>
      </w:r>
      <w:r w:rsidRPr="009B7390">
        <w:rPr>
          <w:rFonts w:ascii="Tahoma" w:hAnsi="Tahoma" w:cs="Tahoma"/>
          <w:sz w:val="20"/>
        </w:rPr>
        <w:t xml:space="preserve"> previsto en el numeral 3 del artículo 230 de la Ley N</w:t>
      </w:r>
      <w:proofErr w:type="gramStart"/>
      <w:r w:rsidRPr="009B7390">
        <w:rPr>
          <w:rFonts w:ascii="Tahoma" w:hAnsi="Tahoma" w:cs="Tahoma"/>
          <w:sz w:val="20"/>
        </w:rPr>
        <w:t>.º</w:t>
      </w:r>
      <w:proofErr w:type="gramEnd"/>
      <w:r w:rsidRPr="009B7390">
        <w:rPr>
          <w:rFonts w:ascii="Tahoma" w:hAnsi="Tahoma" w:cs="Tahoma"/>
          <w:sz w:val="20"/>
        </w:rPr>
        <w:t xml:space="preserve"> 27444 aconseja que las sanciones no deben ser desproporcionadas y que deben guardar atención con la conducta a reprimir, atendiendo a la necesidad de que las empresas no deban verse privadas de su derecho de proveer al Estado más allá de lo estrictamente necesario para satisfacer los fines de la sanción, criterios que serán tomados en cuenta al momento de fijar la sanción a imponerse al Postor.</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Al respecto, resulta importante considerar, a efecto de determinar la sanción a imponerse en el presente caso, que contra la decisión del Comité Especial de otorgarle la buena pro al postor que obtuvo mayor puntaje durante el acto de evaluación y calificación de propuestas, el Consorcio interpuso recurso de apelación, dilatando con ello el esclarecimiento de los hechos materia del presente procedimiento.</w:t>
      </w:r>
    </w:p>
    <w:p w:rsidR="00D976F9" w:rsidRPr="009B7390" w:rsidRDefault="00D976F9" w:rsidP="00D976F9">
      <w:pPr>
        <w:pStyle w:val="Textoindependiente"/>
        <w:tabs>
          <w:tab w:val="left" w:pos="2410"/>
        </w:tabs>
        <w:rPr>
          <w:rFonts w:ascii="Tahoma" w:hAnsi="Tahoma" w:cs="Tahoma"/>
          <w:sz w:val="20"/>
        </w:rPr>
      </w:pPr>
    </w:p>
    <w:p w:rsidR="00D976F9" w:rsidRPr="009B7390" w:rsidRDefault="00D976F9" w:rsidP="00D976F9">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9B7390">
        <w:rPr>
          <w:rFonts w:ascii="Tahoma" w:hAnsi="Tahoma" w:cs="Tahoma"/>
          <w:sz w:val="20"/>
        </w:rPr>
        <w:t xml:space="preserve">Finalmente, deberá tomarse en cuenta que la empresa </w:t>
      </w:r>
      <w:proofErr w:type="spellStart"/>
      <w:r w:rsidRPr="009B7390">
        <w:rPr>
          <w:rFonts w:ascii="Tahoma" w:hAnsi="Tahoma" w:cs="Tahoma"/>
          <w:sz w:val="20"/>
        </w:rPr>
        <w:t>Renz</w:t>
      </w:r>
      <w:proofErr w:type="spellEnd"/>
      <w:r w:rsidRPr="009B7390">
        <w:rPr>
          <w:rFonts w:ascii="Tahoma" w:hAnsi="Tahoma" w:cs="Tahoma"/>
          <w:sz w:val="20"/>
        </w:rPr>
        <w:t xml:space="preserve"> S.A.C. carece de antecedentes en la comisión de infracciones administrativas, criterio especialmente relevante a efectos de atenuar la sanción a imponerse en casos como éste. Sin embargo, no ocurre lo mismo en el caso de la empresa Servicios de Acondicionamiento en General Apolo S.R.L., toda vez que, mediante Resolución N.º 483-2006/TC-SU, expedida el 06 de julio de 2006 por el Tribunal de Contrataciones y Adquisiciones del Estado, ésta empresa fue inhabilitada temporalmente en su derecho de presentarse en procesos de selección y contratar con el Estado, por la comisión de la infracción tipificada en el numeral 9) del artículo 294 del Reglamento, por lo que, siendo una conducta reiterante, amerita una sanción mayor.</w:t>
      </w:r>
    </w:p>
    <w:p w:rsidR="004A44D5" w:rsidRPr="002110BA" w:rsidRDefault="004A44D5" w:rsidP="004A44D5">
      <w:pPr>
        <w:jc w:val="both"/>
        <w:rPr>
          <w:rFonts w:ascii="Tahoma" w:hAnsi="Tahoma" w:cs="Tahoma"/>
          <w:b/>
          <w:shadow/>
          <w:lang w:val="es-PE"/>
        </w:rPr>
      </w:pPr>
    </w:p>
    <w:p w:rsidR="004A44D5" w:rsidRPr="002110BA" w:rsidRDefault="004A44D5" w:rsidP="004A44D5">
      <w:pPr>
        <w:tabs>
          <w:tab w:val="left" w:pos="2520"/>
        </w:tabs>
        <w:ind w:hanging="360"/>
        <w:jc w:val="both"/>
        <w:rPr>
          <w:rFonts w:ascii="Tahoma" w:hAnsi="Tahoma" w:cs="Tahoma"/>
        </w:rPr>
      </w:pPr>
      <w:r w:rsidRPr="002110BA">
        <w:rPr>
          <w:rFonts w:ascii="Tahoma" w:hAnsi="Tahoma" w:cs="Tahoma"/>
        </w:rPr>
        <w:lastRenderedPageBreak/>
        <w:tab/>
        <w:t xml:space="preserve">Por estos fundamentos, de conformidad con el informe del vocal ponente Dr. Juan Carlos Valdivia </w:t>
      </w:r>
      <w:proofErr w:type="spellStart"/>
      <w:r w:rsidRPr="002110BA">
        <w:rPr>
          <w:rFonts w:ascii="Tahoma" w:hAnsi="Tahoma" w:cs="Tahoma"/>
        </w:rPr>
        <w:t>Huaringa</w:t>
      </w:r>
      <w:proofErr w:type="spellEnd"/>
      <w:r w:rsidRPr="002110BA">
        <w:rPr>
          <w:rFonts w:ascii="Tahoma" w:hAnsi="Tahoma" w:cs="Tahoma"/>
        </w:rPr>
        <w:t xml:space="preserve"> y la intervención de los vocales Dra. </w:t>
      </w:r>
      <w:proofErr w:type="spellStart"/>
      <w:r w:rsidRPr="002110BA">
        <w:rPr>
          <w:rFonts w:ascii="Tahoma" w:hAnsi="Tahoma" w:cs="Tahoma"/>
        </w:rPr>
        <w:t>Janette</w:t>
      </w:r>
      <w:proofErr w:type="spellEnd"/>
      <w:r w:rsidRPr="002110BA">
        <w:rPr>
          <w:rFonts w:ascii="Tahoma" w:hAnsi="Tahoma" w:cs="Tahoma"/>
        </w:rPr>
        <w:t xml:space="preserve"> </w:t>
      </w:r>
      <w:proofErr w:type="spellStart"/>
      <w:r w:rsidRPr="002110BA">
        <w:rPr>
          <w:rFonts w:ascii="Tahoma" w:hAnsi="Tahoma" w:cs="Tahoma"/>
        </w:rPr>
        <w:t>Elke</w:t>
      </w:r>
      <w:proofErr w:type="spellEnd"/>
      <w:r w:rsidRPr="002110BA">
        <w:rPr>
          <w:rFonts w:ascii="Tahoma" w:hAnsi="Tahoma" w:cs="Tahoma"/>
        </w:rPr>
        <w:t xml:space="preserve"> Ramírez </w:t>
      </w:r>
      <w:proofErr w:type="spellStart"/>
      <w:r w:rsidRPr="002110BA">
        <w:rPr>
          <w:rFonts w:ascii="Tahoma" w:hAnsi="Tahoma" w:cs="Tahoma"/>
        </w:rPr>
        <w:t>Maynetto</w:t>
      </w:r>
      <w:proofErr w:type="spellEnd"/>
      <w:r w:rsidRPr="002110BA">
        <w:rPr>
          <w:rFonts w:ascii="Tahoma" w:hAnsi="Tahoma" w:cs="Tahoma"/>
        </w:rPr>
        <w:t xml:space="preserve"> y Dr. Carlos Navas Rondón, atendiendo a la reconformación de la Tercera Sala del Tribunal de Contrataciones y Adquisiciones del Estado, según lo dispuesto en la Resolución N.º 279-2007-CONSUCODE/PRE, </w:t>
      </w:r>
      <w:r w:rsidR="00C448CE" w:rsidRPr="002110BA">
        <w:rPr>
          <w:rFonts w:ascii="Tahoma" w:hAnsi="Tahoma" w:cs="Tahoma"/>
        </w:rPr>
        <w:t xml:space="preserve">expedida el 21 de mayo de 2007 </w:t>
      </w:r>
      <w:r w:rsidRPr="002110BA">
        <w:rPr>
          <w:rFonts w:ascii="Tahoma" w:hAnsi="Tahoma" w:cs="Tahoma"/>
        </w:rPr>
        <w:t>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4A44D5" w:rsidRPr="002110BA" w:rsidRDefault="004A44D5" w:rsidP="004A44D5">
      <w:pPr>
        <w:jc w:val="both"/>
        <w:rPr>
          <w:rFonts w:ascii="Tahoma" w:hAnsi="Tahoma" w:cs="Tahoma"/>
          <w:b/>
          <w:shadow/>
        </w:rPr>
      </w:pPr>
    </w:p>
    <w:p w:rsidR="004A44D5" w:rsidRPr="002110BA" w:rsidRDefault="004A44D5" w:rsidP="004A44D5">
      <w:pPr>
        <w:jc w:val="both"/>
        <w:rPr>
          <w:rFonts w:ascii="Tahoma" w:hAnsi="Tahoma" w:cs="Tahoma"/>
          <w:b/>
          <w:shadow/>
        </w:rPr>
      </w:pPr>
      <w:r w:rsidRPr="002110BA">
        <w:rPr>
          <w:rFonts w:ascii="Tahoma" w:hAnsi="Tahoma" w:cs="Tahoma"/>
          <w:b/>
          <w:shadow/>
        </w:rPr>
        <w:t xml:space="preserve">LA SALA RESUELVE: </w:t>
      </w:r>
    </w:p>
    <w:p w:rsidR="004A44D5" w:rsidRPr="002110BA" w:rsidRDefault="004A44D5" w:rsidP="004A44D5">
      <w:pPr>
        <w:jc w:val="both"/>
        <w:rPr>
          <w:rFonts w:ascii="Tahoma" w:hAnsi="Tahoma" w:cs="Tahoma"/>
        </w:rPr>
      </w:pPr>
    </w:p>
    <w:p w:rsidR="004A44D5" w:rsidRPr="002110BA" w:rsidRDefault="004A44D5" w:rsidP="004A44D5">
      <w:pPr>
        <w:numPr>
          <w:ilvl w:val="0"/>
          <w:numId w:val="1"/>
        </w:numPr>
        <w:tabs>
          <w:tab w:val="clear" w:pos="720"/>
          <w:tab w:val="num" w:pos="360"/>
        </w:tabs>
        <w:ind w:left="360"/>
        <w:jc w:val="both"/>
        <w:rPr>
          <w:rFonts w:ascii="Tahoma" w:hAnsi="Tahoma" w:cs="Tahoma"/>
        </w:rPr>
      </w:pPr>
      <w:r w:rsidRPr="002110BA">
        <w:rPr>
          <w:rFonts w:ascii="Tahoma" w:hAnsi="Tahoma" w:cs="Tahoma"/>
        </w:rPr>
        <w:t xml:space="preserve">Sancionar a la Empresa Industrial, Comercial y de Servicios Matilde León S.A. con </w:t>
      </w:r>
      <w:r w:rsidR="00812CC9" w:rsidRPr="002110BA">
        <w:rPr>
          <w:rFonts w:ascii="Tahoma" w:hAnsi="Tahoma" w:cs="Tahoma"/>
          <w:b/>
        </w:rPr>
        <w:t xml:space="preserve">dieciséis </w:t>
      </w:r>
      <w:r w:rsidRPr="002110BA">
        <w:rPr>
          <w:rFonts w:ascii="Tahoma" w:hAnsi="Tahoma" w:cs="Tahoma"/>
          <w:b/>
        </w:rPr>
        <w:t>(1</w:t>
      </w:r>
      <w:r w:rsidR="00812CC9" w:rsidRPr="002110BA">
        <w:rPr>
          <w:rFonts w:ascii="Tahoma" w:hAnsi="Tahoma" w:cs="Tahoma"/>
          <w:b/>
        </w:rPr>
        <w:t>6</w:t>
      </w:r>
      <w:r w:rsidRPr="002110BA">
        <w:rPr>
          <w:rFonts w:ascii="Tahoma" w:hAnsi="Tahoma" w:cs="Tahoma"/>
          <w:b/>
        </w:rPr>
        <w:t xml:space="preserve">) meses de inhabilitación temporal </w:t>
      </w:r>
      <w:r w:rsidRPr="002110BA">
        <w:rPr>
          <w:rFonts w:ascii="Tahoma" w:hAnsi="Tahoma" w:cs="Tahoma"/>
        </w:rPr>
        <w:t xml:space="preserve">en su derecho de participar en procesos de selección y contratar con el Estado, por incurrir en la infracción tipificada en el numeral 1) del artículo 294 del Reglamento de la Ley de Contrataciones y Adquisiciones del Estado, aprobado por el Decreto Supremo N.° 084-2004-PCM; sanción que tendrá vigencia a partir del cuarto día hábil siguiente de </w:t>
      </w:r>
      <w:r w:rsidR="00442E92" w:rsidRPr="002110BA">
        <w:rPr>
          <w:rFonts w:ascii="Tahoma" w:hAnsi="Tahoma" w:cs="Tahoma"/>
        </w:rPr>
        <w:t>notif</w:t>
      </w:r>
      <w:r w:rsidRPr="002110BA">
        <w:rPr>
          <w:rFonts w:ascii="Tahoma" w:hAnsi="Tahoma" w:cs="Tahoma"/>
        </w:rPr>
        <w:t>icada la presente resolución.</w:t>
      </w:r>
    </w:p>
    <w:p w:rsidR="004A44D5" w:rsidRPr="002110BA" w:rsidRDefault="004A44D5" w:rsidP="004A44D5">
      <w:pPr>
        <w:jc w:val="both"/>
        <w:rPr>
          <w:rFonts w:ascii="Tahoma" w:hAnsi="Tahoma" w:cs="Tahoma"/>
        </w:rPr>
      </w:pPr>
    </w:p>
    <w:p w:rsidR="004A44D5" w:rsidRPr="002110BA" w:rsidRDefault="004A44D5" w:rsidP="004A44D5">
      <w:pPr>
        <w:numPr>
          <w:ilvl w:val="0"/>
          <w:numId w:val="1"/>
        </w:numPr>
        <w:tabs>
          <w:tab w:val="clear" w:pos="720"/>
          <w:tab w:val="num" w:pos="360"/>
        </w:tabs>
        <w:ind w:left="360"/>
        <w:jc w:val="both"/>
        <w:rPr>
          <w:rFonts w:ascii="Tahoma" w:hAnsi="Tahoma" w:cs="Tahoma"/>
        </w:rPr>
      </w:pPr>
      <w:r w:rsidRPr="002110BA">
        <w:rPr>
          <w:rFonts w:ascii="Tahoma" w:hAnsi="Tahoma" w:cs="Tahoma"/>
        </w:rPr>
        <w:t>Poner la presente resolución en conocimiento a la Gerencia de Registros del CONSUCODE para las anotaciones de ley.</w:t>
      </w:r>
    </w:p>
    <w:p w:rsidR="004A44D5" w:rsidRPr="002110BA" w:rsidRDefault="004A44D5" w:rsidP="004A44D5">
      <w:pPr>
        <w:jc w:val="both"/>
        <w:rPr>
          <w:rFonts w:ascii="Tahoma" w:hAnsi="Tahoma" w:cs="Tahoma"/>
        </w:rPr>
      </w:pPr>
    </w:p>
    <w:p w:rsidR="004A44D5" w:rsidRPr="002110BA" w:rsidRDefault="004A44D5" w:rsidP="004A44D5">
      <w:pPr>
        <w:jc w:val="both"/>
        <w:rPr>
          <w:rFonts w:ascii="Tahoma" w:hAnsi="Tahoma" w:cs="Tahoma"/>
        </w:rPr>
      </w:pPr>
      <w:r w:rsidRPr="002110BA">
        <w:rPr>
          <w:rFonts w:ascii="Tahoma" w:hAnsi="Tahoma" w:cs="Tahoma"/>
        </w:rPr>
        <w:t>Regístrese, Comuníquese y Publíquese.</w:t>
      </w:r>
    </w:p>
    <w:p w:rsidR="004A44D5" w:rsidRPr="002110BA" w:rsidRDefault="004A44D5" w:rsidP="004A44D5">
      <w:pPr>
        <w:jc w:val="both"/>
        <w:rPr>
          <w:rFonts w:ascii="Tahoma" w:hAnsi="Tahoma" w:cs="Tahoma"/>
        </w:rPr>
      </w:pPr>
    </w:p>
    <w:p w:rsidR="004A44D5" w:rsidRPr="002110BA" w:rsidRDefault="004A44D5" w:rsidP="004A44D5">
      <w:pPr>
        <w:jc w:val="both"/>
        <w:rPr>
          <w:rFonts w:ascii="Tahoma" w:hAnsi="Tahoma" w:cs="Tahoma"/>
        </w:rPr>
      </w:pPr>
    </w:p>
    <w:p w:rsidR="004A44D5" w:rsidRPr="002110BA" w:rsidRDefault="004A44D5" w:rsidP="004A44D5">
      <w:pPr>
        <w:jc w:val="both"/>
        <w:rPr>
          <w:rFonts w:ascii="Tahoma" w:hAnsi="Tahoma" w:cs="Tahoma"/>
        </w:rPr>
      </w:pPr>
    </w:p>
    <w:p w:rsidR="004A44D5" w:rsidRPr="002110BA" w:rsidRDefault="004A44D5" w:rsidP="004A44D5">
      <w:pPr>
        <w:jc w:val="both"/>
        <w:rPr>
          <w:rFonts w:ascii="Tahoma" w:hAnsi="Tahoma" w:cs="Tahoma"/>
        </w:rPr>
      </w:pPr>
    </w:p>
    <w:p w:rsidR="004A44D5" w:rsidRPr="002110BA" w:rsidRDefault="004A44D5" w:rsidP="004A44D5">
      <w:pPr>
        <w:jc w:val="both"/>
        <w:rPr>
          <w:rFonts w:ascii="Tahoma" w:hAnsi="Tahoma" w:cs="Tahoma"/>
        </w:rPr>
      </w:pPr>
    </w:p>
    <w:p w:rsidR="004A44D5" w:rsidRPr="002110BA" w:rsidRDefault="004A44D5" w:rsidP="004A44D5">
      <w:pPr>
        <w:jc w:val="center"/>
        <w:rPr>
          <w:rFonts w:ascii="Tahoma" w:hAnsi="Tahoma" w:cs="Tahoma"/>
          <w:b/>
        </w:rPr>
      </w:pPr>
      <w:r w:rsidRPr="002110BA">
        <w:rPr>
          <w:rFonts w:ascii="Tahoma" w:hAnsi="Tahoma" w:cs="Tahoma"/>
          <w:b/>
        </w:rPr>
        <w:t>PRESIDENTE</w:t>
      </w:r>
    </w:p>
    <w:p w:rsidR="004A44D5" w:rsidRPr="002110BA" w:rsidRDefault="004A44D5" w:rsidP="004A44D5">
      <w:pPr>
        <w:jc w:val="center"/>
        <w:rPr>
          <w:rFonts w:ascii="Tahoma" w:hAnsi="Tahoma" w:cs="Tahoma"/>
          <w:b/>
        </w:rPr>
      </w:pPr>
    </w:p>
    <w:p w:rsidR="004A44D5" w:rsidRPr="002110BA" w:rsidRDefault="004A44D5" w:rsidP="004A44D5">
      <w:pPr>
        <w:jc w:val="center"/>
        <w:rPr>
          <w:rFonts w:ascii="Tahoma" w:hAnsi="Tahoma" w:cs="Tahoma"/>
          <w:b/>
        </w:rPr>
      </w:pPr>
    </w:p>
    <w:p w:rsidR="004A44D5" w:rsidRPr="002110BA" w:rsidRDefault="004A44D5" w:rsidP="004A44D5">
      <w:pPr>
        <w:jc w:val="center"/>
        <w:rPr>
          <w:rFonts w:ascii="Tahoma" w:hAnsi="Tahoma" w:cs="Tahoma"/>
          <w:b/>
        </w:rPr>
      </w:pPr>
    </w:p>
    <w:p w:rsidR="004A44D5" w:rsidRPr="002110BA" w:rsidRDefault="004A44D5" w:rsidP="004A44D5">
      <w:pPr>
        <w:jc w:val="center"/>
        <w:rPr>
          <w:rFonts w:ascii="Tahoma" w:hAnsi="Tahoma" w:cs="Tahoma"/>
          <w:b/>
        </w:rPr>
      </w:pPr>
      <w:r w:rsidRPr="002110BA">
        <w:rPr>
          <w:rFonts w:ascii="Tahoma" w:hAnsi="Tahoma" w:cs="Tahoma"/>
          <w:b/>
        </w:rPr>
        <w:t xml:space="preserve">VOCAL </w:t>
      </w:r>
      <w:r w:rsidRPr="002110BA">
        <w:rPr>
          <w:rFonts w:ascii="Tahoma" w:hAnsi="Tahoma" w:cs="Tahoma"/>
          <w:b/>
        </w:rPr>
        <w:tab/>
      </w:r>
      <w:r w:rsidRPr="002110BA">
        <w:rPr>
          <w:rFonts w:ascii="Tahoma" w:hAnsi="Tahoma" w:cs="Tahoma"/>
          <w:b/>
        </w:rPr>
        <w:tab/>
      </w:r>
      <w:r w:rsidRPr="002110BA">
        <w:rPr>
          <w:rFonts w:ascii="Tahoma" w:hAnsi="Tahoma" w:cs="Tahoma"/>
          <w:b/>
        </w:rPr>
        <w:tab/>
      </w:r>
      <w:r w:rsidRPr="002110BA">
        <w:rPr>
          <w:rFonts w:ascii="Tahoma" w:hAnsi="Tahoma" w:cs="Tahoma"/>
          <w:b/>
        </w:rPr>
        <w:tab/>
      </w:r>
      <w:r w:rsidRPr="002110BA">
        <w:rPr>
          <w:rFonts w:ascii="Tahoma" w:hAnsi="Tahoma" w:cs="Tahoma"/>
          <w:b/>
        </w:rPr>
        <w:tab/>
      </w:r>
      <w:r w:rsidRPr="002110BA">
        <w:rPr>
          <w:rFonts w:ascii="Tahoma" w:hAnsi="Tahoma" w:cs="Tahoma"/>
          <w:b/>
        </w:rPr>
        <w:tab/>
      </w:r>
      <w:r w:rsidRPr="002110BA">
        <w:rPr>
          <w:rFonts w:ascii="Tahoma" w:hAnsi="Tahoma" w:cs="Tahoma"/>
          <w:b/>
        </w:rPr>
        <w:tab/>
      </w:r>
      <w:r w:rsidRPr="002110BA">
        <w:rPr>
          <w:rFonts w:ascii="Tahoma" w:hAnsi="Tahoma" w:cs="Tahoma"/>
          <w:b/>
        </w:rPr>
        <w:tab/>
        <w:t>VOCAL</w:t>
      </w:r>
    </w:p>
    <w:p w:rsidR="004A44D5" w:rsidRPr="002110BA" w:rsidRDefault="004A44D5" w:rsidP="004A44D5">
      <w:pPr>
        <w:rPr>
          <w:rFonts w:ascii="Tahoma" w:hAnsi="Tahoma" w:cs="Tahoma"/>
          <w:b/>
        </w:rPr>
      </w:pPr>
    </w:p>
    <w:p w:rsidR="004A44D5" w:rsidRPr="002110BA" w:rsidRDefault="004A44D5" w:rsidP="004A44D5">
      <w:pPr>
        <w:rPr>
          <w:rFonts w:ascii="Tahoma" w:hAnsi="Tahoma" w:cs="Tahoma"/>
          <w:b/>
        </w:rPr>
      </w:pPr>
    </w:p>
    <w:p w:rsidR="004A44D5" w:rsidRPr="002110BA" w:rsidRDefault="004A44D5" w:rsidP="004A44D5">
      <w:pPr>
        <w:rPr>
          <w:rFonts w:ascii="Tahoma" w:hAnsi="Tahoma" w:cs="Tahoma"/>
        </w:rPr>
      </w:pPr>
    </w:p>
    <w:p w:rsidR="004A44D5" w:rsidRPr="002110BA" w:rsidRDefault="004A44D5" w:rsidP="004A44D5">
      <w:pPr>
        <w:rPr>
          <w:rFonts w:ascii="Tahoma" w:hAnsi="Tahoma" w:cs="Tahoma"/>
        </w:rPr>
      </w:pPr>
      <w:r w:rsidRPr="002110BA">
        <w:rPr>
          <w:rFonts w:ascii="Tahoma" w:hAnsi="Tahoma" w:cs="Tahoma"/>
        </w:rPr>
        <w:t>ss.</w:t>
      </w:r>
    </w:p>
    <w:p w:rsidR="004A44D5" w:rsidRPr="002110BA" w:rsidRDefault="004A44D5" w:rsidP="004A44D5">
      <w:pPr>
        <w:rPr>
          <w:rFonts w:ascii="Tahoma" w:hAnsi="Tahoma" w:cs="Tahoma"/>
        </w:rPr>
      </w:pPr>
      <w:r w:rsidRPr="002110BA">
        <w:rPr>
          <w:rFonts w:ascii="Tahoma" w:hAnsi="Tahoma" w:cs="Tahoma"/>
        </w:rPr>
        <w:t xml:space="preserve">Valdivia </w:t>
      </w:r>
      <w:proofErr w:type="spellStart"/>
      <w:r w:rsidRPr="002110BA">
        <w:rPr>
          <w:rFonts w:ascii="Tahoma" w:hAnsi="Tahoma" w:cs="Tahoma"/>
        </w:rPr>
        <w:t>Huaringa</w:t>
      </w:r>
      <w:proofErr w:type="spellEnd"/>
    </w:p>
    <w:p w:rsidR="004A44D5" w:rsidRPr="002110BA" w:rsidRDefault="004A44D5" w:rsidP="004A44D5">
      <w:pPr>
        <w:ind w:left="708" w:hanging="708"/>
        <w:rPr>
          <w:rFonts w:ascii="Tahoma" w:hAnsi="Tahoma" w:cs="Tahoma"/>
        </w:rPr>
      </w:pPr>
      <w:r w:rsidRPr="002110BA">
        <w:rPr>
          <w:rFonts w:ascii="Tahoma" w:hAnsi="Tahoma" w:cs="Tahoma"/>
        </w:rPr>
        <w:t xml:space="preserve">Ramírez </w:t>
      </w:r>
      <w:proofErr w:type="spellStart"/>
      <w:r w:rsidRPr="002110BA">
        <w:rPr>
          <w:rFonts w:ascii="Tahoma" w:hAnsi="Tahoma" w:cs="Tahoma"/>
        </w:rPr>
        <w:t>Maynetto</w:t>
      </w:r>
      <w:proofErr w:type="spellEnd"/>
      <w:r w:rsidRPr="002110BA">
        <w:rPr>
          <w:rFonts w:ascii="Tahoma" w:hAnsi="Tahoma" w:cs="Tahoma"/>
        </w:rPr>
        <w:t xml:space="preserve"> </w:t>
      </w:r>
    </w:p>
    <w:p w:rsidR="004A44D5" w:rsidRPr="002110BA" w:rsidRDefault="004A44D5" w:rsidP="004A44D5">
      <w:pPr>
        <w:rPr>
          <w:rFonts w:ascii="Tahoma" w:hAnsi="Tahoma" w:cs="Tahoma"/>
        </w:rPr>
      </w:pPr>
      <w:r w:rsidRPr="002110BA">
        <w:rPr>
          <w:rFonts w:ascii="Tahoma" w:hAnsi="Tahoma" w:cs="Tahoma"/>
        </w:rPr>
        <w:t xml:space="preserve">Navas Rondón </w:t>
      </w:r>
    </w:p>
    <w:p w:rsidR="00325000" w:rsidRPr="002110BA" w:rsidRDefault="00325000">
      <w:pPr>
        <w:rPr>
          <w:rFonts w:ascii="Tahoma" w:hAnsi="Tahoma" w:cs="Tahoma"/>
        </w:rPr>
      </w:pPr>
    </w:p>
    <w:sectPr w:rsidR="00325000" w:rsidRPr="002110BA" w:rsidSect="00812CC9">
      <w:headerReference w:type="default" r:id="rId7"/>
      <w:footerReference w:type="even" r:id="rId8"/>
      <w:footerReference w:type="default" r:id="rId9"/>
      <w:pgSz w:w="11906" w:h="16838"/>
      <w:pgMar w:top="3402"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0BA" w:rsidRDefault="002110BA">
      <w:r>
        <w:separator/>
      </w:r>
    </w:p>
  </w:endnote>
  <w:endnote w:type="continuationSeparator" w:id="1">
    <w:p w:rsidR="002110BA" w:rsidRDefault="002110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0BA" w:rsidRDefault="0007628E" w:rsidP="00812CC9">
    <w:pPr>
      <w:pStyle w:val="Piedepgina"/>
      <w:framePr w:wrap="around" w:vAnchor="text" w:hAnchor="margin" w:xAlign="center" w:y="1"/>
      <w:rPr>
        <w:rStyle w:val="Nmerodepgina"/>
      </w:rPr>
    </w:pPr>
    <w:r>
      <w:rPr>
        <w:rStyle w:val="Nmerodepgina"/>
      </w:rPr>
      <w:fldChar w:fldCharType="begin"/>
    </w:r>
    <w:r w:rsidR="002110BA">
      <w:rPr>
        <w:rStyle w:val="Nmerodepgina"/>
      </w:rPr>
      <w:instrText xml:space="preserve">PAGE  </w:instrText>
    </w:r>
    <w:r>
      <w:rPr>
        <w:rStyle w:val="Nmerodepgina"/>
      </w:rPr>
      <w:fldChar w:fldCharType="end"/>
    </w:r>
  </w:p>
  <w:p w:rsidR="002110BA" w:rsidRDefault="002110B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0BA" w:rsidRPr="002E1DB7" w:rsidRDefault="002110BA" w:rsidP="00812CC9">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07628E"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07628E" w:rsidRPr="002E1DB7">
      <w:rPr>
        <w:rFonts w:ascii="Bookman Old Style" w:hAnsi="Bookman Old Style"/>
        <w:i/>
        <w:sz w:val="20"/>
      </w:rPr>
      <w:fldChar w:fldCharType="separate"/>
    </w:r>
    <w:r w:rsidR="007A38F7">
      <w:rPr>
        <w:rFonts w:ascii="Bookman Old Style" w:hAnsi="Bookman Old Style"/>
        <w:i/>
        <w:noProof/>
        <w:sz w:val="20"/>
      </w:rPr>
      <w:t>1</w:t>
    </w:r>
    <w:r w:rsidR="0007628E" w:rsidRPr="002E1DB7">
      <w:rPr>
        <w:rFonts w:ascii="Bookman Old Style" w:hAnsi="Bookman Old Style"/>
        <w:i/>
        <w:sz w:val="20"/>
      </w:rPr>
      <w:fldChar w:fldCharType="end"/>
    </w:r>
    <w:r w:rsidRPr="002E1DB7">
      <w:rPr>
        <w:rFonts w:ascii="Bookman Old Style" w:hAnsi="Bookman Old Style"/>
        <w:i/>
        <w:sz w:val="20"/>
      </w:rPr>
      <w:t xml:space="preserve"> de </w:t>
    </w:r>
    <w:r w:rsidR="0007628E"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07628E" w:rsidRPr="002E1DB7">
      <w:rPr>
        <w:rFonts w:ascii="Bookman Old Style" w:hAnsi="Bookman Old Style"/>
        <w:i/>
        <w:sz w:val="20"/>
      </w:rPr>
      <w:fldChar w:fldCharType="separate"/>
    </w:r>
    <w:r w:rsidR="007A38F7">
      <w:rPr>
        <w:rFonts w:ascii="Bookman Old Style" w:hAnsi="Bookman Old Style"/>
        <w:i/>
        <w:noProof/>
        <w:sz w:val="20"/>
      </w:rPr>
      <w:t>8</w:t>
    </w:r>
    <w:r w:rsidR="0007628E"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0BA" w:rsidRDefault="002110BA">
      <w:r>
        <w:separator/>
      </w:r>
    </w:p>
  </w:footnote>
  <w:footnote w:type="continuationSeparator" w:id="1">
    <w:p w:rsidR="002110BA" w:rsidRDefault="002110BA">
      <w:r>
        <w:continuationSeparator/>
      </w:r>
    </w:p>
  </w:footnote>
  <w:footnote w:id="2">
    <w:p w:rsidR="002110BA" w:rsidRPr="00F868A0" w:rsidRDefault="002110BA" w:rsidP="004A44D5">
      <w:pPr>
        <w:pStyle w:val="Textonotapie"/>
        <w:ind w:left="180" w:hanging="180"/>
        <w:rPr>
          <w:rFonts w:ascii="Bookman Old Style" w:hAnsi="Bookman Old Style"/>
          <w:i/>
          <w:sz w:val="18"/>
          <w:szCs w:val="18"/>
        </w:rPr>
      </w:pPr>
      <w:r w:rsidRPr="00F868A0">
        <w:rPr>
          <w:rStyle w:val="Refdenotaalpie"/>
          <w:rFonts w:ascii="Bookman Old Style" w:hAnsi="Bookman Old Style"/>
          <w:i/>
          <w:sz w:val="18"/>
          <w:szCs w:val="18"/>
        </w:rPr>
        <w:footnoteRef/>
      </w:r>
      <w:r w:rsidRPr="00F868A0">
        <w:rPr>
          <w:rFonts w:ascii="Bookman Old Style" w:hAnsi="Bookman Old Style"/>
          <w:i/>
          <w:sz w:val="18"/>
          <w:szCs w:val="18"/>
        </w:rPr>
        <w:t xml:space="preserve"> Documento que obra a fojas 011 del expediente administrativo.</w:t>
      </w:r>
    </w:p>
  </w:footnote>
  <w:footnote w:id="3">
    <w:p w:rsidR="00D976F9" w:rsidRPr="00C21AB6" w:rsidRDefault="00D976F9" w:rsidP="00D976F9">
      <w:pPr>
        <w:pStyle w:val="Textonotapie"/>
        <w:ind w:left="180" w:hanging="180"/>
        <w:jc w:val="both"/>
        <w:rPr>
          <w:rFonts w:ascii="Bookman Old Style" w:hAnsi="Bookman Old Style" w:cs="Tahoma"/>
          <w:i/>
          <w:sz w:val="18"/>
          <w:szCs w:val="18"/>
          <w:lang w:val="es-PE"/>
        </w:rPr>
      </w:pPr>
      <w:r w:rsidRPr="00C21AB6">
        <w:rPr>
          <w:rStyle w:val="Refdenotaalpie"/>
          <w:rFonts w:ascii="Bookman Old Style" w:hAnsi="Bookman Old Style" w:cs="Tahoma"/>
          <w:i/>
          <w:sz w:val="18"/>
          <w:szCs w:val="18"/>
        </w:rPr>
        <w:footnoteRef/>
      </w:r>
      <w:r w:rsidRPr="00C21AB6">
        <w:rPr>
          <w:rFonts w:ascii="Bookman Old Style" w:hAnsi="Bookman Old Style" w:cs="Tahoma"/>
          <w:i/>
          <w:sz w:val="18"/>
          <w:szCs w:val="18"/>
        </w:rPr>
        <w:t xml:space="preserve"> </w:t>
      </w:r>
      <w:r w:rsidRPr="00C21AB6">
        <w:rPr>
          <w:rFonts w:ascii="Bookman Old Style" w:hAnsi="Bookman Old Style" w:cs="Tahoma"/>
          <w:i/>
          <w:sz w:val="18"/>
          <w:szCs w:val="18"/>
          <w:lang w:val="es-PE"/>
        </w:rPr>
        <w:t>Artículo 294.- Causales de aplicación de sanción a los proveedores, participantes, postores y contratistas.- El Tribunal impondrá la sanción administrativa de inhabilitación temporal o definitiva a los proveedores, postores y/o contratistas que:</w:t>
      </w:r>
    </w:p>
    <w:p w:rsidR="00D976F9" w:rsidRPr="00C21AB6" w:rsidRDefault="00D976F9" w:rsidP="00D976F9">
      <w:pPr>
        <w:pStyle w:val="Textonotapie"/>
        <w:ind w:left="180"/>
        <w:jc w:val="both"/>
        <w:rPr>
          <w:rFonts w:ascii="Bookman Old Style" w:hAnsi="Bookman Old Style" w:cs="Tahoma"/>
          <w:i/>
          <w:sz w:val="18"/>
          <w:szCs w:val="18"/>
          <w:lang w:val="es-PE"/>
        </w:rPr>
      </w:pPr>
      <w:r w:rsidRPr="00C21AB6">
        <w:rPr>
          <w:rFonts w:ascii="Bookman Old Style" w:hAnsi="Bookman Old Style" w:cs="Tahoma"/>
          <w:i/>
          <w:sz w:val="18"/>
          <w:szCs w:val="18"/>
          <w:lang w:val="es-PE"/>
        </w:rPr>
        <w:t>(…)</w:t>
      </w:r>
    </w:p>
    <w:p w:rsidR="00D976F9" w:rsidRPr="00C21AB6" w:rsidRDefault="00D976F9" w:rsidP="00D976F9">
      <w:pPr>
        <w:pStyle w:val="Textonotapie"/>
        <w:ind w:left="180"/>
        <w:jc w:val="both"/>
        <w:rPr>
          <w:rFonts w:ascii="Bookman Old Style" w:hAnsi="Bookman Old Style" w:cs="Tahoma"/>
          <w:i/>
          <w:sz w:val="18"/>
          <w:szCs w:val="18"/>
          <w:lang w:val="es-PE"/>
        </w:rPr>
      </w:pPr>
      <w:r w:rsidRPr="00C21AB6">
        <w:rPr>
          <w:rFonts w:ascii="Bookman Old Style" w:hAnsi="Bookman Old Style" w:cs="Tahoma"/>
          <w:i/>
          <w:sz w:val="18"/>
          <w:szCs w:val="18"/>
          <w:lang w:val="es-PE"/>
        </w:rPr>
        <w:t>9) Presenten documentos falsos o inexactos a las Entidades o al CONSUCODE.</w:t>
      </w:r>
    </w:p>
    <w:p w:rsidR="00D976F9" w:rsidRPr="00C21AB6" w:rsidRDefault="00D976F9" w:rsidP="00D976F9">
      <w:pPr>
        <w:pStyle w:val="Textonotapie"/>
        <w:ind w:left="180"/>
        <w:jc w:val="both"/>
        <w:rPr>
          <w:rFonts w:ascii="Bookman Old Style" w:hAnsi="Bookman Old Style" w:cs="Tahoma"/>
          <w:i/>
          <w:sz w:val="18"/>
          <w:szCs w:val="18"/>
          <w:lang w:val="es-PE"/>
        </w:rPr>
      </w:pPr>
      <w:r w:rsidRPr="00C21AB6">
        <w:rPr>
          <w:rFonts w:ascii="Bookman Old Style" w:hAnsi="Bookman Old Style" w:cs="Tahoma"/>
          <w:i/>
          <w:sz w:val="18"/>
          <w:szCs w:val="18"/>
          <w:lang w:val="es-PE"/>
        </w:rPr>
        <w:t>(…)”</w:t>
      </w:r>
    </w:p>
  </w:footnote>
  <w:footnote w:id="4">
    <w:p w:rsidR="00D976F9" w:rsidRPr="00C21AB6" w:rsidRDefault="00D976F9" w:rsidP="00D976F9">
      <w:pPr>
        <w:pStyle w:val="Textonotapie"/>
        <w:ind w:left="180" w:hanging="180"/>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w:t>
      </w:r>
      <w:r w:rsidRPr="00C21AB6">
        <w:rPr>
          <w:rFonts w:ascii="Bookman Old Style" w:hAnsi="Bookman Old Style"/>
          <w:i/>
          <w:sz w:val="18"/>
          <w:szCs w:val="18"/>
        </w:rPr>
        <w:tab/>
      </w:r>
      <w:r w:rsidRPr="00C21AB6">
        <w:rPr>
          <w:rFonts w:ascii="Bookman Old Style" w:hAnsi="Bookman Old Style" w:cs="Tahoma"/>
          <w:i/>
          <w:sz w:val="18"/>
          <w:szCs w:val="18"/>
        </w:rPr>
        <w:t>Documento obrante de fojas 010 a 013 del expediente administrativo.</w:t>
      </w:r>
    </w:p>
  </w:footnote>
  <w:footnote w:id="5">
    <w:p w:rsidR="00D976F9" w:rsidRPr="00C21AB6" w:rsidRDefault="00D976F9" w:rsidP="00D976F9">
      <w:pPr>
        <w:pStyle w:val="Textonotapie"/>
        <w:ind w:left="180" w:hanging="180"/>
        <w:jc w:val="both"/>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w:t>
      </w:r>
      <w:r w:rsidRPr="00C21AB6">
        <w:rPr>
          <w:rFonts w:ascii="Bookman Old Style" w:hAnsi="Bookman Old Style"/>
          <w:i/>
          <w:sz w:val="18"/>
          <w:szCs w:val="18"/>
        </w:rPr>
        <w:tab/>
        <w:t>Documento obrante a fojas 035 y 036 del expediente administrativo.</w:t>
      </w:r>
    </w:p>
  </w:footnote>
  <w:footnote w:id="6">
    <w:p w:rsidR="00D976F9" w:rsidRPr="00C21AB6" w:rsidRDefault="00D976F9" w:rsidP="00D976F9">
      <w:pPr>
        <w:pStyle w:val="Textonotapie"/>
        <w:ind w:left="180" w:hanging="180"/>
        <w:jc w:val="both"/>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Artículo 42 de la Ley Nº 27444, Ley del Procedimiento Administrativo General.</w:t>
      </w:r>
    </w:p>
  </w:footnote>
  <w:footnote w:id="7">
    <w:p w:rsidR="00D976F9" w:rsidRPr="00C21AB6" w:rsidRDefault="00D976F9" w:rsidP="00D976F9">
      <w:pPr>
        <w:pStyle w:val="Textonotapie"/>
        <w:ind w:left="180" w:hanging="180"/>
        <w:jc w:val="both"/>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Literal c) del artículo 76 del Reglamento de la Ley de Contrataciones y Adquisiciones del Estado, aprobado por D.S. Nº 084-2004-PCM.</w:t>
      </w:r>
    </w:p>
  </w:footnote>
  <w:footnote w:id="8">
    <w:p w:rsidR="00D976F9" w:rsidRPr="00C21AB6" w:rsidRDefault="00D976F9" w:rsidP="00D976F9">
      <w:pPr>
        <w:pStyle w:val="Textonotapie"/>
        <w:ind w:left="180" w:hanging="180"/>
        <w:jc w:val="both"/>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Esta clase de responsabilidad ha sido recusada en la doctrina y jurisprudencia extranjeras, aunque existe un debate extenso con relaciona la tema. De acuerdo con respetables autores la responsabilidad administrativa como la penal, debe sustentarse en la existencia de un vínculo subjetivo a título de dolo o culpa, aunque tal discusión, tratándose de personas jurídicas adquiere una connotación distinta pues carecen de un proceso volitivo en sentido estricto.</w:t>
      </w:r>
    </w:p>
  </w:footnote>
  <w:footnote w:id="9">
    <w:p w:rsidR="00D976F9" w:rsidRPr="00142FE7" w:rsidRDefault="00D976F9" w:rsidP="00D976F9">
      <w:pPr>
        <w:pStyle w:val="Textonotapie"/>
        <w:ind w:left="180" w:hanging="180"/>
        <w:jc w:val="both"/>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w:t>
      </w:r>
      <w:r w:rsidRPr="00C21AB6">
        <w:rPr>
          <w:rFonts w:ascii="Bookman Old Style" w:hAnsi="Bookman Old Style"/>
          <w:i/>
          <w:sz w:val="18"/>
          <w:szCs w:val="18"/>
        </w:rPr>
        <w:tab/>
      </w:r>
      <w:r w:rsidRPr="00C21AB6">
        <w:rPr>
          <w:rFonts w:ascii="Bookman Old Style" w:hAnsi="Bookman Old Style"/>
          <w:b/>
          <w:i/>
          <w:sz w:val="18"/>
          <w:szCs w:val="18"/>
        </w:rPr>
        <w:t>Articulo Único.- Objeto de la Ley.-</w:t>
      </w:r>
      <w:r>
        <w:rPr>
          <w:rFonts w:ascii="Bookman Old Style" w:hAnsi="Bookman Old Style"/>
          <w:b/>
          <w:i/>
          <w:sz w:val="18"/>
          <w:szCs w:val="18"/>
        </w:rPr>
        <w:t xml:space="preserve"> </w:t>
      </w:r>
      <w:r w:rsidRPr="00142FE7">
        <w:rPr>
          <w:rFonts w:ascii="Bookman Old Style" w:hAnsi="Bookman Old Style"/>
          <w:i/>
          <w:sz w:val="18"/>
          <w:szCs w:val="18"/>
        </w:rPr>
        <w:t>(Modificado por el artículo 1º del Decreto de Urgencia N.º 064-2000, publicado el 23 de agosto de 2000</w:t>
      </w:r>
      <w:r>
        <w:rPr>
          <w:rFonts w:ascii="Bookman Old Style" w:hAnsi="Bookman Old Style"/>
          <w:i/>
          <w:sz w:val="18"/>
          <w:szCs w:val="18"/>
        </w:rPr>
        <w:t>, y por el artículo 1 de la Ley N.º 27633, publicada el 16 de enero del 2002</w:t>
      </w:r>
      <w:r w:rsidRPr="00142FE7">
        <w:rPr>
          <w:rFonts w:ascii="Bookman Old Style" w:hAnsi="Bookman Old Style"/>
          <w:i/>
          <w:sz w:val="18"/>
          <w:szCs w:val="18"/>
        </w:rPr>
        <w:t>)</w:t>
      </w:r>
    </w:p>
    <w:p w:rsidR="00D976F9" w:rsidRPr="00C21AB6" w:rsidRDefault="00D976F9" w:rsidP="00D976F9">
      <w:pPr>
        <w:pStyle w:val="Textonotapie"/>
        <w:ind w:left="180"/>
        <w:jc w:val="both"/>
        <w:rPr>
          <w:rFonts w:ascii="Bookman Old Style" w:hAnsi="Bookman Old Style"/>
          <w:i/>
          <w:sz w:val="18"/>
          <w:szCs w:val="18"/>
        </w:rPr>
      </w:pPr>
      <w:r>
        <w:rPr>
          <w:rFonts w:ascii="Bookman Old Style" w:hAnsi="Bookman Old Style"/>
          <w:i/>
          <w:sz w:val="18"/>
          <w:szCs w:val="18"/>
        </w:rPr>
        <w:t>Para la aplicación del artículo 31 de la Ley N</w:t>
      </w:r>
      <w:proofErr w:type="gramStart"/>
      <w:r>
        <w:rPr>
          <w:rFonts w:ascii="Bookman Old Style" w:hAnsi="Bookman Old Style"/>
          <w:i/>
          <w:sz w:val="18"/>
          <w:szCs w:val="18"/>
        </w:rPr>
        <w:t>.º</w:t>
      </w:r>
      <w:proofErr w:type="gramEnd"/>
      <w:r>
        <w:rPr>
          <w:rFonts w:ascii="Bookman Old Style" w:hAnsi="Bookman Old Style"/>
          <w:i/>
          <w:sz w:val="18"/>
          <w:szCs w:val="18"/>
        </w:rPr>
        <w:t xml:space="preserve"> 26850, Ley de Contrataciones y Adquisiciones del Estado, e</w:t>
      </w:r>
      <w:r w:rsidRPr="00C21AB6">
        <w:rPr>
          <w:rFonts w:ascii="Bookman Old Style" w:hAnsi="Bookman Old Style"/>
          <w:i/>
          <w:sz w:val="18"/>
          <w:szCs w:val="18"/>
        </w:rPr>
        <w:t>n</w:t>
      </w:r>
      <w:r w:rsidRPr="00C21AB6">
        <w:rPr>
          <w:rFonts w:ascii="Bookman Old Style" w:hAnsi="Bookman Old Style" w:cs="Tahoma"/>
          <w:i/>
          <w:sz w:val="18"/>
          <w:szCs w:val="18"/>
        </w:rPr>
        <w:t xml:space="preserve"> los procesos de adquisiciones de bienes y para efectos del otorgamiento de la Buena Pro, se agregará un 20% adicional a la sumatoria de la calificación técnica y económica obtenida por las posturas de bienes y servicios elaborados o prestados dentro del territorio nacional, conforme al reglamento de la materia.</w:t>
      </w:r>
    </w:p>
  </w:footnote>
  <w:footnote w:id="10">
    <w:p w:rsidR="00D976F9" w:rsidRPr="00C21AB6" w:rsidRDefault="00D976F9" w:rsidP="00D976F9">
      <w:pPr>
        <w:pStyle w:val="Textoindependiente"/>
        <w:tabs>
          <w:tab w:val="left" w:pos="2410"/>
        </w:tabs>
        <w:ind w:left="180" w:hanging="180"/>
        <w:rPr>
          <w:rFonts w:ascii="Bookman Old Style" w:hAnsi="Bookman Old Style" w:cs="Tahoma"/>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w:t>
      </w:r>
      <w:r w:rsidRPr="00C21AB6">
        <w:rPr>
          <w:rFonts w:ascii="Bookman Old Style" w:hAnsi="Bookman Old Style"/>
          <w:b/>
          <w:i/>
          <w:sz w:val="18"/>
          <w:szCs w:val="18"/>
        </w:rPr>
        <w:t>Artículo 1.- Bienes Elaborados dentro del Territorio Nacional.-</w:t>
      </w:r>
    </w:p>
    <w:p w:rsidR="00D976F9" w:rsidRPr="00C21AB6" w:rsidRDefault="00D976F9" w:rsidP="00D976F9">
      <w:pPr>
        <w:pStyle w:val="Textonotapie"/>
        <w:ind w:left="180"/>
        <w:jc w:val="both"/>
        <w:rPr>
          <w:rFonts w:ascii="Bookman Old Style" w:hAnsi="Bookman Old Style"/>
          <w:i/>
          <w:sz w:val="18"/>
          <w:szCs w:val="18"/>
        </w:rPr>
      </w:pPr>
      <w:r w:rsidRPr="00C21AB6">
        <w:rPr>
          <w:rFonts w:ascii="Bookman Old Style" w:hAnsi="Bookman Old Style"/>
          <w:i/>
          <w:sz w:val="18"/>
          <w:szCs w:val="18"/>
        </w:rPr>
        <w:t>Para efecto de lo establecido en el Decreto de Urgencia Nº 064-2000, se entenderá como bien elaborado dentro del territorio nacional a aquel bien que cumpla con alguno de los requisitos siguientes:</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a. Los bienes producidos íntegramente en el Perú, con utilización exclusiva de materiales producidos o extraídos en el Perú.</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b. Los bienes comprendidos en los capítulos o posiciones de la NALADI que se indican en el Anexo I de la Resolución 78 de la ALADI o su equivalente en NANDINA, por el solo hecho de ser producidos en el Perú.</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c. Los bienes producidos en el Perú utilizando materiales originarios de otros países, siempre que resulten de un proceso de transformación realizado que le confiera una nueva individualidad caracterizada por el hecho de quedar clasificados en la NALADI o su equivalente en NANDINA en posición diferente a la de dichos materiales.</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No serán considerados elaborados en el Perú, los bienes producidos por procesos u operaciones por los cuales adquieran la forma final en que serán comercializados, cuando en dichos procesos se utilicen materiales de otros países y consistan solamente en simples montajes o ensambles, embalaje, fraccionamiento en lotes, piezas o volúmenes, selección y clasificación, marcación y composición de surtidos de mercancías y otras operaciones que no impliquen un proceso de transformación sustancial en los términos del párrafo primero de este literal.</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En los casos en que el requisito establecido en este literal no pueda ser cumplido porque el proceso de transformación operado no implica cambio de posición en la nomenclatura NALADI o su equivalente en NANDINA, bastará con que el valor CIF de los materiales de otros países no exceda del 50% (cincuenta por ciento) del valor de los bienes de que se trate.</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d. Los bienes que resulten de operaciones de ensamble o montaje, realizadas en el Perú utilizando materiales originarios de otros países, cuando el valor CIF de los materiales originarios de otros países no exceda del 50% (cincuenta por ciento) del valor de tales mercancías.</w:t>
      </w:r>
    </w:p>
    <w:p w:rsidR="00D976F9" w:rsidRPr="00C21AB6" w:rsidRDefault="00D976F9" w:rsidP="00D976F9">
      <w:pPr>
        <w:pStyle w:val="Textonotapie"/>
        <w:tabs>
          <w:tab w:val="left" w:pos="1080"/>
        </w:tabs>
        <w:ind w:left="180" w:hanging="180"/>
        <w:jc w:val="both"/>
        <w:rPr>
          <w:rFonts w:ascii="Bookman Old Style" w:hAnsi="Bookman Old Style"/>
          <w:i/>
          <w:sz w:val="18"/>
          <w:szCs w:val="18"/>
        </w:rPr>
      </w:pPr>
      <w:r w:rsidRPr="00C21AB6">
        <w:rPr>
          <w:rFonts w:ascii="Bookman Old Style" w:hAnsi="Bookman Old Style"/>
          <w:i/>
          <w:sz w:val="18"/>
          <w:szCs w:val="18"/>
        </w:rPr>
        <w:tab/>
        <w:t>Para efecto de este artículo, el concepto de “materiales” comprende las materias primas, los productos intermedios y las partes y piezas, utilizados en la elaboración de las mercancías o bienes”.</w:t>
      </w:r>
    </w:p>
  </w:footnote>
  <w:footnote w:id="11">
    <w:p w:rsidR="00D976F9" w:rsidRPr="00092E5C" w:rsidRDefault="00D976F9" w:rsidP="00D976F9">
      <w:pPr>
        <w:pStyle w:val="Textoindependiente"/>
        <w:tabs>
          <w:tab w:val="left" w:pos="180"/>
          <w:tab w:val="left" w:pos="2410"/>
        </w:tabs>
        <w:ind w:left="180" w:hanging="180"/>
        <w:rPr>
          <w:rFonts w:ascii="Bookman Old Style" w:hAnsi="Bookman Old Style" w:cs="Tahoma"/>
          <w:i/>
          <w:sz w:val="18"/>
          <w:szCs w:val="18"/>
        </w:rPr>
      </w:pPr>
      <w:r>
        <w:rPr>
          <w:rStyle w:val="Refdenotaalpie"/>
        </w:rPr>
        <w:footnoteRef/>
      </w:r>
      <w:r w:rsidRPr="00092E5C">
        <w:rPr>
          <w:rFonts w:ascii="Bookman Old Style" w:hAnsi="Bookman Old Style"/>
          <w:i/>
          <w:sz w:val="18"/>
          <w:szCs w:val="18"/>
        </w:rPr>
        <w:t xml:space="preserve"> </w:t>
      </w:r>
      <w:r>
        <w:rPr>
          <w:rFonts w:ascii="Bookman Old Style" w:hAnsi="Bookman Old Style"/>
          <w:i/>
          <w:sz w:val="18"/>
          <w:szCs w:val="18"/>
        </w:rPr>
        <w:tab/>
      </w:r>
      <w:r w:rsidRPr="00092E5C">
        <w:rPr>
          <w:rFonts w:ascii="Bookman Old Style" w:hAnsi="Bookman Old Style"/>
          <w:i/>
          <w:sz w:val="18"/>
          <w:szCs w:val="18"/>
        </w:rPr>
        <w:t>“</w:t>
      </w:r>
      <w:r w:rsidRPr="00092E5C">
        <w:rPr>
          <w:rFonts w:ascii="Bookman Old Style" w:hAnsi="Bookman Old Style"/>
          <w:b/>
          <w:bCs/>
          <w:i/>
          <w:sz w:val="18"/>
          <w:szCs w:val="18"/>
        </w:rPr>
        <w:t>Artículo 119.- Presentación de documentos</w:t>
      </w:r>
    </w:p>
    <w:p w:rsidR="00D976F9" w:rsidRPr="00092E5C" w:rsidRDefault="00D976F9" w:rsidP="00D976F9">
      <w:pPr>
        <w:tabs>
          <w:tab w:val="left" w:pos="180"/>
        </w:tabs>
        <w:autoSpaceDE w:val="0"/>
        <w:autoSpaceDN w:val="0"/>
        <w:adjustRightInd w:val="0"/>
        <w:ind w:left="180" w:hanging="180"/>
        <w:jc w:val="both"/>
        <w:rPr>
          <w:rFonts w:ascii="Bookman Old Style" w:hAnsi="Bookman Old Style" w:cs="Arial"/>
          <w:i/>
          <w:sz w:val="18"/>
          <w:szCs w:val="18"/>
        </w:rPr>
      </w:pPr>
      <w:r>
        <w:rPr>
          <w:rFonts w:ascii="Bookman Old Style" w:hAnsi="Bookman Old Style"/>
          <w:i/>
          <w:sz w:val="18"/>
          <w:szCs w:val="18"/>
        </w:rPr>
        <w:tab/>
      </w:r>
      <w:r w:rsidRPr="00092E5C">
        <w:rPr>
          <w:rFonts w:ascii="Bookman Old Style" w:hAnsi="Bookman Old Style"/>
          <w:i/>
          <w:sz w:val="18"/>
          <w:szCs w:val="18"/>
        </w:rPr>
        <w:t xml:space="preserve">Todos los documentos que contengan información esencial de las propuestas en un proceso de selección se presentarán en idioma castellano o, en su defecto, acompañados de traducción oficial, salvo el caso de la información técnica complementaria contenida en folletos, instructivos, catálogos o similares, que podrá ser presentada en el idioma original. </w:t>
      </w:r>
      <w:r w:rsidRPr="00092E5C">
        <w:rPr>
          <w:rFonts w:ascii="Bookman Old Style" w:hAnsi="Bookman Old Style"/>
          <w:i/>
          <w:sz w:val="18"/>
          <w:szCs w:val="18"/>
          <w:u w:val="single"/>
        </w:rPr>
        <w:t>El postor será responsable de la exactitud y veracidad de dichos documentos</w:t>
      </w:r>
      <w:r w:rsidRPr="00092E5C">
        <w:rPr>
          <w:rFonts w:ascii="Bookman Old Style" w:hAnsi="Bookman Old Style"/>
          <w:i/>
          <w:sz w:val="18"/>
          <w:szCs w:val="18"/>
        </w:rPr>
        <w:t>.</w:t>
      </w:r>
    </w:p>
    <w:p w:rsidR="00D976F9" w:rsidRDefault="00D976F9" w:rsidP="00D976F9">
      <w:pPr>
        <w:pStyle w:val="Textonotapie"/>
        <w:tabs>
          <w:tab w:val="left" w:pos="180"/>
        </w:tabs>
        <w:ind w:left="180" w:hanging="180"/>
        <w:jc w:val="both"/>
      </w:pPr>
      <w:r>
        <w:rPr>
          <w:rFonts w:ascii="Bookman Old Style" w:hAnsi="Bookman Old Style"/>
          <w:i/>
          <w:sz w:val="18"/>
          <w:szCs w:val="18"/>
        </w:rPr>
        <w:tab/>
      </w:r>
      <w:r w:rsidRPr="00092E5C">
        <w:rPr>
          <w:rFonts w:ascii="Bookman Old Style" w:hAnsi="Bookman Old Style"/>
          <w:i/>
          <w:sz w:val="18"/>
          <w:szCs w:val="18"/>
        </w:rPr>
        <w:t>Cuando se exija la presentación de documentos que sean emitidos por autoridad pública en el extranjero, el postor podrá presentar copia simple de los mismos sin perjuicio de su ulterior presentación, la cual necesariamente deberá ser previa a la firma del contrato. Dichos documentos deberán estar debidamente legalizados por el Consulado respectivo y por el Ministerio de Relaciones Exteriores, en caso sea favorecido con la Buena Pro”.</w:t>
      </w:r>
    </w:p>
  </w:footnote>
  <w:footnote w:id="12">
    <w:p w:rsidR="00D976F9" w:rsidRPr="00C21AB6" w:rsidRDefault="00D976F9" w:rsidP="00D976F9">
      <w:pPr>
        <w:pStyle w:val="Textonotapie"/>
        <w:tabs>
          <w:tab w:val="left" w:pos="360"/>
        </w:tabs>
        <w:ind w:left="180" w:hanging="180"/>
        <w:jc w:val="both"/>
        <w:rPr>
          <w:rFonts w:ascii="Bookman Old Style" w:hAnsi="Bookman Old Style"/>
          <w:i/>
          <w:sz w:val="18"/>
          <w:szCs w:val="18"/>
        </w:rPr>
      </w:pPr>
      <w:r w:rsidRPr="00C21AB6">
        <w:rPr>
          <w:rStyle w:val="Refdenotaalpie"/>
          <w:rFonts w:ascii="Bookman Old Style" w:hAnsi="Bookman Old Style"/>
          <w:i/>
          <w:sz w:val="18"/>
          <w:szCs w:val="18"/>
        </w:rPr>
        <w:footnoteRef/>
      </w:r>
      <w:r w:rsidRPr="00C21AB6">
        <w:rPr>
          <w:rFonts w:ascii="Bookman Old Style" w:hAnsi="Bookman Old Style"/>
          <w:i/>
          <w:sz w:val="18"/>
          <w:szCs w:val="18"/>
        </w:rPr>
        <w:t xml:space="preserve"> </w:t>
      </w:r>
      <w:r w:rsidRPr="00C21AB6">
        <w:rPr>
          <w:rFonts w:ascii="Bookman Old Style" w:hAnsi="Bookman Old Style"/>
          <w:i/>
          <w:sz w:val="18"/>
          <w:szCs w:val="18"/>
        </w:rPr>
        <w:tab/>
        <w:t>“</w:t>
      </w:r>
      <w:r w:rsidRPr="00C21AB6">
        <w:rPr>
          <w:rFonts w:ascii="Bookman Old Style" w:hAnsi="Bookman Old Style"/>
          <w:b/>
          <w:i/>
          <w:sz w:val="18"/>
          <w:szCs w:val="18"/>
        </w:rPr>
        <w:t>Artículo 230.- Principios de la potestad sancionadora</w:t>
      </w:r>
    </w:p>
    <w:p w:rsidR="00D976F9" w:rsidRPr="00C21AB6" w:rsidRDefault="00D976F9" w:rsidP="00D976F9">
      <w:pPr>
        <w:pStyle w:val="Textonotapie"/>
        <w:tabs>
          <w:tab w:val="left" w:pos="360"/>
        </w:tabs>
        <w:ind w:left="180" w:hanging="180"/>
        <w:jc w:val="both"/>
        <w:rPr>
          <w:rFonts w:ascii="Bookman Old Style" w:hAnsi="Bookman Old Style"/>
          <w:i/>
          <w:sz w:val="18"/>
          <w:szCs w:val="18"/>
        </w:rPr>
      </w:pPr>
      <w:r w:rsidRPr="00C21AB6">
        <w:rPr>
          <w:rFonts w:ascii="Bookman Old Style" w:hAnsi="Bookman Old Style"/>
          <w:i/>
          <w:sz w:val="18"/>
          <w:szCs w:val="18"/>
        </w:rPr>
        <w:tab/>
        <w:t>(…)</w:t>
      </w:r>
    </w:p>
    <w:p w:rsidR="00D976F9" w:rsidRPr="00C21AB6" w:rsidRDefault="00D976F9" w:rsidP="00D976F9">
      <w:pPr>
        <w:pStyle w:val="Textonotapie"/>
        <w:tabs>
          <w:tab w:val="left" w:pos="360"/>
        </w:tabs>
        <w:ind w:left="180" w:hanging="180"/>
        <w:jc w:val="both"/>
        <w:rPr>
          <w:rFonts w:ascii="Bookman Old Style" w:hAnsi="Bookman Old Style"/>
          <w:i/>
          <w:sz w:val="18"/>
          <w:szCs w:val="18"/>
        </w:rPr>
      </w:pPr>
      <w:r w:rsidRPr="00C21AB6">
        <w:rPr>
          <w:rFonts w:ascii="Bookman Old Style" w:hAnsi="Bookman Old Style"/>
          <w:b/>
          <w:i/>
          <w:sz w:val="18"/>
          <w:szCs w:val="18"/>
        </w:rPr>
        <w:tab/>
        <w:t>3. Razonabilidad</w:t>
      </w:r>
      <w:r w:rsidRPr="00C21AB6">
        <w:rPr>
          <w:rFonts w:ascii="Bookman Old Style" w:hAnsi="Bookman Old Style"/>
          <w:i/>
          <w:sz w:val="18"/>
          <w:szCs w:val="18"/>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D976F9" w:rsidRPr="00C21AB6" w:rsidRDefault="00D976F9" w:rsidP="00D976F9">
      <w:pPr>
        <w:pStyle w:val="Textonotapie"/>
        <w:tabs>
          <w:tab w:val="left" w:pos="360"/>
        </w:tabs>
        <w:ind w:left="180" w:hanging="180"/>
        <w:jc w:val="both"/>
        <w:rPr>
          <w:rFonts w:ascii="Bookman Old Style" w:hAnsi="Bookman Old Style"/>
          <w:i/>
          <w:sz w:val="18"/>
          <w:szCs w:val="18"/>
        </w:rPr>
      </w:pPr>
      <w:r w:rsidRPr="00C21AB6">
        <w:rPr>
          <w:rFonts w:ascii="Bookman Old Style" w:hAnsi="Bookman Old Style"/>
          <w:i/>
          <w:sz w:val="18"/>
          <w:szCs w:val="18"/>
        </w:rPr>
        <w:ta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8F7" w:rsidRDefault="007A38F7" w:rsidP="007A38F7">
    <w:pPr>
      <w:tabs>
        <w:tab w:val="left" w:pos="2520"/>
      </w:tabs>
      <w:ind w:left="2520" w:right="765" w:hanging="1102"/>
      <w:jc w:val="center"/>
      <w:rPr>
        <w:rFonts w:ascii="Tahoma" w:hAnsi="Tahoma" w:cs="Tahoma"/>
        <w:b/>
      </w:rPr>
    </w:pPr>
  </w:p>
  <w:p w:rsidR="007A38F7" w:rsidRDefault="007A38F7" w:rsidP="007A38F7">
    <w:pPr>
      <w:tabs>
        <w:tab w:val="left" w:pos="2520"/>
      </w:tabs>
      <w:ind w:left="2520" w:right="765" w:hanging="1102"/>
      <w:jc w:val="center"/>
      <w:rPr>
        <w:rFonts w:ascii="Tahoma" w:hAnsi="Tahoma" w:cs="Tahoma"/>
        <w:b/>
      </w:rPr>
    </w:pPr>
  </w:p>
  <w:p w:rsidR="007A38F7" w:rsidRDefault="007A38F7" w:rsidP="007A38F7">
    <w:pPr>
      <w:tabs>
        <w:tab w:val="left" w:pos="2520"/>
      </w:tabs>
      <w:ind w:left="2520" w:right="765" w:hanging="1102"/>
      <w:jc w:val="center"/>
      <w:rPr>
        <w:rFonts w:ascii="Tahoma" w:hAnsi="Tahoma" w:cs="Tahoma"/>
        <w:b/>
      </w:rPr>
    </w:pPr>
  </w:p>
  <w:p w:rsidR="007A38F7" w:rsidRDefault="007A38F7" w:rsidP="007A38F7">
    <w:pPr>
      <w:tabs>
        <w:tab w:val="left" w:pos="2520"/>
      </w:tabs>
      <w:ind w:left="2520" w:right="765" w:hanging="1102"/>
      <w:jc w:val="center"/>
      <w:rPr>
        <w:rFonts w:ascii="Tahoma" w:hAnsi="Tahoma" w:cs="Tahoma"/>
        <w:b/>
      </w:rPr>
    </w:pPr>
  </w:p>
  <w:p w:rsidR="007A38F7" w:rsidRDefault="007A38F7" w:rsidP="007A38F7">
    <w:pPr>
      <w:tabs>
        <w:tab w:val="left" w:pos="2520"/>
      </w:tabs>
      <w:ind w:left="2520" w:right="765" w:hanging="1102"/>
      <w:jc w:val="center"/>
      <w:rPr>
        <w:rFonts w:ascii="Tahoma" w:hAnsi="Tahoma" w:cs="Tahoma"/>
        <w:b/>
      </w:rPr>
    </w:pPr>
  </w:p>
  <w:p w:rsidR="007A38F7" w:rsidRDefault="007A38F7" w:rsidP="007A38F7">
    <w:pPr>
      <w:tabs>
        <w:tab w:val="left" w:pos="2520"/>
      </w:tabs>
      <w:ind w:left="2520" w:right="765" w:hanging="1102"/>
      <w:jc w:val="center"/>
      <w:rPr>
        <w:rFonts w:ascii="Tahoma" w:hAnsi="Tahoma" w:cs="Tahoma"/>
        <w:b/>
      </w:rPr>
    </w:pPr>
  </w:p>
  <w:p w:rsidR="007A38F7" w:rsidRDefault="007A38F7" w:rsidP="007A38F7">
    <w:pPr>
      <w:tabs>
        <w:tab w:val="left" w:pos="2520"/>
      </w:tabs>
      <w:ind w:left="2520" w:right="765" w:hanging="1102"/>
      <w:jc w:val="center"/>
      <w:rPr>
        <w:rFonts w:ascii="Tahoma" w:hAnsi="Tahoma" w:cs="Tahoma"/>
        <w:b/>
      </w:rPr>
    </w:pPr>
  </w:p>
  <w:p w:rsidR="007A38F7" w:rsidRDefault="007A38F7" w:rsidP="007A38F7">
    <w:pPr>
      <w:tabs>
        <w:tab w:val="left" w:pos="2520"/>
      </w:tabs>
      <w:ind w:left="2520" w:right="765" w:hanging="1102"/>
      <w:jc w:val="center"/>
      <w:rPr>
        <w:rFonts w:ascii="Tahoma" w:hAnsi="Tahoma" w:cs="Tahoma"/>
        <w:b/>
      </w:rPr>
    </w:pPr>
  </w:p>
  <w:p w:rsidR="007A38F7" w:rsidRPr="00667EE8" w:rsidRDefault="007A38F7" w:rsidP="007A38F7">
    <w:pPr>
      <w:tabs>
        <w:tab w:val="left" w:pos="2520"/>
      </w:tabs>
      <w:ind w:left="2520" w:right="765" w:hanging="1102"/>
      <w:jc w:val="center"/>
      <w:rPr>
        <w:rFonts w:ascii="Tahoma" w:hAnsi="Tahoma" w:cs="Tahoma"/>
        <w:b/>
      </w:rPr>
    </w:pPr>
    <w:r w:rsidRPr="00667EE8">
      <w:rPr>
        <w:rFonts w:ascii="Tahoma" w:hAnsi="Tahoma" w:cs="Tahoma"/>
        <w:b/>
      </w:rPr>
      <w:t>Resolución N</w:t>
    </w:r>
    <w:proofErr w:type="gramStart"/>
    <w:r w:rsidRPr="00667EE8">
      <w:rPr>
        <w:rFonts w:ascii="Tahoma" w:hAnsi="Tahoma" w:cs="Tahoma"/>
        <w:b/>
      </w:rPr>
      <w:t>.º</w:t>
    </w:r>
    <w:proofErr w:type="gramEnd"/>
    <w:r w:rsidRPr="00667EE8">
      <w:rPr>
        <w:rFonts w:ascii="Tahoma" w:hAnsi="Tahoma" w:cs="Tahoma"/>
        <w:b/>
      </w:rPr>
      <w:t xml:space="preserve"> 1843-2007/TC-S3</w:t>
    </w:r>
  </w:p>
  <w:p w:rsidR="007A38F7" w:rsidRPr="007A38F7" w:rsidRDefault="007A38F7" w:rsidP="007A38F7">
    <w:pPr>
      <w:pStyle w:val="Encabezado"/>
    </w:pPr>
  </w:p>
  <w:p w:rsidR="00000000" w:rsidRDefault="007A38F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D13A2FE8"/>
    <w:lvl w:ilvl="0" w:tplc="48845794">
      <w:start w:val="1"/>
      <w:numFmt w:val="decimal"/>
      <w:lvlText w:val="%1."/>
      <w:lvlJc w:val="left"/>
      <w:pPr>
        <w:tabs>
          <w:tab w:val="num" w:pos="720"/>
        </w:tabs>
        <w:ind w:left="720" w:hanging="360"/>
      </w:pPr>
      <w:rPr>
        <w:rFonts w:hint="default"/>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BBB3A37"/>
    <w:multiLevelType w:val="hybridMultilevel"/>
    <w:tmpl w:val="DF70691E"/>
    <w:lvl w:ilvl="0" w:tplc="1F44C01E">
      <w:start w:val="1"/>
      <w:numFmt w:val="decimal"/>
      <w:lvlText w:val="%1."/>
      <w:lvlJc w:val="left"/>
      <w:pPr>
        <w:tabs>
          <w:tab w:val="num" w:pos="567"/>
        </w:tabs>
        <w:ind w:left="567" w:hanging="567"/>
      </w:pPr>
      <w:rPr>
        <w:rFonts w:ascii="Arial Narrow" w:hAnsi="Arial Narrow" w:hint="default"/>
        <w:b/>
        <w:i w:val="0"/>
        <w:shadow w:val="0"/>
        <w:sz w:val="24"/>
        <w:szCs w:val="24"/>
        <w:u w:color="FFFFFF"/>
      </w:rPr>
    </w:lvl>
    <w:lvl w:ilvl="1" w:tplc="0C0A0019">
      <w:start w:val="1"/>
      <w:numFmt w:val="lowerLetter"/>
      <w:lvlText w:val="%2."/>
      <w:lvlJc w:val="left"/>
      <w:pPr>
        <w:tabs>
          <w:tab w:val="num" w:pos="1440"/>
        </w:tabs>
        <w:ind w:left="1440" w:hanging="360"/>
      </w:pPr>
    </w:lvl>
    <w:lvl w:ilvl="2" w:tplc="7FA0BB16">
      <w:start w:val="5"/>
      <w:numFmt w:val="upperLetter"/>
      <w:lvlText w:val="%3."/>
      <w:lvlJc w:val="left"/>
      <w:pPr>
        <w:tabs>
          <w:tab w:val="num" w:pos="454"/>
        </w:tabs>
        <w:ind w:left="454" w:hanging="454"/>
      </w:pPr>
      <w:rPr>
        <w:rFonts w:hint="default"/>
        <w:b/>
        <w:i w:val="0"/>
        <w:shadow/>
        <w:sz w:val="24"/>
        <w:szCs w:val="24"/>
        <w:u w:color="FFFFFF"/>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D89661A"/>
    <w:multiLevelType w:val="hybridMultilevel"/>
    <w:tmpl w:val="D00285BC"/>
    <w:lvl w:ilvl="0" w:tplc="1F74F778">
      <w:start w:val="1"/>
      <w:numFmt w:val="decimal"/>
      <w:lvlText w:val="%1."/>
      <w:lvlJc w:val="left"/>
      <w:pPr>
        <w:tabs>
          <w:tab w:val="num" w:pos="454"/>
        </w:tabs>
        <w:ind w:left="454" w:hanging="454"/>
      </w:pPr>
      <w:rPr>
        <w:rFonts w:ascii="Arial Narrow" w:hAnsi="Arial Narrow" w:hint="default"/>
        <w:b/>
        <w:i w:val="0"/>
        <w:shadow w:val="0"/>
        <w:emboss w:val="0"/>
        <w:imprint w:val="0"/>
        <w:color w:val="auto"/>
        <w:sz w:val="24"/>
        <w:szCs w:val="24"/>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37C13682"/>
    <w:multiLevelType w:val="hybridMultilevel"/>
    <w:tmpl w:val="57B2BC26"/>
    <w:lvl w:ilvl="0" w:tplc="B48836B6">
      <w:start w:val="1"/>
      <w:numFmt w:val="decimal"/>
      <w:lvlText w:val="%1."/>
      <w:lvlJc w:val="left"/>
      <w:pPr>
        <w:tabs>
          <w:tab w:val="num" w:pos="454"/>
        </w:tabs>
        <w:ind w:left="454" w:hanging="454"/>
      </w:pPr>
      <w:rPr>
        <w:rFonts w:ascii="Arial Narrow" w:hAnsi="Arial Narrow" w:hint="default"/>
        <w:b/>
        <w:i w:val="0"/>
        <w:shadow/>
        <w:sz w:val="24"/>
        <w:szCs w:val="24"/>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E787431"/>
    <w:multiLevelType w:val="hybridMultilevel"/>
    <w:tmpl w:val="E5686B40"/>
    <w:lvl w:ilvl="0" w:tplc="CA501768">
      <w:start w:val="1"/>
      <w:numFmt w:val="lowerRoman"/>
      <w:lvlText w:val="%1)"/>
      <w:lvlJc w:val="left"/>
      <w:pPr>
        <w:tabs>
          <w:tab w:val="num" w:pos="1080"/>
        </w:tabs>
        <w:ind w:left="1080" w:hanging="720"/>
      </w:pPr>
      <w:rPr>
        <w:rFonts w:hint="default"/>
      </w:rPr>
    </w:lvl>
    <w:lvl w:ilvl="1" w:tplc="EACE8F8E">
      <w:start w:val="1"/>
      <w:numFmt w:val="low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7F8030E4"/>
    <w:multiLevelType w:val="hybridMultilevel"/>
    <w:tmpl w:val="180CF528"/>
    <w:lvl w:ilvl="0" w:tplc="C1382FE2">
      <w:start w:val="1"/>
      <w:numFmt w:val="decimal"/>
      <w:lvlText w:val="%1."/>
      <w:lvlJc w:val="left"/>
      <w:pPr>
        <w:tabs>
          <w:tab w:val="num" w:pos="720"/>
        </w:tabs>
        <w:ind w:left="720" w:hanging="360"/>
      </w:pPr>
      <w:rPr>
        <w:b/>
        <w:shadow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381D8F"/>
    <w:rsid w:val="0007628E"/>
    <w:rsid w:val="001717A1"/>
    <w:rsid w:val="002110BA"/>
    <w:rsid w:val="00325000"/>
    <w:rsid w:val="00381D8F"/>
    <w:rsid w:val="00442E92"/>
    <w:rsid w:val="004A09D0"/>
    <w:rsid w:val="004A44D5"/>
    <w:rsid w:val="00557CBE"/>
    <w:rsid w:val="007A38F7"/>
    <w:rsid w:val="00812CC9"/>
    <w:rsid w:val="00BA0583"/>
    <w:rsid w:val="00C448CE"/>
    <w:rsid w:val="00CD1590"/>
    <w:rsid w:val="00CE6194"/>
    <w:rsid w:val="00D976F9"/>
    <w:rsid w:val="00FE056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4D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4A44D5"/>
    <w:pPr>
      <w:widowControl w:val="0"/>
      <w:tabs>
        <w:tab w:val="center" w:pos="4252"/>
        <w:tab w:val="right" w:pos="8504"/>
      </w:tabs>
      <w:suppressAutoHyphens/>
    </w:pPr>
    <w:rPr>
      <w:sz w:val="24"/>
      <w:lang w:val="es-ES_tradnl"/>
    </w:rPr>
  </w:style>
  <w:style w:type="paragraph" w:styleId="Textoindependiente">
    <w:name w:val="Body Text"/>
    <w:basedOn w:val="Normal"/>
    <w:rsid w:val="004A44D5"/>
    <w:pPr>
      <w:jc w:val="both"/>
    </w:pPr>
    <w:rPr>
      <w:rFonts w:ascii="Arial" w:hAnsi="Arial"/>
      <w:sz w:val="24"/>
      <w:lang w:val="es-PE"/>
    </w:rPr>
  </w:style>
  <w:style w:type="paragraph" w:styleId="Textonotapie">
    <w:name w:val="footnote text"/>
    <w:basedOn w:val="Normal"/>
    <w:semiHidden/>
    <w:rsid w:val="004A44D5"/>
  </w:style>
  <w:style w:type="character" w:styleId="Refdenotaalpie">
    <w:name w:val="footnote reference"/>
    <w:basedOn w:val="Fuentedeprrafopredeter"/>
    <w:semiHidden/>
    <w:rsid w:val="004A44D5"/>
    <w:rPr>
      <w:vertAlign w:val="superscript"/>
    </w:rPr>
  </w:style>
  <w:style w:type="character" w:styleId="Nmerodepgina">
    <w:name w:val="page number"/>
    <w:basedOn w:val="Fuentedeprrafopredeter"/>
    <w:rsid w:val="004A44D5"/>
  </w:style>
  <w:style w:type="paragraph" w:styleId="Encabezado">
    <w:name w:val="header"/>
    <w:basedOn w:val="Normal"/>
    <w:link w:val="EncabezadoCar"/>
    <w:uiPriority w:val="99"/>
    <w:semiHidden/>
    <w:unhideWhenUsed/>
    <w:rsid w:val="007A38F7"/>
    <w:pPr>
      <w:tabs>
        <w:tab w:val="center" w:pos="4252"/>
        <w:tab w:val="right" w:pos="8504"/>
      </w:tabs>
    </w:pPr>
  </w:style>
  <w:style w:type="character" w:customStyle="1" w:styleId="EncabezadoCar">
    <w:name w:val="Encabezado Car"/>
    <w:basedOn w:val="Fuentedeprrafopredeter"/>
    <w:link w:val="Encabezado"/>
    <w:uiPriority w:val="99"/>
    <w:semiHidden/>
    <w:rsid w:val="007A38F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2857</Words>
  <Characters>15002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Sumilla:  </vt:lpstr>
    </vt:vector>
  </TitlesOfParts>
  <Company>consucode|</Company>
  <LinksUpToDate>false</LinksUpToDate>
  <CharactersWithSpaces>17824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Sumilla:  </dc:title>
  <dc:subject/>
  <dc:creator>cmarrou</dc:creator>
  <cp:keywords/>
  <dc:description/>
  <cp:lastModifiedBy>rvergara</cp:lastModifiedBy>
  <cp:revision>2</cp:revision>
  <cp:lastPrinted>2007-12-05T17:05:00Z</cp:lastPrinted>
  <dcterms:created xsi:type="dcterms:W3CDTF">2009-06-25T21:42:00Z</dcterms:created>
  <dcterms:modified xsi:type="dcterms:W3CDTF">2009-06-25T21:42:00Z</dcterms:modified>
</cp:coreProperties>
</file>