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27CA" w:rsidRDefault="00D727CA" w:rsidP="001E374C">
      <w:pPr>
        <w:tabs>
          <w:tab w:val="left" w:pos="2340"/>
          <w:tab w:val="left" w:pos="2880"/>
          <w:tab w:val="left" w:pos="6840"/>
          <w:tab w:val="left" w:pos="7920"/>
        </w:tabs>
        <w:ind w:left="2340" w:right="1800" w:hanging="900"/>
        <w:jc w:val="both"/>
        <w:rPr>
          <w:rFonts w:ascii="Tahoma" w:hAnsi="Tahoma" w:cs="Tahoma"/>
          <w:b/>
          <w:i/>
        </w:rPr>
      </w:pPr>
      <w:r>
        <w:rPr>
          <w:rFonts w:ascii="Tahoma" w:hAnsi="Tahoma" w:cs="Tahoma"/>
          <w:b/>
          <w:i/>
        </w:rPr>
        <w:t xml:space="preserve">                    RESOLUCIÓN N</w:t>
      </w:r>
      <w:proofErr w:type="gramStart"/>
      <w:r>
        <w:rPr>
          <w:rFonts w:ascii="Tahoma" w:hAnsi="Tahoma" w:cs="Tahoma"/>
          <w:b/>
          <w:i/>
        </w:rPr>
        <w:t>.º</w:t>
      </w:r>
      <w:proofErr w:type="gramEnd"/>
      <w:r>
        <w:rPr>
          <w:rFonts w:ascii="Tahoma" w:hAnsi="Tahoma" w:cs="Tahoma"/>
          <w:b/>
          <w:i/>
        </w:rPr>
        <w:t xml:space="preserve"> 1781-2007/TC-S3</w:t>
      </w:r>
    </w:p>
    <w:p w:rsidR="00D727CA" w:rsidRDefault="00D727CA" w:rsidP="001E374C">
      <w:pPr>
        <w:tabs>
          <w:tab w:val="left" w:pos="2340"/>
          <w:tab w:val="left" w:pos="2880"/>
          <w:tab w:val="left" w:pos="6840"/>
          <w:tab w:val="left" w:pos="7920"/>
        </w:tabs>
        <w:ind w:left="2340" w:right="1800" w:hanging="900"/>
        <w:jc w:val="both"/>
        <w:rPr>
          <w:rFonts w:ascii="Tahoma" w:hAnsi="Tahoma" w:cs="Tahoma"/>
          <w:b/>
          <w:i/>
        </w:rPr>
      </w:pPr>
    </w:p>
    <w:p w:rsidR="001E374C" w:rsidRDefault="001E374C" w:rsidP="001E374C">
      <w:pPr>
        <w:tabs>
          <w:tab w:val="left" w:pos="2340"/>
          <w:tab w:val="left" w:pos="2880"/>
          <w:tab w:val="left" w:pos="6840"/>
          <w:tab w:val="left" w:pos="7920"/>
        </w:tabs>
        <w:ind w:left="2340" w:right="1800" w:hanging="900"/>
        <w:jc w:val="both"/>
        <w:rPr>
          <w:rFonts w:ascii="Tahoma" w:hAnsi="Tahoma" w:cs="Tahoma"/>
          <w:i/>
        </w:rPr>
      </w:pPr>
      <w:r w:rsidRPr="00E42B74">
        <w:rPr>
          <w:rFonts w:ascii="Tahoma" w:hAnsi="Tahoma" w:cs="Tahoma"/>
          <w:b/>
          <w:i/>
        </w:rPr>
        <w:t>Sumilla:</w:t>
      </w:r>
      <w:r>
        <w:rPr>
          <w:rFonts w:ascii="Tahoma" w:hAnsi="Tahoma" w:cs="Tahoma"/>
          <w:b/>
          <w:i/>
        </w:rPr>
        <w:t xml:space="preserve"> </w:t>
      </w:r>
      <w:r w:rsidRPr="00E42B74">
        <w:rPr>
          <w:rFonts w:ascii="Tahoma" w:hAnsi="Tahoma" w:cs="Tahoma"/>
          <w:b/>
          <w:i/>
        </w:rPr>
        <w:t xml:space="preserve"> </w:t>
      </w:r>
      <w:r w:rsidRPr="00990413">
        <w:rPr>
          <w:rFonts w:ascii="Tahoma" w:hAnsi="Tahoma" w:cs="Tahoma"/>
          <w:i/>
        </w:rPr>
        <w:t xml:space="preserve">El procedimiento de resolución contractual ha sido previsto en el artículo 144 del Reglamento, el cual dispone que en </w:t>
      </w:r>
      <w:r w:rsidRPr="00990413">
        <w:rPr>
          <w:rFonts w:ascii="Tahoma" w:hAnsi="Tahoma" w:cs="Tahoma"/>
          <w:i/>
          <w:lang w:val="es-ES_tradnl"/>
        </w:rPr>
        <w:t>caso de incumplimiento contractual, la parte afectada requerirá a la otra notarialmente para que satisfaga sus obligaciones en un plazo no menor a dos (2),  ni mayor a quince (15) días, dependiendo del monto involucrado y de la complejidad, envergadura o sofisticación de la adquisición o contratación y, en el caso de obra, para que las satisfaga dentro de un plazo de quince días, bajo apercibimiento de que el contrato quede resuelto de pleno derecho</w:t>
      </w:r>
      <w:r w:rsidRPr="00990413">
        <w:rPr>
          <w:rFonts w:ascii="Tahoma" w:hAnsi="Tahoma" w:cs="Tahoma"/>
          <w:i/>
        </w:rPr>
        <w:t>.</w:t>
      </w:r>
    </w:p>
    <w:p w:rsidR="001E374C" w:rsidRPr="00990413" w:rsidRDefault="001E374C" w:rsidP="001E374C">
      <w:pPr>
        <w:tabs>
          <w:tab w:val="left" w:pos="2700"/>
          <w:tab w:val="left" w:pos="2880"/>
          <w:tab w:val="left" w:pos="6840"/>
        </w:tabs>
        <w:ind w:left="2700" w:right="2060" w:hanging="1080"/>
        <w:jc w:val="both"/>
        <w:rPr>
          <w:rFonts w:ascii="Tahoma" w:hAnsi="Tahoma" w:cs="Tahoma"/>
          <w:i/>
        </w:rPr>
      </w:pPr>
    </w:p>
    <w:p w:rsidR="001E374C" w:rsidRPr="00E42B74" w:rsidRDefault="001E374C" w:rsidP="001E374C">
      <w:pPr>
        <w:ind w:left="3060" w:right="2160" w:hanging="1260"/>
        <w:jc w:val="both"/>
        <w:rPr>
          <w:rFonts w:ascii="Tahoma" w:hAnsi="Tahoma" w:cs="Tahoma"/>
          <w:i/>
        </w:rPr>
      </w:pPr>
    </w:p>
    <w:p w:rsidR="001E374C" w:rsidRDefault="001E374C" w:rsidP="001E374C">
      <w:pPr>
        <w:pStyle w:val="Textoindependiente3"/>
        <w:ind w:left="4956" w:firstLine="84"/>
        <w:rPr>
          <w:rFonts w:ascii="Tahoma" w:hAnsi="Tahoma" w:cs="Tahoma"/>
          <w:b/>
          <w:sz w:val="20"/>
          <w:szCs w:val="20"/>
        </w:rPr>
      </w:pPr>
      <w:r w:rsidRPr="00E42B74">
        <w:rPr>
          <w:rFonts w:ascii="Tahoma" w:hAnsi="Tahoma" w:cs="Tahoma"/>
          <w:b/>
          <w:sz w:val="20"/>
          <w:szCs w:val="20"/>
        </w:rPr>
        <w:t xml:space="preserve">Lima,  </w:t>
      </w:r>
      <w:r w:rsidR="00D727CA">
        <w:rPr>
          <w:rFonts w:ascii="Tahoma" w:hAnsi="Tahoma" w:cs="Tahoma"/>
          <w:b/>
          <w:sz w:val="20"/>
          <w:szCs w:val="20"/>
        </w:rPr>
        <w:t>31 DE OCTUBRE DE 2007</w:t>
      </w:r>
    </w:p>
    <w:p w:rsidR="001E374C" w:rsidRPr="00E42B74" w:rsidRDefault="001E374C" w:rsidP="001E374C">
      <w:pPr>
        <w:pStyle w:val="Textoindependiente3"/>
        <w:ind w:left="4956" w:firstLine="84"/>
        <w:rPr>
          <w:rFonts w:ascii="Tahoma" w:hAnsi="Tahoma" w:cs="Tahoma"/>
          <w:b/>
          <w:sz w:val="20"/>
          <w:szCs w:val="20"/>
        </w:rPr>
      </w:pPr>
    </w:p>
    <w:p w:rsidR="001E374C" w:rsidRPr="00E42B74" w:rsidRDefault="001E374C" w:rsidP="001E374C">
      <w:pPr>
        <w:jc w:val="both"/>
        <w:rPr>
          <w:rFonts w:ascii="Tahoma" w:hAnsi="Tahoma" w:cs="Tahoma"/>
        </w:rPr>
      </w:pPr>
      <w:r w:rsidRPr="00E42B74">
        <w:rPr>
          <w:rFonts w:ascii="Tahoma" w:hAnsi="Tahoma" w:cs="Tahoma"/>
          <w:b/>
        </w:rPr>
        <w:t>Visto</w:t>
      </w:r>
      <w:r w:rsidRPr="00E42B74">
        <w:rPr>
          <w:rFonts w:ascii="Tahoma" w:hAnsi="Tahoma" w:cs="Tahoma"/>
        </w:rPr>
        <w:t xml:space="preserve"> en sesión de fecha </w:t>
      </w:r>
      <w:r>
        <w:rPr>
          <w:rFonts w:ascii="Tahoma" w:hAnsi="Tahoma" w:cs="Tahoma"/>
        </w:rPr>
        <w:t>19</w:t>
      </w:r>
      <w:r w:rsidRPr="00E42B74">
        <w:rPr>
          <w:rFonts w:ascii="Tahoma" w:hAnsi="Tahoma" w:cs="Tahoma"/>
        </w:rPr>
        <w:t xml:space="preserve"> de </w:t>
      </w:r>
      <w:r>
        <w:rPr>
          <w:rFonts w:ascii="Tahoma" w:hAnsi="Tahoma" w:cs="Tahoma"/>
        </w:rPr>
        <w:t xml:space="preserve">octubre </w:t>
      </w:r>
      <w:r w:rsidRPr="00E42B74">
        <w:rPr>
          <w:rFonts w:ascii="Tahoma" w:hAnsi="Tahoma" w:cs="Tahoma"/>
        </w:rPr>
        <w:t xml:space="preserve">de 2007 de la Tercera Sala del Tribunal de Contrataciones y Adquisiciones del Estado el Expediente N.° </w:t>
      </w:r>
      <w:r>
        <w:rPr>
          <w:rFonts w:ascii="Tahoma" w:hAnsi="Tahoma" w:cs="Tahoma"/>
        </w:rPr>
        <w:t>1480</w:t>
      </w:r>
      <w:r w:rsidRPr="00E42B74">
        <w:rPr>
          <w:rFonts w:ascii="Tahoma" w:hAnsi="Tahoma" w:cs="Tahoma"/>
        </w:rPr>
        <w:t xml:space="preserve">.2006.TC, sobre el procedimiento de aplicación de sanción a la empresa </w:t>
      </w:r>
      <w:proofErr w:type="spellStart"/>
      <w:r w:rsidRPr="00D45248">
        <w:rPr>
          <w:rFonts w:ascii="Tahoma" w:hAnsi="Tahoma" w:cs="Tahoma"/>
          <w:b/>
        </w:rPr>
        <w:t>Ernst</w:t>
      </w:r>
      <w:proofErr w:type="spellEnd"/>
      <w:r w:rsidRPr="00D45248">
        <w:rPr>
          <w:rFonts w:ascii="Tahoma" w:hAnsi="Tahoma" w:cs="Tahoma"/>
          <w:b/>
        </w:rPr>
        <w:t xml:space="preserve"> &amp; Young Asesores S. Civil de R. </w:t>
      </w:r>
      <w:r w:rsidR="00D727CA">
        <w:rPr>
          <w:rFonts w:ascii="Tahoma" w:hAnsi="Tahoma" w:cs="Tahoma"/>
          <w:b/>
        </w:rPr>
        <w:t>T</w:t>
      </w:r>
      <w:r w:rsidRPr="00D45248">
        <w:rPr>
          <w:rFonts w:ascii="Tahoma" w:hAnsi="Tahoma" w:cs="Tahoma"/>
          <w:b/>
        </w:rPr>
        <w:t>L.</w:t>
      </w:r>
      <w:r w:rsidRPr="00E42B74">
        <w:rPr>
          <w:rFonts w:ascii="Tahoma" w:hAnsi="Tahoma" w:cs="Tahoma"/>
        </w:rPr>
        <w:t xml:space="preserve">, por </w:t>
      </w:r>
      <w:r>
        <w:rPr>
          <w:rFonts w:ascii="Tahoma" w:hAnsi="Tahoma" w:cs="Tahoma"/>
        </w:rPr>
        <w:t>supuesta</w:t>
      </w:r>
      <w:r w:rsidRPr="00E42B74">
        <w:rPr>
          <w:rFonts w:ascii="Tahoma" w:hAnsi="Tahoma" w:cs="Tahoma"/>
        </w:rPr>
        <w:t xml:space="preserve"> responsabilidad en el incumplimiento injustificado de las </w:t>
      </w:r>
      <w:r>
        <w:rPr>
          <w:rFonts w:ascii="Tahoma" w:hAnsi="Tahoma" w:cs="Tahoma"/>
        </w:rPr>
        <w:t xml:space="preserve">obligaciones derivadas del </w:t>
      </w:r>
      <w:r w:rsidRPr="00EE44BB">
        <w:rPr>
          <w:rFonts w:ascii="Tahoma" w:hAnsi="Tahoma" w:cs="Tahoma"/>
        </w:rPr>
        <w:t>contrato N.º 02-S28-029-04-001-046/05</w:t>
      </w:r>
      <w:r w:rsidRPr="00E42B74">
        <w:rPr>
          <w:rFonts w:ascii="Tahoma" w:hAnsi="Tahoma" w:cs="Tahoma"/>
        </w:rPr>
        <w:t>,</w:t>
      </w:r>
      <w:r>
        <w:rPr>
          <w:rFonts w:ascii="Tahoma" w:hAnsi="Tahoma" w:cs="Tahoma"/>
        </w:rPr>
        <w:t xml:space="preserve"> </w:t>
      </w:r>
      <w:r w:rsidRPr="00E42B74">
        <w:rPr>
          <w:rFonts w:ascii="Tahoma" w:hAnsi="Tahoma" w:cs="Tahoma"/>
        </w:rPr>
        <w:t>dando lugar a que ést</w:t>
      </w:r>
      <w:r>
        <w:rPr>
          <w:rFonts w:ascii="Tahoma" w:hAnsi="Tahoma" w:cs="Tahoma"/>
        </w:rPr>
        <w:t>e</w:t>
      </w:r>
      <w:r w:rsidRPr="00E42B74">
        <w:rPr>
          <w:rFonts w:ascii="Tahoma" w:hAnsi="Tahoma" w:cs="Tahoma"/>
        </w:rPr>
        <w:t xml:space="preserve"> se resuelva, correspondiente a</w:t>
      </w:r>
      <w:r>
        <w:rPr>
          <w:rFonts w:ascii="Tahoma" w:hAnsi="Tahoma" w:cs="Tahoma"/>
        </w:rPr>
        <w:t>l</w:t>
      </w:r>
      <w:r w:rsidRPr="00E42B74">
        <w:rPr>
          <w:rFonts w:ascii="Tahoma" w:hAnsi="Tahoma" w:cs="Tahoma"/>
        </w:rPr>
        <w:t xml:space="preserve"> </w:t>
      </w:r>
      <w:r w:rsidRPr="00EE44BB">
        <w:rPr>
          <w:rFonts w:ascii="Tahoma" w:hAnsi="Tahoma" w:cs="Tahoma"/>
        </w:rPr>
        <w:t>Concurso Público Nacional N.º 0029-2004-ONP Segunda Convocatoria</w:t>
      </w:r>
      <w:r w:rsidRPr="00E42B74">
        <w:rPr>
          <w:rFonts w:ascii="Tahoma" w:hAnsi="Tahoma" w:cs="Tahoma"/>
          <w:lang w:val="es-PE"/>
        </w:rPr>
        <w:t xml:space="preserve">, </w:t>
      </w:r>
      <w:r>
        <w:rPr>
          <w:rFonts w:ascii="Tahoma" w:hAnsi="Tahoma" w:cs="Tahoma"/>
          <w:lang w:val="es-PE"/>
        </w:rPr>
        <w:t>efectuado</w:t>
      </w:r>
      <w:r w:rsidRPr="00E42B74">
        <w:rPr>
          <w:rFonts w:ascii="Tahoma" w:hAnsi="Tahoma" w:cs="Tahoma"/>
          <w:lang w:val="es-PE"/>
        </w:rPr>
        <w:t xml:space="preserve"> por </w:t>
      </w:r>
      <w:r>
        <w:rPr>
          <w:rFonts w:ascii="Tahoma" w:hAnsi="Tahoma" w:cs="Tahoma"/>
          <w:lang w:val="es-PE"/>
        </w:rPr>
        <w:t xml:space="preserve">la </w:t>
      </w:r>
      <w:r w:rsidRPr="00EE44BB">
        <w:rPr>
          <w:rFonts w:ascii="Tahoma" w:hAnsi="Tahoma" w:cs="Tahoma"/>
        </w:rPr>
        <w:t>OFICINA DE NORMALIZACIÓN PREVISIONAL</w:t>
      </w:r>
      <w:r w:rsidRPr="00E42B74">
        <w:rPr>
          <w:rFonts w:ascii="Tahoma" w:hAnsi="Tahoma" w:cs="Tahoma"/>
          <w:lang w:val="es-PE"/>
        </w:rPr>
        <w:t xml:space="preserve">, </w:t>
      </w:r>
      <w:r w:rsidRPr="00EE44BB">
        <w:rPr>
          <w:rFonts w:ascii="Tahoma" w:hAnsi="Tahoma" w:cs="Tahoma"/>
        </w:rPr>
        <w:t>para el Servicio de Metodología y Estándares para la Gestión de Proyectos</w:t>
      </w:r>
      <w:r w:rsidRPr="00E42B74">
        <w:rPr>
          <w:rFonts w:ascii="Tahoma" w:hAnsi="Tahoma" w:cs="Tahoma"/>
        </w:rPr>
        <w:t>;</w:t>
      </w:r>
      <w:r w:rsidRPr="00E42B74">
        <w:rPr>
          <w:rFonts w:ascii="Tahoma" w:hAnsi="Tahoma" w:cs="Tahoma"/>
          <w:color w:val="000000"/>
        </w:rPr>
        <w:t xml:space="preserve"> </w:t>
      </w:r>
      <w:r>
        <w:rPr>
          <w:rFonts w:ascii="Tahoma" w:hAnsi="Tahoma" w:cs="Tahoma"/>
          <w:color w:val="000000"/>
        </w:rPr>
        <w:t xml:space="preserve">oídos los informes orales en la Audiencia </w:t>
      </w:r>
      <w:proofErr w:type="spellStart"/>
      <w:r>
        <w:rPr>
          <w:rFonts w:ascii="Tahoma" w:hAnsi="Tahoma" w:cs="Tahoma"/>
          <w:color w:val="000000"/>
        </w:rPr>
        <w:t>Publica</w:t>
      </w:r>
      <w:proofErr w:type="spellEnd"/>
      <w:r w:rsidR="00D727CA">
        <w:rPr>
          <w:rFonts w:ascii="Tahoma" w:hAnsi="Tahoma" w:cs="Tahoma"/>
          <w:color w:val="000000"/>
        </w:rPr>
        <w:t xml:space="preserve"> </w:t>
      </w:r>
      <w:r>
        <w:rPr>
          <w:rFonts w:ascii="Tahoma" w:hAnsi="Tahoma" w:cs="Tahoma"/>
          <w:color w:val="000000"/>
        </w:rPr>
        <w:t>d</w:t>
      </w:r>
      <w:r w:rsidR="00D727CA">
        <w:rPr>
          <w:rFonts w:ascii="Tahoma" w:hAnsi="Tahoma" w:cs="Tahoma"/>
          <w:color w:val="000000"/>
        </w:rPr>
        <w:t>e</w:t>
      </w:r>
      <w:r>
        <w:rPr>
          <w:rFonts w:ascii="Tahoma" w:hAnsi="Tahoma" w:cs="Tahoma"/>
          <w:color w:val="000000"/>
        </w:rPr>
        <w:t xml:space="preserve">  fecha 01 de octubre de 2007; </w:t>
      </w:r>
      <w:r w:rsidRPr="00E42B74">
        <w:rPr>
          <w:rFonts w:ascii="Tahoma" w:hAnsi="Tahoma" w:cs="Tahoma"/>
          <w:color w:val="000000"/>
        </w:rPr>
        <w:t xml:space="preserve">y atendiendo a los siguientes:    </w:t>
      </w:r>
    </w:p>
    <w:p w:rsidR="001E374C" w:rsidRDefault="001E374C" w:rsidP="001E374C">
      <w:pPr>
        <w:pStyle w:val="Textoindependiente"/>
        <w:widowControl/>
        <w:tabs>
          <w:tab w:val="left" w:pos="540"/>
        </w:tabs>
        <w:suppressAutoHyphens w:val="0"/>
        <w:rPr>
          <w:rFonts w:cs="Tahoma"/>
          <w:sz w:val="20"/>
        </w:rPr>
      </w:pPr>
      <w:r w:rsidRPr="00E42B74">
        <w:rPr>
          <w:rFonts w:cs="Tahoma"/>
          <w:sz w:val="20"/>
        </w:rPr>
        <w:t xml:space="preserve"> </w:t>
      </w:r>
    </w:p>
    <w:p w:rsidR="001E374C" w:rsidRPr="00E42B74" w:rsidRDefault="001E374C" w:rsidP="001E374C">
      <w:pPr>
        <w:pStyle w:val="Textoindependiente"/>
        <w:widowControl/>
        <w:tabs>
          <w:tab w:val="left" w:pos="540"/>
        </w:tabs>
        <w:suppressAutoHyphens w:val="0"/>
        <w:rPr>
          <w:rFonts w:cs="Tahoma"/>
          <w:sz w:val="20"/>
        </w:rPr>
      </w:pPr>
    </w:p>
    <w:p w:rsidR="001E374C" w:rsidRPr="00E42B74" w:rsidRDefault="001E374C" w:rsidP="001E374C">
      <w:pPr>
        <w:jc w:val="both"/>
        <w:rPr>
          <w:rFonts w:ascii="Tahoma" w:hAnsi="Tahoma" w:cs="Tahoma"/>
          <w:b/>
          <w:shadow/>
        </w:rPr>
      </w:pPr>
      <w:r w:rsidRPr="00E42B74">
        <w:rPr>
          <w:rFonts w:ascii="Tahoma" w:hAnsi="Tahoma" w:cs="Tahoma"/>
          <w:b/>
          <w:shadow/>
        </w:rPr>
        <w:t>ANTECEDENTES:</w:t>
      </w:r>
    </w:p>
    <w:p w:rsidR="001E374C" w:rsidRDefault="001E374C" w:rsidP="001E374C">
      <w:pPr>
        <w:ind w:left="360"/>
        <w:jc w:val="both"/>
        <w:rPr>
          <w:rFonts w:ascii="Tahoma" w:hAnsi="Tahoma" w:cs="Tahoma"/>
        </w:rPr>
      </w:pPr>
    </w:p>
    <w:p w:rsidR="001E374C" w:rsidRPr="00EE44BB" w:rsidRDefault="001E374C" w:rsidP="001E374C">
      <w:pPr>
        <w:ind w:left="360"/>
        <w:jc w:val="both"/>
        <w:rPr>
          <w:rFonts w:ascii="Tahoma" w:hAnsi="Tahoma" w:cs="Tahoma"/>
        </w:rPr>
      </w:pPr>
    </w:p>
    <w:p w:rsidR="001E374C" w:rsidRPr="00EE44BB" w:rsidRDefault="001E374C" w:rsidP="001E374C">
      <w:pPr>
        <w:numPr>
          <w:ilvl w:val="0"/>
          <w:numId w:val="1"/>
        </w:numPr>
        <w:tabs>
          <w:tab w:val="clear" w:pos="720"/>
          <w:tab w:val="num" w:pos="502"/>
        </w:tabs>
        <w:ind w:left="502" w:hanging="682"/>
        <w:jc w:val="both"/>
        <w:rPr>
          <w:rFonts w:ascii="Tahoma" w:hAnsi="Tahoma" w:cs="Tahoma"/>
        </w:rPr>
      </w:pPr>
      <w:r w:rsidRPr="00EE44BB">
        <w:rPr>
          <w:rFonts w:ascii="Tahoma" w:hAnsi="Tahoma" w:cs="Tahoma"/>
        </w:rPr>
        <w:t xml:space="preserve">El 28 de diciembre de 2004, la </w:t>
      </w:r>
      <w:r w:rsidRPr="00990413">
        <w:rPr>
          <w:rFonts w:ascii="Tahoma" w:hAnsi="Tahoma" w:cs="Tahoma"/>
          <w:b/>
        </w:rPr>
        <w:t>OFICINA DE NORMALIZACIÓN PREVISIONAL</w:t>
      </w:r>
      <w:r w:rsidRPr="00EE44BB">
        <w:rPr>
          <w:rFonts w:ascii="Tahoma" w:hAnsi="Tahoma" w:cs="Tahoma"/>
        </w:rPr>
        <w:t>, en adelante la Entidad, convocó al Concurso Público Nacional N</w:t>
      </w:r>
      <w:proofErr w:type="gramStart"/>
      <w:r w:rsidRPr="00EE44BB">
        <w:rPr>
          <w:rFonts w:ascii="Tahoma" w:hAnsi="Tahoma" w:cs="Tahoma"/>
        </w:rPr>
        <w:t>.º</w:t>
      </w:r>
      <w:proofErr w:type="gramEnd"/>
      <w:r w:rsidRPr="00EE44BB">
        <w:rPr>
          <w:rFonts w:ascii="Tahoma" w:hAnsi="Tahoma" w:cs="Tahoma"/>
        </w:rPr>
        <w:t xml:space="preserve"> 0029-2004-ONP Segunda Convocatoria, para el Servicio de Metodología y Estándares para la Gestión de Proyectos, con un valor referencial ascendente a S/. 845, 000.00 (Ochocientos Cuarenta y cinco mil con 00/100 nuevos soles).</w:t>
      </w:r>
    </w:p>
    <w:p w:rsidR="001E374C" w:rsidRPr="00EE44BB" w:rsidRDefault="001E374C" w:rsidP="001E374C">
      <w:pPr>
        <w:ind w:left="360"/>
        <w:jc w:val="both"/>
        <w:rPr>
          <w:rFonts w:ascii="Tahoma" w:hAnsi="Tahoma" w:cs="Tahoma"/>
        </w:rPr>
      </w:pPr>
    </w:p>
    <w:p w:rsidR="001E374C" w:rsidRPr="00EE44BB" w:rsidRDefault="001E374C" w:rsidP="001E374C">
      <w:pPr>
        <w:numPr>
          <w:ilvl w:val="0"/>
          <w:numId w:val="1"/>
        </w:numPr>
        <w:tabs>
          <w:tab w:val="clear" w:pos="720"/>
          <w:tab w:val="num" w:pos="502"/>
        </w:tabs>
        <w:ind w:left="502" w:hanging="682"/>
        <w:jc w:val="both"/>
        <w:rPr>
          <w:rFonts w:ascii="Tahoma" w:hAnsi="Tahoma" w:cs="Tahoma"/>
        </w:rPr>
      </w:pPr>
      <w:r w:rsidRPr="00EE44BB">
        <w:rPr>
          <w:rFonts w:ascii="Tahoma" w:hAnsi="Tahoma" w:cs="Tahoma"/>
        </w:rPr>
        <w:t xml:space="preserve">El 15 de febrero de 2005, el Comité Especial otorgó la buena pro del proceso de selección a la empresa </w:t>
      </w:r>
      <w:proofErr w:type="spellStart"/>
      <w:r w:rsidRPr="00D45248">
        <w:rPr>
          <w:rFonts w:ascii="Tahoma" w:hAnsi="Tahoma" w:cs="Tahoma"/>
          <w:b/>
        </w:rPr>
        <w:t>Ernst</w:t>
      </w:r>
      <w:proofErr w:type="spellEnd"/>
      <w:r w:rsidRPr="00D45248">
        <w:rPr>
          <w:rFonts w:ascii="Tahoma" w:hAnsi="Tahoma" w:cs="Tahoma"/>
          <w:b/>
        </w:rPr>
        <w:t xml:space="preserve"> &amp; Young Asesores S. Civil de R. L.</w:t>
      </w:r>
      <w:r w:rsidRPr="00EE44BB">
        <w:rPr>
          <w:rFonts w:ascii="Tahoma" w:hAnsi="Tahoma" w:cs="Tahoma"/>
        </w:rPr>
        <w:t>, en adelante la Contratista. En virtud a ello, suscribió el contrato N</w:t>
      </w:r>
      <w:proofErr w:type="gramStart"/>
      <w:r w:rsidRPr="00EE44BB">
        <w:rPr>
          <w:rFonts w:ascii="Tahoma" w:hAnsi="Tahoma" w:cs="Tahoma"/>
        </w:rPr>
        <w:t>.º</w:t>
      </w:r>
      <w:proofErr w:type="gramEnd"/>
      <w:r w:rsidRPr="00EE44BB">
        <w:rPr>
          <w:rFonts w:ascii="Tahoma" w:hAnsi="Tahoma" w:cs="Tahoma"/>
        </w:rPr>
        <w:t xml:space="preserve"> 02-S28-029-04-001-046/05 por un monto total ascendente a S/. 667,585.70 Nuevos Soles, con una vigencia de ocho meses contados a partir del 09 de mayo de 2005 hasta el 08 de enero de 2006.</w:t>
      </w:r>
    </w:p>
    <w:p w:rsidR="001E374C" w:rsidRPr="00EE44BB" w:rsidRDefault="001E374C" w:rsidP="001E374C">
      <w:pPr>
        <w:jc w:val="both"/>
        <w:rPr>
          <w:rFonts w:ascii="Tahoma" w:hAnsi="Tahoma" w:cs="Tahoma"/>
        </w:rPr>
      </w:pPr>
    </w:p>
    <w:p w:rsidR="001E374C" w:rsidRPr="00EE44BB" w:rsidRDefault="001E374C" w:rsidP="001E374C">
      <w:pPr>
        <w:numPr>
          <w:ilvl w:val="0"/>
          <w:numId w:val="1"/>
        </w:numPr>
        <w:tabs>
          <w:tab w:val="clear" w:pos="720"/>
          <w:tab w:val="num" w:pos="502"/>
        </w:tabs>
        <w:ind w:left="502" w:hanging="682"/>
        <w:jc w:val="both"/>
        <w:rPr>
          <w:rFonts w:ascii="Tahoma" w:hAnsi="Tahoma" w:cs="Tahoma"/>
        </w:rPr>
      </w:pPr>
      <w:r w:rsidRPr="00EE44BB">
        <w:rPr>
          <w:rFonts w:ascii="Tahoma" w:hAnsi="Tahoma" w:cs="Tahoma"/>
        </w:rPr>
        <w:t xml:space="preserve">Con Carta de fecha 13 de julio de 2005, la empresa contratista comunicó a la Entidad que no podía continuar con la ejecución del servicios señalado, pues los estándares del Project Management </w:t>
      </w:r>
      <w:proofErr w:type="spellStart"/>
      <w:r w:rsidRPr="00EE44BB">
        <w:rPr>
          <w:rFonts w:ascii="Tahoma" w:hAnsi="Tahoma" w:cs="Tahoma"/>
        </w:rPr>
        <w:t>Institute</w:t>
      </w:r>
      <w:proofErr w:type="spellEnd"/>
      <w:r w:rsidRPr="00EE44BB">
        <w:rPr>
          <w:rFonts w:ascii="Tahoma" w:hAnsi="Tahoma" w:cs="Tahoma"/>
        </w:rPr>
        <w:t xml:space="preserve"> (PMI) y del Organizacional Project Management </w:t>
      </w:r>
      <w:proofErr w:type="spellStart"/>
      <w:r w:rsidRPr="00EE44BB">
        <w:rPr>
          <w:rFonts w:ascii="Tahoma" w:hAnsi="Tahoma" w:cs="Tahoma"/>
        </w:rPr>
        <w:t>Maturity</w:t>
      </w:r>
      <w:proofErr w:type="spellEnd"/>
      <w:r w:rsidRPr="00EE44BB">
        <w:rPr>
          <w:rFonts w:ascii="Tahoma" w:hAnsi="Tahoma" w:cs="Tahoma"/>
        </w:rPr>
        <w:t xml:space="preserve"> </w:t>
      </w:r>
      <w:proofErr w:type="spellStart"/>
      <w:r w:rsidRPr="00EE44BB">
        <w:rPr>
          <w:rFonts w:ascii="Tahoma" w:hAnsi="Tahoma" w:cs="Tahoma"/>
        </w:rPr>
        <w:t>Model</w:t>
      </w:r>
      <w:proofErr w:type="spellEnd"/>
      <w:r w:rsidRPr="00EE44BB">
        <w:rPr>
          <w:rFonts w:ascii="Tahoma" w:hAnsi="Tahoma" w:cs="Tahoma"/>
        </w:rPr>
        <w:t xml:space="preserve"> (OPM3) constituyen una metodología para la gestión de proyectos y la Entidad requería una metodología para la gestión de servicios.</w:t>
      </w:r>
    </w:p>
    <w:p w:rsidR="001E374C" w:rsidRPr="00EE44BB" w:rsidRDefault="001E374C" w:rsidP="001E374C">
      <w:pPr>
        <w:jc w:val="both"/>
        <w:rPr>
          <w:rFonts w:ascii="Tahoma" w:hAnsi="Tahoma" w:cs="Tahoma"/>
        </w:rPr>
      </w:pPr>
    </w:p>
    <w:p w:rsidR="001E374C" w:rsidRPr="00EE44BB" w:rsidRDefault="001E374C" w:rsidP="001E374C">
      <w:pPr>
        <w:numPr>
          <w:ilvl w:val="0"/>
          <w:numId w:val="1"/>
        </w:numPr>
        <w:tabs>
          <w:tab w:val="clear" w:pos="720"/>
          <w:tab w:val="num" w:pos="502"/>
        </w:tabs>
        <w:ind w:left="502" w:hanging="682"/>
        <w:jc w:val="both"/>
        <w:rPr>
          <w:rFonts w:ascii="Tahoma" w:hAnsi="Tahoma" w:cs="Tahoma"/>
        </w:rPr>
      </w:pPr>
      <w:r w:rsidRPr="00EE44BB">
        <w:rPr>
          <w:rFonts w:ascii="Tahoma" w:hAnsi="Tahoma" w:cs="Tahoma"/>
        </w:rPr>
        <w:t xml:space="preserve">Con Carta Notarial N.º 095-2005-GD/ONP de fecha 19 de julio de 2005, la Entidad señaló a la empresa contratista que todos los documentos relacionados al proceso de selección referido, </w:t>
      </w:r>
      <w:r w:rsidRPr="00EE44BB">
        <w:rPr>
          <w:rFonts w:ascii="Tahoma" w:hAnsi="Tahoma" w:cs="Tahoma"/>
        </w:rPr>
        <w:lastRenderedPageBreak/>
        <w:t>satisfacen los conceptos del PMI  a efectos de ejecutar el servicio para el diseño de una metodología y estándares de gestión de proyectos  y  control de proveedores, razón por la cual, se le requirió retomar las actividades del servicio en un plazo de quince  (15) días, bajo apercibimiento de resolver el contrato.</w:t>
      </w:r>
    </w:p>
    <w:p w:rsidR="001E374C" w:rsidRPr="00EE44BB" w:rsidRDefault="001E374C" w:rsidP="001E374C">
      <w:pPr>
        <w:jc w:val="both"/>
        <w:rPr>
          <w:rFonts w:ascii="Tahoma" w:hAnsi="Tahoma" w:cs="Tahoma"/>
        </w:rPr>
      </w:pPr>
    </w:p>
    <w:p w:rsidR="001E374C" w:rsidRPr="00EE44BB" w:rsidRDefault="001E374C" w:rsidP="001E374C">
      <w:pPr>
        <w:numPr>
          <w:ilvl w:val="0"/>
          <w:numId w:val="1"/>
        </w:numPr>
        <w:tabs>
          <w:tab w:val="clear" w:pos="720"/>
          <w:tab w:val="num" w:pos="502"/>
        </w:tabs>
        <w:ind w:left="502" w:hanging="682"/>
        <w:jc w:val="both"/>
        <w:rPr>
          <w:rFonts w:ascii="Tahoma" w:hAnsi="Tahoma" w:cs="Tahoma"/>
        </w:rPr>
      </w:pPr>
      <w:r w:rsidRPr="00EE44BB">
        <w:rPr>
          <w:rFonts w:ascii="Tahoma" w:hAnsi="Tahoma" w:cs="Tahoma"/>
        </w:rPr>
        <w:t>Mediante Carta Notarial de fecha 26 de julio de 2005, la empresa contratista  se ratificó en sus argumentos anteriormente descritos, y por escrito N</w:t>
      </w:r>
      <w:proofErr w:type="gramStart"/>
      <w:r w:rsidRPr="00EE44BB">
        <w:rPr>
          <w:rFonts w:ascii="Tahoma" w:hAnsi="Tahoma" w:cs="Tahoma"/>
        </w:rPr>
        <w:t>.º</w:t>
      </w:r>
      <w:proofErr w:type="gramEnd"/>
      <w:r w:rsidRPr="00EE44BB">
        <w:rPr>
          <w:rFonts w:ascii="Tahoma" w:hAnsi="Tahoma" w:cs="Tahoma"/>
        </w:rPr>
        <w:t xml:space="preserve"> 01  de fecha 01 de agosto de 2005 solicitó someter la controversia a procedimiento arbitral.</w:t>
      </w:r>
    </w:p>
    <w:p w:rsidR="001E374C" w:rsidRPr="00EE44BB" w:rsidRDefault="001E374C" w:rsidP="001E374C">
      <w:pPr>
        <w:jc w:val="both"/>
        <w:rPr>
          <w:rFonts w:ascii="Tahoma" w:hAnsi="Tahoma" w:cs="Tahoma"/>
        </w:rPr>
      </w:pPr>
    </w:p>
    <w:p w:rsidR="001E374C" w:rsidRPr="00EE44BB" w:rsidRDefault="001E374C" w:rsidP="001E374C">
      <w:pPr>
        <w:numPr>
          <w:ilvl w:val="0"/>
          <w:numId w:val="1"/>
        </w:numPr>
        <w:tabs>
          <w:tab w:val="clear" w:pos="720"/>
          <w:tab w:val="num" w:pos="502"/>
        </w:tabs>
        <w:ind w:left="502" w:hanging="682"/>
        <w:jc w:val="both"/>
        <w:rPr>
          <w:rFonts w:ascii="Tahoma" w:hAnsi="Tahoma" w:cs="Tahoma"/>
        </w:rPr>
      </w:pPr>
      <w:r w:rsidRPr="00EE44BB">
        <w:rPr>
          <w:rFonts w:ascii="Tahoma" w:hAnsi="Tahoma" w:cs="Tahoma"/>
        </w:rPr>
        <w:t>El 08 de agosto de 2005, con Carta Notarial N</w:t>
      </w:r>
      <w:proofErr w:type="gramStart"/>
      <w:r w:rsidRPr="00EE44BB">
        <w:rPr>
          <w:rFonts w:ascii="Tahoma" w:hAnsi="Tahoma" w:cs="Tahoma"/>
        </w:rPr>
        <w:t>.º</w:t>
      </w:r>
      <w:proofErr w:type="gramEnd"/>
      <w:r w:rsidRPr="00EE44BB">
        <w:rPr>
          <w:rFonts w:ascii="Tahoma" w:hAnsi="Tahoma" w:cs="Tahoma"/>
        </w:rPr>
        <w:t xml:space="preserve"> 449-2005-GA/ONP  se notificó a la empresa contratista la Resolución de Gerencia de Administración N.º 074-2005-GA/ONP que dispuso resolver el contrato N.º 02-S28-029-04-001-046/05. </w:t>
      </w:r>
    </w:p>
    <w:p w:rsidR="001E374C" w:rsidRPr="00EE44BB" w:rsidRDefault="001E374C" w:rsidP="001E374C">
      <w:pPr>
        <w:jc w:val="both"/>
        <w:rPr>
          <w:rFonts w:ascii="Tahoma" w:hAnsi="Tahoma" w:cs="Tahoma"/>
        </w:rPr>
      </w:pPr>
    </w:p>
    <w:p w:rsidR="001E374C" w:rsidRPr="00EE44BB" w:rsidRDefault="001E374C" w:rsidP="001E374C">
      <w:pPr>
        <w:numPr>
          <w:ilvl w:val="0"/>
          <w:numId w:val="1"/>
        </w:numPr>
        <w:tabs>
          <w:tab w:val="clear" w:pos="720"/>
          <w:tab w:val="num" w:pos="502"/>
        </w:tabs>
        <w:ind w:left="502" w:hanging="682"/>
        <w:jc w:val="both"/>
        <w:rPr>
          <w:rFonts w:ascii="Tahoma" w:hAnsi="Tahoma" w:cs="Tahoma"/>
        </w:rPr>
      </w:pPr>
      <w:r w:rsidRPr="00EE44BB">
        <w:rPr>
          <w:rFonts w:ascii="Tahoma" w:hAnsi="Tahoma" w:cs="Tahoma"/>
        </w:rPr>
        <w:t>El 15 de agosto de 2005, la Entidad dio respuesta  a la solicitud de arbitraje y en virtud a ello, con fecha 25 de octubre de 2005 se instaló el Órgano Arbitral constituido con árbitro único.</w:t>
      </w:r>
    </w:p>
    <w:p w:rsidR="001E374C" w:rsidRPr="00EE44BB" w:rsidRDefault="001E374C" w:rsidP="001E374C">
      <w:pPr>
        <w:jc w:val="both"/>
        <w:rPr>
          <w:rFonts w:ascii="Tahoma" w:hAnsi="Tahoma" w:cs="Tahoma"/>
        </w:rPr>
      </w:pPr>
    </w:p>
    <w:p w:rsidR="001E374C" w:rsidRPr="00EE44BB" w:rsidRDefault="001E374C" w:rsidP="001E374C">
      <w:pPr>
        <w:numPr>
          <w:ilvl w:val="0"/>
          <w:numId w:val="1"/>
        </w:numPr>
        <w:tabs>
          <w:tab w:val="clear" w:pos="720"/>
          <w:tab w:val="num" w:pos="502"/>
        </w:tabs>
        <w:ind w:left="502" w:hanging="682"/>
        <w:jc w:val="both"/>
        <w:rPr>
          <w:rFonts w:ascii="Tahoma" w:hAnsi="Tahoma" w:cs="Tahoma"/>
        </w:rPr>
      </w:pPr>
      <w:r w:rsidRPr="00EE44BB">
        <w:rPr>
          <w:rFonts w:ascii="Tahoma" w:hAnsi="Tahoma" w:cs="Tahoma"/>
        </w:rPr>
        <w:t>El 09 de noviembre la empresa contratista, en su demanda arbitral planteó la acumulación de pretensiones, indicando como pretensión principal  la nulidad del contrato de diseño de metodología y estándares para la gestión de proyectos por imposibilidad originaria de su ejecución por causa imputable a la Entidad, y como segunda pretensión solicitó se declare la improcedencia de la resolución de contrato realizada.</w:t>
      </w:r>
    </w:p>
    <w:p w:rsidR="001E374C" w:rsidRPr="00EE44BB" w:rsidRDefault="001E374C" w:rsidP="001E374C">
      <w:pPr>
        <w:jc w:val="both"/>
        <w:rPr>
          <w:rFonts w:ascii="Tahoma" w:hAnsi="Tahoma" w:cs="Tahoma"/>
        </w:rPr>
      </w:pPr>
    </w:p>
    <w:p w:rsidR="001E374C" w:rsidRPr="00EE44BB" w:rsidRDefault="001E374C" w:rsidP="001E374C">
      <w:pPr>
        <w:numPr>
          <w:ilvl w:val="0"/>
          <w:numId w:val="1"/>
        </w:numPr>
        <w:tabs>
          <w:tab w:val="clear" w:pos="720"/>
          <w:tab w:val="num" w:pos="502"/>
        </w:tabs>
        <w:ind w:left="502" w:hanging="682"/>
        <w:jc w:val="both"/>
        <w:rPr>
          <w:rFonts w:ascii="Tahoma" w:hAnsi="Tahoma" w:cs="Tahoma"/>
        </w:rPr>
      </w:pPr>
      <w:r w:rsidRPr="00EE44BB">
        <w:rPr>
          <w:rFonts w:ascii="Tahoma" w:hAnsi="Tahoma" w:cs="Tahoma"/>
        </w:rPr>
        <w:t>El 12 de julio de 2006, se emitió el Laudo Arbitral en el cual se declaró infundadas las pretensiones de la empresa contratista, y se indicó que  existieron causas justificadas para la resolución del contrato antes mencionado.</w:t>
      </w:r>
    </w:p>
    <w:p w:rsidR="001E374C" w:rsidRPr="00EE44BB" w:rsidRDefault="001E374C" w:rsidP="001E374C">
      <w:pPr>
        <w:jc w:val="both"/>
        <w:rPr>
          <w:rFonts w:ascii="Tahoma" w:hAnsi="Tahoma" w:cs="Tahoma"/>
        </w:rPr>
      </w:pPr>
    </w:p>
    <w:p w:rsidR="001E374C" w:rsidRPr="00EE44BB" w:rsidRDefault="001E374C" w:rsidP="001E374C">
      <w:pPr>
        <w:numPr>
          <w:ilvl w:val="0"/>
          <w:numId w:val="1"/>
        </w:numPr>
        <w:tabs>
          <w:tab w:val="clear" w:pos="720"/>
          <w:tab w:val="num" w:pos="502"/>
        </w:tabs>
        <w:ind w:left="502" w:hanging="682"/>
        <w:jc w:val="both"/>
        <w:rPr>
          <w:rFonts w:ascii="Tahoma" w:hAnsi="Tahoma" w:cs="Tahoma"/>
        </w:rPr>
      </w:pPr>
      <w:r w:rsidRPr="00EE44BB">
        <w:rPr>
          <w:rFonts w:ascii="Tahoma" w:hAnsi="Tahoma" w:cs="Tahoma"/>
        </w:rPr>
        <w:t>Con escrito de fecha 20 de octubre de 2006, la Entidad puso en conocimiento de este Tribunal los hechos antes descritos, y en función a esta denuncia, al contar con la documentación necesaria, con decreto de fecha 25 de octubre de 2006 se dispuso el inicio del procedimiento administrativo sancionador contra la empresa contratista por supuesta responsabilidad en la resolución del contrato de servicios de diseño de Metodología y Estándares para la Gestión de Proyectos, suscrito el 05.04.2005, por causa atribuible a su parte, otorgándosele diez (10) días para que cumpla con presentar sus descargos, bajo apercibimiento de resolver con la documentación obrante en autos. Asimismo, se le solicitó a la Entidad cumpla con remitir copia de las Bases Administrativas.</w:t>
      </w:r>
    </w:p>
    <w:p w:rsidR="001E374C" w:rsidRPr="00EE44BB" w:rsidRDefault="001E374C" w:rsidP="001E374C">
      <w:pPr>
        <w:jc w:val="both"/>
        <w:rPr>
          <w:rFonts w:ascii="Tahoma" w:hAnsi="Tahoma" w:cs="Tahoma"/>
        </w:rPr>
      </w:pPr>
    </w:p>
    <w:p w:rsidR="001E374C" w:rsidRPr="00EE44BB" w:rsidRDefault="001E374C" w:rsidP="001E374C">
      <w:pPr>
        <w:numPr>
          <w:ilvl w:val="0"/>
          <w:numId w:val="1"/>
        </w:numPr>
        <w:tabs>
          <w:tab w:val="clear" w:pos="720"/>
          <w:tab w:val="num" w:pos="502"/>
        </w:tabs>
        <w:ind w:left="502" w:hanging="682"/>
        <w:jc w:val="both"/>
        <w:rPr>
          <w:rFonts w:ascii="Tahoma" w:hAnsi="Tahoma" w:cs="Tahoma"/>
        </w:rPr>
      </w:pPr>
      <w:r w:rsidRPr="00EE44BB">
        <w:rPr>
          <w:rFonts w:ascii="Tahoma" w:hAnsi="Tahoma" w:cs="Tahoma"/>
        </w:rPr>
        <w:t>Con escrito de fecha 21 de noviembre de 2006, la entidad cumplió con presentar la documentación requerida.</w:t>
      </w:r>
    </w:p>
    <w:p w:rsidR="001E374C" w:rsidRPr="00EE44BB" w:rsidRDefault="001E374C" w:rsidP="001E374C">
      <w:pPr>
        <w:jc w:val="both"/>
        <w:rPr>
          <w:rFonts w:ascii="Tahoma" w:hAnsi="Tahoma" w:cs="Tahoma"/>
        </w:rPr>
      </w:pPr>
    </w:p>
    <w:p w:rsidR="001E374C" w:rsidRPr="00EE44BB" w:rsidRDefault="001E374C" w:rsidP="001E374C">
      <w:pPr>
        <w:numPr>
          <w:ilvl w:val="0"/>
          <w:numId w:val="1"/>
        </w:numPr>
        <w:tabs>
          <w:tab w:val="clear" w:pos="720"/>
          <w:tab w:val="num" w:pos="502"/>
        </w:tabs>
        <w:ind w:left="502" w:hanging="682"/>
        <w:jc w:val="both"/>
        <w:rPr>
          <w:rFonts w:ascii="Tahoma" w:hAnsi="Tahoma" w:cs="Tahoma"/>
        </w:rPr>
      </w:pPr>
      <w:r w:rsidRPr="00EE44BB">
        <w:rPr>
          <w:rFonts w:ascii="Tahoma" w:hAnsi="Tahoma" w:cs="Tahoma"/>
        </w:rPr>
        <w:t>Mediante escrito de fecha 30 de noviembre de 2006, la empresa contratista cumplió con presentar sus descargos en los siguientes términos:</w:t>
      </w:r>
    </w:p>
    <w:p w:rsidR="001E374C" w:rsidRPr="00EE44BB" w:rsidRDefault="001E374C" w:rsidP="001E374C">
      <w:pPr>
        <w:jc w:val="both"/>
        <w:rPr>
          <w:rFonts w:ascii="Tahoma" w:hAnsi="Tahoma" w:cs="Tahoma"/>
        </w:rPr>
      </w:pPr>
    </w:p>
    <w:p w:rsidR="001E374C" w:rsidRPr="00EE44BB" w:rsidRDefault="001E374C" w:rsidP="001E374C">
      <w:pPr>
        <w:numPr>
          <w:ilvl w:val="0"/>
          <w:numId w:val="2"/>
        </w:numPr>
        <w:jc w:val="both"/>
        <w:rPr>
          <w:rFonts w:ascii="Tahoma" w:hAnsi="Tahoma" w:cs="Tahoma"/>
        </w:rPr>
      </w:pPr>
      <w:r w:rsidRPr="00EE44BB">
        <w:rPr>
          <w:rFonts w:ascii="Tahoma" w:hAnsi="Tahoma" w:cs="Tahoma"/>
        </w:rPr>
        <w:t>Tal como se señaló en los antecedentes, con fecha 05 de abril de 2005 se suscribió el contrato de Servicio de Diseño de Metodología y Estándares para la Gestión de Proyectos y control de proveedores de la ONP. Es decir, se buscaba diseñar políticas, estándares y procedimientos que definan y regulen la gestión de los proyectos, así como normalizar la supervisión que la Entidad ejerce sobre sus proveedores.</w:t>
      </w:r>
    </w:p>
    <w:p w:rsidR="001E374C" w:rsidRPr="00EE44BB" w:rsidRDefault="001E374C" w:rsidP="001E374C">
      <w:pPr>
        <w:ind w:left="1080"/>
        <w:jc w:val="both"/>
        <w:rPr>
          <w:rFonts w:ascii="Tahoma" w:hAnsi="Tahoma" w:cs="Tahoma"/>
        </w:rPr>
      </w:pPr>
    </w:p>
    <w:p w:rsidR="001E374C" w:rsidRPr="00EE44BB" w:rsidRDefault="001E374C" w:rsidP="001E374C">
      <w:pPr>
        <w:numPr>
          <w:ilvl w:val="0"/>
          <w:numId w:val="2"/>
        </w:numPr>
        <w:jc w:val="both"/>
        <w:rPr>
          <w:rFonts w:ascii="Tahoma" w:hAnsi="Tahoma" w:cs="Tahoma"/>
        </w:rPr>
      </w:pPr>
      <w:r w:rsidRPr="00EE44BB">
        <w:rPr>
          <w:rFonts w:ascii="Tahoma" w:hAnsi="Tahoma" w:cs="Tahoma"/>
        </w:rPr>
        <w:lastRenderedPageBreak/>
        <w:t>Para dicho servicio debía aplicarse el cuerpo del conocimiento y estándares del PMI</w:t>
      </w:r>
      <w:r w:rsidRPr="00EE44BB">
        <w:rPr>
          <w:rStyle w:val="Refdenotaalpie"/>
          <w:rFonts w:ascii="Tahoma" w:hAnsi="Tahoma" w:cs="Tahoma"/>
        </w:rPr>
        <w:footnoteReference w:id="2"/>
      </w:r>
      <w:r w:rsidRPr="00EE44BB">
        <w:rPr>
          <w:rFonts w:ascii="Tahoma" w:hAnsi="Tahoma" w:cs="Tahoma"/>
        </w:rPr>
        <w:t xml:space="preserve">  incorporando el enfoque del Modelo de Madurez para la gestión de proyectos OPM3</w:t>
      </w:r>
      <w:r w:rsidRPr="00EE44BB">
        <w:rPr>
          <w:rStyle w:val="Refdenotaalpie"/>
          <w:rFonts w:ascii="Tahoma" w:hAnsi="Tahoma" w:cs="Tahoma"/>
        </w:rPr>
        <w:footnoteReference w:id="3"/>
      </w:r>
      <w:r w:rsidRPr="00EE44BB">
        <w:rPr>
          <w:rFonts w:ascii="Tahoma" w:hAnsi="Tahoma" w:cs="Tahoma"/>
        </w:rPr>
        <w:t>.</w:t>
      </w:r>
    </w:p>
    <w:p w:rsidR="001E374C" w:rsidRPr="00EE44BB" w:rsidRDefault="001E374C" w:rsidP="001E374C">
      <w:pPr>
        <w:ind w:left="1080"/>
        <w:jc w:val="both"/>
        <w:rPr>
          <w:rFonts w:ascii="Tahoma" w:hAnsi="Tahoma" w:cs="Tahoma"/>
        </w:rPr>
      </w:pPr>
    </w:p>
    <w:p w:rsidR="001E374C" w:rsidRPr="00EE44BB" w:rsidRDefault="001E374C" w:rsidP="001E374C">
      <w:pPr>
        <w:numPr>
          <w:ilvl w:val="0"/>
          <w:numId w:val="2"/>
        </w:numPr>
        <w:jc w:val="both"/>
        <w:rPr>
          <w:rFonts w:ascii="Tahoma" w:hAnsi="Tahoma" w:cs="Tahoma"/>
        </w:rPr>
      </w:pPr>
      <w:r w:rsidRPr="00EE44BB">
        <w:rPr>
          <w:rFonts w:ascii="Tahoma" w:hAnsi="Tahoma" w:cs="Tahoma"/>
        </w:rPr>
        <w:t xml:space="preserve">La prestación principal a cargo de la empresa contratista consistió en i) diseñar una metodología y estándares para la gestión de proyectos de la Entidad, que debía comprender una metodología y estándares de gestión de proyectos de la Entidad y; </w:t>
      </w:r>
      <w:proofErr w:type="spellStart"/>
      <w:r w:rsidRPr="00EE44BB">
        <w:rPr>
          <w:rFonts w:ascii="Tahoma" w:hAnsi="Tahoma" w:cs="Tahoma"/>
        </w:rPr>
        <w:t>ii</w:t>
      </w:r>
      <w:proofErr w:type="spellEnd"/>
      <w:r w:rsidRPr="00EE44BB">
        <w:rPr>
          <w:rFonts w:ascii="Tahoma" w:hAnsi="Tahoma" w:cs="Tahoma"/>
        </w:rPr>
        <w:t>) una metodología y estándares de control de proveedores de la Entidad. Para dichos fines, la Bases administrativas solicitaban que se apliquen las directivas y contenidos en el PMBOK</w:t>
      </w:r>
      <w:r w:rsidRPr="00EE44BB">
        <w:rPr>
          <w:rStyle w:val="Refdenotaalpie"/>
          <w:rFonts w:ascii="Tahoma" w:hAnsi="Tahoma" w:cs="Tahoma"/>
        </w:rPr>
        <w:footnoteReference w:id="4"/>
      </w:r>
      <w:r w:rsidRPr="00EE44BB">
        <w:rPr>
          <w:rFonts w:ascii="Tahoma" w:hAnsi="Tahoma" w:cs="Tahoma"/>
        </w:rPr>
        <w:t xml:space="preserve">   y en el OPM3</w:t>
      </w:r>
    </w:p>
    <w:p w:rsidR="001E374C" w:rsidRPr="00EE44BB" w:rsidRDefault="001E374C" w:rsidP="001E374C">
      <w:pPr>
        <w:jc w:val="both"/>
        <w:rPr>
          <w:rFonts w:ascii="Tahoma" w:hAnsi="Tahoma" w:cs="Tahoma"/>
        </w:rPr>
      </w:pPr>
    </w:p>
    <w:p w:rsidR="001E374C" w:rsidRPr="00EE44BB" w:rsidRDefault="001E374C" w:rsidP="001E374C">
      <w:pPr>
        <w:numPr>
          <w:ilvl w:val="0"/>
          <w:numId w:val="2"/>
        </w:numPr>
        <w:jc w:val="both"/>
        <w:rPr>
          <w:rFonts w:ascii="Tahoma" w:hAnsi="Tahoma" w:cs="Tahoma"/>
        </w:rPr>
      </w:pPr>
      <w:r w:rsidRPr="00EE44BB">
        <w:rPr>
          <w:rFonts w:ascii="Tahoma" w:hAnsi="Tahoma" w:cs="Tahoma"/>
        </w:rPr>
        <w:t>EL contratista en su propuesta técnica declaró que iba a evaluar la aplicabilidad de la metodología antes mencionada, una vez determinada la situación real de la Entidad y no declaró a priori que dichos lineamiento eran aplicables.</w:t>
      </w:r>
    </w:p>
    <w:p w:rsidR="001E374C" w:rsidRPr="00EE44BB" w:rsidRDefault="001E374C" w:rsidP="001E374C">
      <w:pPr>
        <w:ind w:left="1080"/>
        <w:jc w:val="both"/>
        <w:rPr>
          <w:rFonts w:ascii="Tahoma" w:hAnsi="Tahoma" w:cs="Tahoma"/>
        </w:rPr>
      </w:pPr>
    </w:p>
    <w:p w:rsidR="001E374C" w:rsidRPr="00EE44BB" w:rsidRDefault="001E374C" w:rsidP="001E374C">
      <w:pPr>
        <w:numPr>
          <w:ilvl w:val="0"/>
          <w:numId w:val="2"/>
        </w:numPr>
        <w:jc w:val="both"/>
        <w:rPr>
          <w:rFonts w:ascii="Tahoma" w:hAnsi="Tahoma" w:cs="Tahoma"/>
          <w:i/>
        </w:rPr>
      </w:pPr>
      <w:r w:rsidRPr="00EE44BB">
        <w:rPr>
          <w:rFonts w:ascii="Tahoma" w:hAnsi="Tahoma" w:cs="Tahoma"/>
        </w:rPr>
        <w:t xml:space="preserve">Se dio la imposibilidad de aplicar los estándares técnicos previstos por el PMI, el PMBOK y el  OPM, debido a que son únicamente aplicables actividades de gestión que tengan naturaleza de proyectos, mas no de operaciones o servicios. Dicha herramientas se aplican exclusivamente a la gestión de proyectos y nunca a la gestión de procesos. El PMBOK define como “proyecto” </w:t>
      </w:r>
      <w:r w:rsidRPr="00EE44BB">
        <w:rPr>
          <w:rFonts w:ascii="Tahoma" w:hAnsi="Tahoma" w:cs="Tahoma"/>
          <w:i/>
        </w:rPr>
        <w:t>un esfuerzo temporal acometido para crear un producto, servicio o resultado único, teniendo como ejemplos de proyectos: desarrollar un nuevo producto o servicio, efectuar un cambio en la estructura de una organización, diseñar un nuevo vehículo o transporte, etc.</w:t>
      </w:r>
    </w:p>
    <w:p w:rsidR="001E374C" w:rsidRPr="00EE44BB" w:rsidRDefault="001E374C" w:rsidP="001E374C">
      <w:pPr>
        <w:jc w:val="both"/>
        <w:rPr>
          <w:rFonts w:ascii="Tahoma" w:hAnsi="Tahoma" w:cs="Tahoma"/>
          <w:i/>
        </w:rPr>
      </w:pPr>
    </w:p>
    <w:p w:rsidR="001E374C" w:rsidRPr="00EE44BB" w:rsidRDefault="001E374C" w:rsidP="001E374C">
      <w:pPr>
        <w:ind w:left="1080"/>
        <w:jc w:val="both"/>
        <w:rPr>
          <w:rFonts w:ascii="Tahoma" w:hAnsi="Tahoma" w:cs="Tahoma"/>
        </w:rPr>
      </w:pPr>
      <w:r w:rsidRPr="00EE44BB">
        <w:rPr>
          <w:rFonts w:ascii="Tahoma" w:hAnsi="Tahoma" w:cs="Tahoma"/>
        </w:rPr>
        <w:t>Dicho concepto es totalmente distinto a las “</w:t>
      </w:r>
      <w:r w:rsidRPr="00EE44BB">
        <w:rPr>
          <w:rFonts w:ascii="Tahoma" w:hAnsi="Tahoma" w:cs="Tahoma"/>
          <w:i/>
        </w:rPr>
        <w:t>operaciones o procesos</w:t>
      </w:r>
      <w:r w:rsidRPr="00EE44BB">
        <w:rPr>
          <w:rFonts w:ascii="Tahoma" w:hAnsi="Tahoma" w:cs="Tahoma"/>
        </w:rPr>
        <w:t>”, que supone carácter cíclico y repetitivo, por ejemplo, aprobación de una solicitud de crédito, adquisición de materias primas, atención de consultas para clientes de un banco.</w:t>
      </w:r>
    </w:p>
    <w:p w:rsidR="001E374C" w:rsidRPr="00EE44BB" w:rsidRDefault="001E374C" w:rsidP="001E374C">
      <w:pPr>
        <w:ind w:left="1080"/>
        <w:jc w:val="both"/>
        <w:rPr>
          <w:rFonts w:ascii="Tahoma" w:hAnsi="Tahoma" w:cs="Tahoma"/>
        </w:rPr>
      </w:pPr>
    </w:p>
    <w:p w:rsidR="001E374C" w:rsidRPr="00EE44BB" w:rsidRDefault="001E374C" w:rsidP="001E374C">
      <w:pPr>
        <w:numPr>
          <w:ilvl w:val="0"/>
          <w:numId w:val="2"/>
        </w:numPr>
        <w:jc w:val="both"/>
        <w:rPr>
          <w:rFonts w:ascii="Tahoma" w:hAnsi="Tahoma" w:cs="Tahoma"/>
        </w:rPr>
      </w:pPr>
      <w:r w:rsidRPr="00EE44BB">
        <w:rPr>
          <w:rFonts w:ascii="Tahoma" w:hAnsi="Tahoma" w:cs="Tahoma"/>
        </w:rPr>
        <w:t>El 09 de mayo de 2005, la empresa contratista dio inicio a sus actividades, las que se encuentran recogidas en el Informe Mensual Ejecutivo – Mes de I, remitido por la Entidad, en</w:t>
      </w:r>
      <w:r>
        <w:rPr>
          <w:rFonts w:ascii="Tahoma" w:hAnsi="Tahoma" w:cs="Tahoma"/>
        </w:rPr>
        <w:t xml:space="preserve"> el</w:t>
      </w:r>
      <w:r w:rsidRPr="00EE44BB">
        <w:rPr>
          <w:rFonts w:ascii="Tahoma" w:hAnsi="Tahoma" w:cs="Tahoma"/>
        </w:rPr>
        <w:t xml:space="preserve"> cual señaló las obligaciones a cargo, siendo las siguientes:</w:t>
      </w:r>
    </w:p>
    <w:p w:rsidR="001E374C" w:rsidRPr="00EE44BB" w:rsidRDefault="001E374C" w:rsidP="001E374C">
      <w:pPr>
        <w:ind w:left="1080"/>
        <w:jc w:val="both"/>
        <w:rPr>
          <w:rFonts w:ascii="Tahoma" w:hAnsi="Tahoma" w:cs="Tahoma"/>
        </w:rPr>
      </w:pPr>
      <w:r w:rsidRPr="00EE44BB">
        <w:rPr>
          <w:rFonts w:ascii="Tahoma" w:hAnsi="Tahoma" w:cs="Tahoma"/>
        </w:rPr>
        <w:t>-Definición y conformación del equipo de trabajo de la Entidad</w:t>
      </w:r>
    </w:p>
    <w:p w:rsidR="001E374C" w:rsidRPr="00EE44BB" w:rsidRDefault="001E374C" w:rsidP="001E374C">
      <w:pPr>
        <w:ind w:left="1080"/>
        <w:jc w:val="both"/>
        <w:rPr>
          <w:rFonts w:ascii="Tahoma" w:hAnsi="Tahoma" w:cs="Tahoma"/>
        </w:rPr>
      </w:pPr>
      <w:r w:rsidRPr="00EE44BB">
        <w:rPr>
          <w:rFonts w:ascii="Tahoma" w:hAnsi="Tahoma" w:cs="Tahoma"/>
        </w:rPr>
        <w:t>-Recopilación y revisión de información base para el entendimiento de la organización y funcionamiento de la Entidad.</w:t>
      </w:r>
    </w:p>
    <w:p w:rsidR="001E374C" w:rsidRPr="00EE44BB" w:rsidRDefault="001E374C" w:rsidP="001E374C">
      <w:pPr>
        <w:ind w:left="1080"/>
        <w:jc w:val="both"/>
        <w:rPr>
          <w:rFonts w:ascii="Tahoma" w:hAnsi="Tahoma" w:cs="Tahoma"/>
        </w:rPr>
      </w:pPr>
      <w:r w:rsidRPr="00EE44BB">
        <w:rPr>
          <w:rFonts w:ascii="Tahoma" w:hAnsi="Tahoma" w:cs="Tahoma"/>
        </w:rPr>
        <w:t xml:space="preserve">-Reuniones de trabajo con coordinadores de proyectos para el entendimiento de los procesos </w:t>
      </w:r>
      <w:proofErr w:type="spellStart"/>
      <w:r w:rsidRPr="00EE44BB">
        <w:rPr>
          <w:rFonts w:ascii="Tahoma" w:hAnsi="Tahoma" w:cs="Tahoma"/>
        </w:rPr>
        <w:t>tercerizados</w:t>
      </w:r>
      <w:proofErr w:type="spellEnd"/>
      <w:r w:rsidRPr="00EE44BB">
        <w:rPr>
          <w:rFonts w:ascii="Tahoma" w:hAnsi="Tahoma" w:cs="Tahoma"/>
        </w:rPr>
        <w:t>.</w:t>
      </w:r>
    </w:p>
    <w:p w:rsidR="001E374C" w:rsidRPr="00EE44BB" w:rsidRDefault="001E374C" w:rsidP="001E374C">
      <w:pPr>
        <w:ind w:left="1080"/>
        <w:jc w:val="both"/>
        <w:rPr>
          <w:rFonts w:ascii="Tahoma" w:hAnsi="Tahoma" w:cs="Tahoma"/>
        </w:rPr>
      </w:pPr>
      <w:r w:rsidRPr="00EE44BB">
        <w:rPr>
          <w:rFonts w:ascii="Tahoma" w:hAnsi="Tahoma" w:cs="Tahoma"/>
        </w:rPr>
        <w:t>-Preparación y revisión del plan de trabajo y el cronograma del proyecto con la jefatura de la División de Proyectos de la Entidad.</w:t>
      </w:r>
    </w:p>
    <w:p w:rsidR="001E374C" w:rsidRPr="00EE44BB" w:rsidRDefault="001E374C" w:rsidP="001E374C">
      <w:pPr>
        <w:ind w:left="1080"/>
        <w:jc w:val="both"/>
        <w:rPr>
          <w:rFonts w:ascii="Tahoma" w:hAnsi="Tahoma" w:cs="Tahoma"/>
        </w:rPr>
      </w:pPr>
    </w:p>
    <w:p w:rsidR="001E374C" w:rsidRPr="00EE44BB" w:rsidRDefault="001E374C" w:rsidP="001E374C">
      <w:pPr>
        <w:numPr>
          <w:ilvl w:val="0"/>
          <w:numId w:val="2"/>
        </w:numPr>
        <w:jc w:val="both"/>
        <w:rPr>
          <w:rFonts w:ascii="Tahoma" w:hAnsi="Tahoma" w:cs="Tahoma"/>
          <w:i/>
        </w:rPr>
      </w:pPr>
      <w:r w:rsidRPr="00EE44BB">
        <w:rPr>
          <w:rFonts w:ascii="Tahoma" w:hAnsi="Tahoma" w:cs="Tahoma"/>
        </w:rPr>
        <w:lastRenderedPageBreak/>
        <w:t>La empresa contratista, recién en la etapa de la ejecución contractual tuvo acceso a la información relativa al funcionamiento de la Entidad, con el fin de poder acceder al contexto operativo de dicha institución. En esta misma etapa recién se tuvo acceso a las bases de los respectivos concursos públicos, en virtud de los cuales, la Entidad celebró contratos con cada uno de sus proveedores.</w:t>
      </w:r>
    </w:p>
    <w:p w:rsidR="001E374C" w:rsidRPr="00EE44BB" w:rsidRDefault="001E374C" w:rsidP="001E374C">
      <w:pPr>
        <w:ind w:left="1080"/>
        <w:jc w:val="both"/>
        <w:rPr>
          <w:rFonts w:ascii="Tahoma" w:hAnsi="Tahoma" w:cs="Tahoma"/>
          <w:i/>
        </w:rPr>
      </w:pPr>
    </w:p>
    <w:p w:rsidR="001E374C" w:rsidRPr="00EE44BB" w:rsidRDefault="001E374C" w:rsidP="001E374C">
      <w:pPr>
        <w:numPr>
          <w:ilvl w:val="0"/>
          <w:numId w:val="2"/>
        </w:numPr>
        <w:jc w:val="both"/>
        <w:rPr>
          <w:rFonts w:ascii="Tahoma" w:hAnsi="Tahoma" w:cs="Tahoma"/>
          <w:i/>
        </w:rPr>
      </w:pPr>
      <w:r w:rsidRPr="00EE44BB">
        <w:rPr>
          <w:rFonts w:ascii="Tahoma" w:hAnsi="Tahoma" w:cs="Tahoma"/>
        </w:rPr>
        <w:t xml:space="preserve">Luego de realizar la actividad de campo se pudo verificar que las actividades que conforman el contexto de las operaciones gestionadas por dicha entidad administrativa, así como las gestionadas por sus proveedores  constituían en su mayoría OPERACIONES o SERVICIOS y NO PROYECTOS como inicialmente se había previsto por ambas partes al tiempo de la celebración del contrato. Por este motivo, no se pudo aplicar el cuerpo de conocimientos del PMI y el enfoque del  OPM3 a la total realidad de la Entidad, pues dichas herramientas se aplican únicamente a proyectos </w:t>
      </w:r>
      <w:proofErr w:type="gramStart"/>
      <w:r w:rsidRPr="00EE44BB">
        <w:rPr>
          <w:rFonts w:ascii="Tahoma" w:hAnsi="Tahoma" w:cs="Tahoma"/>
        </w:rPr>
        <w:t>mas</w:t>
      </w:r>
      <w:proofErr w:type="gramEnd"/>
      <w:r w:rsidRPr="00EE44BB">
        <w:rPr>
          <w:rFonts w:ascii="Tahoma" w:hAnsi="Tahoma" w:cs="Tahoma"/>
        </w:rPr>
        <w:t xml:space="preserve"> no a operaciones o servicios.</w:t>
      </w:r>
    </w:p>
    <w:p w:rsidR="001E374C" w:rsidRPr="00EE44BB" w:rsidRDefault="001E374C" w:rsidP="001E374C">
      <w:pPr>
        <w:jc w:val="both"/>
        <w:rPr>
          <w:rFonts w:ascii="Tahoma" w:hAnsi="Tahoma" w:cs="Tahoma"/>
          <w:i/>
        </w:rPr>
      </w:pPr>
    </w:p>
    <w:p w:rsidR="001E374C" w:rsidRPr="00EE44BB" w:rsidRDefault="001E374C" w:rsidP="001E374C">
      <w:pPr>
        <w:numPr>
          <w:ilvl w:val="0"/>
          <w:numId w:val="2"/>
        </w:numPr>
        <w:jc w:val="both"/>
        <w:rPr>
          <w:rFonts w:ascii="Tahoma" w:hAnsi="Tahoma" w:cs="Tahoma"/>
        </w:rPr>
      </w:pPr>
      <w:r w:rsidRPr="00EE44BB">
        <w:rPr>
          <w:rFonts w:ascii="Tahoma" w:hAnsi="Tahoma" w:cs="Tahoma"/>
        </w:rPr>
        <w:t>Se puso en conocimiento de la Entidad la imposibilidad surgida y se le solicitó proponga alternativas para llevar a cabo el cumplimiento, sin embargo, no se obtuvo respuesta alguna.</w:t>
      </w:r>
    </w:p>
    <w:p w:rsidR="001E374C" w:rsidRPr="00EE44BB" w:rsidRDefault="001E374C" w:rsidP="001E374C">
      <w:pPr>
        <w:jc w:val="both"/>
        <w:rPr>
          <w:rFonts w:ascii="Tahoma" w:hAnsi="Tahoma" w:cs="Tahoma"/>
        </w:rPr>
      </w:pPr>
    </w:p>
    <w:p w:rsidR="001E374C" w:rsidRPr="00EE44BB" w:rsidRDefault="001E374C" w:rsidP="001E374C">
      <w:pPr>
        <w:numPr>
          <w:ilvl w:val="0"/>
          <w:numId w:val="2"/>
        </w:numPr>
        <w:jc w:val="both"/>
        <w:rPr>
          <w:rFonts w:ascii="Tahoma" w:hAnsi="Tahoma" w:cs="Tahoma"/>
        </w:rPr>
      </w:pPr>
      <w:r w:rsidRPr="00EE44BB">
        <w:rPr>
          <w:rFonts w:ascii="Tahoma" w:hAnsi="Tahoma" w:cs="Tahoma"/>
        </w:rPr>
        <w:t>La empresa contratista en su condición de postor, tuvo que adherirse a los requerimientos establecidos por la Entidad y que la declaración señalada en las bases fue inexacta y errónea del uso de los conceptos técnicos para referirse a  la realidad de sus operaciones.</w:t>
      </w:r>
    </w:p>
    <w:p w:rsidR="001E374C" w:rsidRPr="00EE44BB" w:rsidRDefault="001E374C" w:rsidP="001E374C">
      <w:pPr>
        <w:jc w:val="both"/>
        <w:rPr>
          <w:rFonts w:ascii="Tahoma" w:hAnsi="Tahoma" w:cs="Tahoma"/>
        </w:rPr>
      </w:pPr>
    </w:p>
    <w:p w:rsidR="001E374C" w:rsidRPr="00EE44BB" w:rsidRDefault="001E374C" w:rsidP="001E374C">
      <w:pPr>
        <w:numPr>
          <w:ilvl w:val="0"/>
          <w:numId w:val="2"/>
        </w:numPr>
        <w:jc w:val="both"/>
        <w:rPr>
          <w:rFonts w:ascii="Tahoma" w:hAnsi="Tahoma" w:cs="Tahoma"/>
        </w:rPr>
      </w:pPr>
      <w:r w:rsidRPr="00EE44BB">
        <w:rPr>
          <w:rFonts w:ascii="Tahoma" w:hAnsi="Tahoma" w:cs="Tahoma"/>
        </w:rPr>
        <w:t xml:space="preserve">Al haberse llevado a cabo la resolución del vinculo contractual por parte de la Entidad, se interpuso demanda arbitral contra la Entidad, solicitando se declare entre otros  la nulidad del contrato de servicios. En la referida demanda se presentaron cinco informe periciales, dos de ellos emitidos por expertos en el PMP y los otros tres emitidos por el Instituto para la Calidad de la Pontifica Universidad Católica del Perú, por el Área de Consultoría de la Universidad del Pacifico y por un experto en el área del Project </w:t>
      </w:r>
      <w:proofErr w:type="spellStart"/>
      <w:r w:rsidRPr="00EE44BB">
        <w:rPr>
          <w:rFonts w:ascii="Tahoma" w:hAnsi="Tahoma" w:cs="Tahoma"/>
        </w:rPr>
        <w:t>Managment</w:t>
      </w:r>
      <w:proofErr w:type="spellEnd"/>
      <w:r w:rsidRPr="00EE44BB">
        <w:rPr>
          <w:rFonts w:ascii="Tahoma" w:hAnsi="Tahoma" w:cs="Tahoma"/>
        </w:rPr>
        <w:t xml:space="preserve"> y reconocido por el PMI.</w:t>
      </w:r>
    </w:p>
    <w:p w:rsidR="001E374C" w:rsidRPr="00EE44BB" w:rsidRDefault="001E374C" w:rsidP="001E374C">
      <w:pPr>
        <w:jc w:val="both"/>
        <w:rPr>
          <w:rFonts w:ascii="Tahoma" w:hAnsi="Tahoma" w:cs="Tahoma"/>
        </w:rPr>
      </w:pPr>
    </w:p>
    <w:p w:rsidR="001E374C" w:rsidRPr="00EE44BB" w:rsidRDefault="001E374C" w:rsidP="001E374C">
      <w:pPr>
        <w:numPr>
          <w:ilvl w:val="0"/>
          <w:numId w:val="2"/>
        </w:numPr>
        <w:jc w:val="both"/>
        <w:rPr>
          <w:rFonts w:ascii="Tahoma" w:hAnsi="Tahoma" w:cs="Tahoma"/>
        </w:rPr>
      </w:pPr>
      <w:r>
        <w:rPr>
          <w:rFonts w:ascii="Tahoma" w:hAnsi="Tahoma" w:cs="Tahoma"/>
        </w:rPr>
        <w:t>El árbitro designado</w:t>
      </w:r>
      <w:r w:rsidRPr="00EE44BB">
        <w:rPr>
          <w:rFonts w:ascii="Tahoma" w:hAnsi="Tahoma" w:cs="Tahoma"/>
        </w:rPr>
        <w:t xml:space="preserve"> a s</w:t>
      </w:r>
      <w:r>
        <w:rPr>
          <w:rFonts w:ascii="Tahoma" w:hAnsi="Tahoma" w:cs="Tahoma"/>
        </w:rPr>
        <w:t>olucionar el conflicto consideró</w:t>
      </w:r>
      <w:r w:rsidRPr="00EE44BB">
        <w:rPr>
          <w:rFonts w:ascii="Tahoma" w:hAnsi="Tahoma" w:cs="Tahoma"/>
        </w:rPr>
        <w:t xml:space="preserve"> no citar a los peritos para que sustenten dichos informes en la audiencia a llevarse a cabo oportunamente, situación que resultó inusual en un arbitraje de derecho, en el cual debe ofrecerse a las partes las facilidades para ejercer su derecho de defensa, toda vez que el tema era sumamente técnico, considerando que el árbitro a cargo es de profesión abogado.</w:t>
      </w:r>
    </w:p>
    <w:p w:rsidR="001E374C" w:rsidRPr="00EE44BB" w:rsidRDefault="001E374C" w:rsidP="001E374C">
      <w:pPr>
        <w:jc w:val="both"/>
        <w:rPr>
          <w:rFonts w:ascii="Tahoma" w:hAnsi="Tahoma" w:cs="Tahoma"/>
        </w:rPr>
      </w:pPr>
    </w:p>
    <w:p w:rsidR="001E374C" w:rsidRPr="00EE44BB" w:rsidRDefault="001E374C" w:rsidP="001E374C">
      <w:pPr>
        <w:numPr>
          <w:ilvl w:val="0"/>
          <w:numId w:val="2"/>
        </w:numPr>
        <w:jc w:val="both"/>
        <w:rPr>
          <w:rFonts w:ascii="Tahoma" w:hAnsi="Tahoma" w:cs="Tahoma"/>
        </w:rPr>
      </w:pPr>
      <w:r w:rsidRPr="00EE44BB">
        <w:rPr>
          <w:rFonts w:ascii="Tahoma" w:hAnsi="Tahoma" w:cs="Tahoma"/>
        </w:rPr>
        <w:t>Al ser una materia técnica y no especializada es imprescindible contar con peritajes técnicos que ilustren al árbitro único sobre la materia controvertida. Por tal motivo, resulta cuestionable que el árbitro haya decidido tomar en cuenta únicamente el informe pericial presentado por la Entidad, el cual señaló totalmente lo contrario a lo establecido en los informes presentados por la empresa contratista.</w:t>
      </w:r>
    </w:p>
    <w:p w:rsidR="001E374C" w:rsidRPr="00EE44BB" w:rsidRDefault="001E374C" w:rsidP="001E374C">
      <w:pPr>
        <w:jc w:val="both"/>
        <w:rPr>
          <w:rFonts w:ascii="Tahoma" w:hAnsi="Tahoma" w:cs="Tahoma"/>
        </w:rPr>
      </w:pPr>
    </w:p>
    <w:p w:rsidR="001E374C" w:rsidRPr="00EE44BB" w:rsidRDefault="001E374C" w:rsidP="001E374C">
      <w:pPr>
        <w:numPr>
          <w:ilvl w:val="0"/>
          <w:numId w:val="2"/>
        </w:numPr>
        <w:jc w:val="both"/>
        <w:rPr>
          <w:rFonts w:ascii="Tahoma" w:hAnsi="Tahoma" w:cs="Tahoma"/>
        </w:rPr>
      </w:pPr>
      <w:r w:rsidRPr="00EE44BB">
        <w:rPr>
          <w:rFonts w:ascii="Tahoma" w:hAnsi="Tahoma" w:cs="Tahoma"/>
        </w:rPr>
        <w:t xml:space="preserve">Lo indicado anteriormente resultó un grave atentado al derecho de defensa de la contratista, pues la materia sometida a arbitraje versaba sobre la demostración de que el contrato era inejecutable por imposibilidad originaria de la cual sólo pudo percatarse cuando conoció que las bases administrativas de cada uno de los servicios </w:t>
      </w:r>
      <w:proofErr w:type="spellStart"/>
      <w:r w:rsidRPr="00EE44BB">
        <w:rPr>
          <w:rFonts w:ascii="Tahoma" w:hAnsi="Tahoma" w:cs="Tahoma"/>
        </w:rPr>
        <w:t>tercerizados</w:t>
      </w:r>
      <w:proofErr w:type="spellEnd"/>
      <w:r w:rsidRPr="00EE44BB">
        <w:rPr>
          <w:rFonts w:ascii="Tahoma" w:hAnsi="Tahoma" w:cs="Tahoma"/>
        </w:rPr>
        <w:t xml:space="preserve"> solicitados por la Entidad, constatando que muchos de ellos eran procesos y no proyectos.</w:t>
      </w:r>
    </w:p>
    <w:p w:rsidR="001E374C" w:rsidRPr="00EE44BB" w:rsidRDefault="001E374C" w:rsidP="001E374C">
      <w:pPr>
        <w:tabs>
          <w:tab w:val="left" w:pos="3030"/>
        </w:tabs>
        <w:jc w:val="both"/>
        <w:rPr>
          <w:rFonts w:ascii="Tahoma" w:hAnsi="Tahoma" w:cs="Tahoma"/>
        </w:rPr>
      </w:pPr>
      <w:r w:rsidRPr="00EE44BB">
        <w:rPr>
          <w:rFonts w:ascii="Tahoma" w:hAnsi="Tahoma" w:cs="Tahoma"/>
        </w:rPr>
        <w:tab/>
      </w:r>
    </w:p>
    <w:p w:rsidR="001E374C" w:rsidRPr="00EE44BB" w:rsidRDefault="001E374C" w:rsidP="001E374C">
      <w:pPr>
        <w:numPr>
          <w:ilvl w:val="0"/>
          <w:numId w:val="2"/>
        </w:numPr>
        <w:jc w:val="both"/>
        <w:rPr>
          <w:rFonts w:ascii="Tahoma" w:hAnsi="Tahoma" w:cs="Tahoma"/>
        </w:rPr>
      </w:pPr>
      <w:r w:rsidRPr="00EE44BB">
        <w:rPr>
          <w:rFonts w:ascii="Tahoma" w:hAnsi="Tahoma" w:cs="Tahoma"/>
        </w:rPr>
        <w:t xml:space="preserve">La contratista al momento de adjudicarse la buena pro, sólo conocía la lista de servicios mostrada en las bases a los cuales la Entidad denominaba proyectos, situación que pudo desvirtuarse al momento de ejecutar el contrato, verificando que no se trataba de proyectos </w:t>
      </w:r>
      <w:r w:rsidRPr="00EE44BB">
        <w:rPr>
          <w:rFonts w:ascii="Tahoma" w:hAnsi="Tahoma" w:cs="Tahoma"/>
        </w:rPr>
        <w:lastRenderedPageBreak/>
        <w:t xml:space="preserve">sino de operaciones o procesos. Debe señalarse que el </w:t>
      </w:r>
      <w:proofErr w:type="spellStart"/>
      <w:r w:rsidRPr="00EE44BB">
        <w:rPr>
          <w:rFonts w:ascii="Tahoma" w:hAnsi="Tahoma" w:cs="Tahoma"/>
        </w:rPr>
        <w:t>Árbtiro</w:t>
      </w:r>
      <w:proofErr w:type="spellEnd"/>
      <w:r w:rsidRPr="00EE44BB">
        <w:rPr>
          <w:rFonts w:ascii="Tahoma" w:hAnsi="Tahoma" w:cs="Tahoma"/>
        </w:rPr>
        <w:t xml:space="preserve"> Único  no estimó revisar las bases administrativas, donde se produjo el error o inexactitud por parte de la Entidad.</w:t>
      </w:r>
    </w:p>
    <w:p w:rsidR="001E374C" w:rsidRPr="00EE44BB" w:rsidRDefault="001E374C" w:rsidP="001E374C">
      <w:pPr>
        <w:jc w:val="both"/>
        <w:rPr>
          <w:rFonts w:ascii="Tahoma" w:hAnsi="Tahoma" w:cs="Tahoma"/>
        </w:rPr>
      </w:pPr>
    </w:p>
    <w:p w:rsidR="001E374C" w:rsidRPr="00EE44BB" w:rsidRDefault="001E374C" w:rsidP="001E374C">
      <w:pPr>
        <w:numPr>
          <w:ilvl w:val="0"/>
          <w:numId w:val="2"/>
        </w:numPr>
        <w:jc w:val="both"/>
        <w:rPr>
          <w:rFonts w:ascii="Tahoma" w:hAnsi="Tahoma" w:cs="Tahoma"/>
        </w:rPr>
      </w:pPr>
      <w:r w:rsidRPr="00EE44BB">
        <w:rPr>
          <w:rFonts w:ascii="Tahoma" w:hAnsi="Tahoma" w:cs="Tahoma"/>
        </w:rPr>
        <w:t>La empresa contratista discrepa sustancialmente con el Laudo Arbitral, sin embargo no se ha puesto resistencia alguna a la ejecución de las garantías otorgadas, demostrando de esta forma una conducta procesal adecuada y de buena fe durante el desarrollo del proceso de selección y de la ejecución contractual.</w:t>
      </w:r>
    </w:p>
    <w:p w:rsidR="001E374C" w:rsidRPr="00EE44BB" w:rsidRDefault="001E374C" w:rsidP="001E374C">
      <w:pPr>
        <w:ind w:left="360"/>
        <w:jc w:val="both"/>
        <w:rPr>
          <w:rFonts w:ascii="Tahoma" w:hAnsi="Tahoma" w:cs="Tahoma"/>
        </w:rPr>
      </w:pPr>
    </w:p>
    <w:p w:rsidR="001E374C" w:rsidRPr="00EE44BB" w:rsidRDefault="001E374C" w:rsidP="001E374C">
      <w:pPr>
        <w:numPr>
          <w:ilvl w:val="0"/>
          <w:numId w:val="1"/>
        </w:numPr>
        <w:tabs>
          <w:tab w:val="clear" w:pos="720"/>
          <w:tab w:val="num" w:pos="502"/>
        </w:tabs>
        <w:ind w:left="502" w:hanging="682"/>
        <w:jc w:val="both"/>
        <w:rPr>
          <w:rFonts w:ascii="Tahoma" w:hAnsi="Tahoma" w:cs="Tahoma"/>
        </w:rPr>
      </w:pPr>
      <w:r w:rsidRPr="00EE44BB">
        <w:rPr>
          <w:rFonts w:ascii="Tahoma" w:hAnsi="Tahoma" w:cs="Tahoma"/>
        </w:rPr>
        <w:t>Habiendo cumplido la empresa contratista con presentar sus descargos en el plazo otorgado, con Decreto de fecha 01 de diciembre de 2006, se remitió el expediente a la Sala Única del Tribunal para que emita pronunciamiento.</w:t>
      </w:r>
    </w:p>
    <w:p w:rsidR="001E374C" w:rsidRPr="00EE44BB" w:rsidRDefault="001E374C" w:rsidP="001E374C">
      <w:pPr>
        <w:ind w:left="360"/>
        <w:jc w:val="both"/>
        <w:rPr>
          <w:rFonts w:ascii="Tahoma" w:hAnsi="Tahoma" w:cs="Tahoma"/>
        </w:rPr>
      </w:pPr>
    </w:p>
    <w:p w:rsidR="001E374C" w:rsidRPr="00EE44BB" w:rsidRDefault="001E374C" w:rsidP="001E374C">
      <w:pPr>
        <w:numPr>
          <w:ilvl w:val="0"/>
          <w:numId w:val="1"/>
        </w:numPr>
        <w:tabs>
          <w:tab w:val="clear" w:pos="720"/>
          <w:tab w:val="num" w:pos="502"/>
        </w:tabs>
        <w:ind w:left="502" w:hanging="682"/>
        <w:jc w:val="both"/>
        <w:rPr>
          <w:rFonts w:ascii="Tahoma" w:hAnsi="Tahoma" w:cs="Tahoma"/>
        </w:rPr>
      </w:pPr>
      <w:r w:rsidRPr="00EE44BB">
        <w:rPr>
          <w:rFonts w:ascii="Tahoma" w:hAnsi="Tahoma" w:cs="Tahoma"/>
        </w:rPr>
        <w:t>Mediante Resolución N.° 177-2007-CONSUCODE/PRE de fecha 04 de abril de 2007, se constituyó la Tercera Sala del Tribunal de Contrataciones y Adquisiciones del Estado, por lo que mediante decreto de fecha 04 de junio de 2007 se dispuso la remisión del expediente a la Tercera Sala.</w:t>
      </w:r>
    </w:p>
    <w:p w:rsidR="001E374C" w:rsidRPr="00EE44BB" w:rsidRDefault="001E374C" w:rsidP="001E374C">
      <w:pPr>
        <w:jc w:val="both"/>
        <w:rPr>
          <w:rFonts w:ascii="Tahoma" w:hAnsi="Tahoma" w:cs="Tahoma"/>
        </w:rPr>
      </w:pPr>
    </w:p>
    <w:p w:rsidR="001E374C" w:rsidRPr="00EE44BB" w:rsidRDefault="001E374C" w:rsidP="001E374C">
      <w:pPr>
        <w:numPr>
          <w:ilvl w:val="0"/>
          <w:numId w:val="1"/>
        </w:numPr>
        <w:tabs>
          <w:tab w:val="clear" w:pos="720"/>
          <w:tab w:val="num" w:pos="502"/>
        </w:tabs>
        <w:ind w:left="502" w:hanging="682"/>
        <w:jc w:val="both"/>
        <w:rPr>
          <w:rFonts w:ascii="Tahoma" w:hAnsi="Tahoma" w:cs="Tahoma"/>
        </w:rPr>
      </w:pPr>
      <w:r w:rsidRPr="00EE44BB">
        <w:rPr>
          <w:rFonts w:ascii="Tahoma" w:hAnsi="Tahoma" w:cs="Tahoma"/>
        </w:rPr>
        <w:t xml:space="preserve">Con Decreto de fecha 04 de setiembre de 2007 se programó diligencia de Audiencia Pública para el día 13 de setiembre de 2007, sin embargo a solicitud de las partes, el Tribunal dispuso reprogramar la diligencia antes mencionada para el día 01 de octubre del mismo año. </w:t>
      </w:r>
    </w:p>
    <w:p w:rsidR="001E374C" w:rsidRPr="00EE44BB" w:rsidRDefault="001E374C" w:rsidP="001E374C">
      <w:pPr>
        <w:jc w:val="both"/>
        <w:rPr>
          <w:rFonts w:ascii="Tahoma" w:hAnsi="Tahoma" w:cs="Tahoma"/>
        </w:rPr>
      </w:pPr>
    </w:p>
    <w:p w:rsidR="001E374C" w:rsidRPr="00EE44BB" w:rsidRDefault="001E374C" w:rsidP="001E374C">
      <w:pPr>
        <w:numPr>
          <w:ilvl w:val="0"/>
          <w:numId w:val="1"/>
        </w:numPr>
        <w:tabs>
          <w:tab w:val="clear" w:pos="720"/>
          <w:tab w:val="num" w:pos="502"/>
        </w:tabs>
        <w:ind w:left="502" w:hanging="682"/>
        <w:jc w:val="both"/>
        <w:rPr>
          <w:rFonts w:ascii="Tahoma" w:hAnsi="Tahoma" w:cs="Tahoma"/>
        </w:rPr>
      </w:pPr>
      <w:r w:rsidRPr="00EE44BB">
        <w:rPr>
          <w:rFonts w:ascii="Tahoma" w:hAnsi="Tahoma" w:cs="Tahoma"/>
        </w:rPr>
        <w:t xml:space="preserve">Mediante escrito de fecha 12 de octubre de 2007 la empresa contratista </w:t>
      </w:r>
      <w:r>
        <w:rPr>
          <w:rFonts w:ascii="Tahoma" w:hAnsi="Tahoma" w:cs="Tahoma"/>
        </w:rPr>
        <w:t>reiteró argumentos de defensa a ser considerados al momento de emitir un pronunciamiento.</w:t>
      </w:r>
    </w:p>
    <w:p w:rsidR="001E374C" w:rsidRDefault="001E374C" w:rsidP="001E374C">
      <w:pPr>
        <w:pStyle w:val="NormalWeb"/>
        <w:tabs>
          <w:tab w:val="num" w:pos="900"/>
        </w:tabs>
        <w:spacing w:before="0" w:beforeAutospacing="0" w:after="0" w:afterAutospacing="0"/>
        <w:ind w:left="360"/>
        <w:jc w:val="both"/>
        <w:rPr>
          <w:rFonts w:ascii="Tahoma" w:hAnsi="Tahoma" w:cs="Tahoma"/>
          <w:sz w:val="20"/>
          <w:szCs w:val="20"/>
        </w:rPr>
      </w:pPr>
    </w:p>
    <w:p w:rsidR="001E374C" w:rsidRPr="00E42B74" w:rsidRDefault="001E374C" w:rsidP="001E374C">
      <w:pPr>
        <w:pStyle w:val="NormalWeb"/>
        <w:tabs>
          <w:tab w:val="num" w:pos="900"/>
        </w:tabs>
        <w:spacing w:before="0" w:beforeAutospacing="0" w:after="0" w:afterAutospacing="0"/>
        <w:ind w:left="360"/>
        <w:jc w:val="both"/>
        <w:rPr>
          <w:rFonts w:ascii="Tahoma" w:hAnsi="Tahoma" w:cs="Tahoma"/>
          <w:sz w:val="20"/>
          <w:szCs w:val="20"/>
        </w:rPr>
      </w:pPr>
    </w:p>
    <w:p w:rsidR="001E374C" w:rsidRPr="00E42B74" w:rsidRDefault="001E374C" w:rsidP="001E374C">
      <w:pPr>
        <w:jc w:val="both"/>
        <w:rPr>
          <w:rFonts w:ascii="Tahoma" w:hAnsi="Tahoma" w:cs="Tahoma"/>
          <w:b/>
          <w:shadow/>
        </w:rPr>
      </w:pPr>
      <w:r w:rsidRPr="00E42B74">
        <w:rPr>
          <w:rFonts w:ascii="Tahoma" w:hAnsi="Tahoma" w:cs="Tahoma"/>
          <w:b/>
          <w:shadow/>
        </w:rPr>
        <w:t>FUNDAMENTACIÓN:</w:t>
      </w:r>
    </w:p>
    <w:p w:rsidR="001E374C" w:rsidRDefault="001E374C" w:rsidP="001E374C">
      <w:pPr>
        <w:jc w:val="both"/>
        <w:rPr>
          <w:rFonts w:ascii="Tahoma" w:hAnsi="Tahoma" w:cs="Tahoma"/>
          <w:lang w:val="es-PE"/>
        </w:rPr>
      </w:pPr>
    </w:p>
    <w:p w:rsidR="001E374C" w:rsidRPr="00EE44BB" w:rsidRDefault="001E374C" w:rsidP="001E374C">
      <w:pPr>
        <w:jc w:val="both"/>
        <w:rPr>
          <w:rFonts w:ascii="Tahoma" w:hAnsi="Tahoma" w:cs="Tahoma"/>
          <w:lang w:val="es-PE"/>
        </w:rPr>
      </w:pPr>
    </w:p>
    <w:p w:rsidR="001E374C" w:rsidRPr="00EE44BB" w:rsidRDefault="001E374C" w:rsidP="001E374C">
      <w:pPr>
        <w:pStyle w:val="Textoindependiente"/>
        <w:numPr>
          <w:ilvl w:val="0"/>
          <w:numId w:val="3"/>
        </w:numPr>
        <w:tabs>
          <w:tab w:val="left" w:pos="2410"/>
        </w:tabs>
        <w:ind w:hanging="540"/>
        <w:rPr>
          <w:rFonts w:cs="Tahoma"/>
          <w:sz w:val="20"/>
        </w:rPr>
      </w:pPr>
      <w:r w:rsidRPr="00EE44BB">
        <w:rPr>
          <w:rFonts w:cs="Tahoma"/>
          <w:sz w:val="20"/>
        </w:rPr>
        <w:t>El numeral 1 del artículo 235 de la Ley N.° 27444, Ley del Procedimiento Administrativo General, establece que el procedimiento administrativo sancionador se inicia siempre de oficio, bien por propia iniciativa o como consecuencia de una orden superior, petición motivada de otros órganos o entidades o por denuncia.</w:t>
      </w:r>
    </w:p>
    <w:p w:rsidR="001E374C" w:rsidRPr="00EE44BB" w:rsidRDefault="001E374C" w:rsidP="001E374C">
      <w:pPr>
        <w:pStyle w:val="Textoindependiente"/>
        <w:tabs>
          <w:tab w:val="left" w:pos="2410"/>
        </w:tabs>
        <w:rPr>
          <w:rFonts w:cs="Tahoma"/>
          <w:sz w:val="20"/>
        </w:rPr>
      </w:pPr>
    </w:p>
    <w:p w:rsidR="001E374C" w:rsidRPr="00EE44BB" w:rsidRDefault="001E374C" w:rsidP="001E374C">
      <w:pPr>
        <w:pStyle w:val="Textoindependiente"/>
        <w:numPr>
          <w:ilvl w:val="0"/>
          <w:numId w:val="3"/>
        </w:numPr>
        <w:tabs>
          <w:tab w:val="left" w:pos="2410"/>
        </w:tabs>
        <w:ind w:hanging="540"/>
        <w:rPr>
          <w:rFonts w:cs="Tahoma"/>
          <w:sz w:val="20"/>
        </w:rPr>
      </w:pPr>
      <w:r w:rsidRPr="00EE44BB">
        <w:rPr>
          <w:rFonts w:cs="Tahoma"/>
          <w:sz w:val="20"/>
        </w:rPr>
        <w:t>En el presente caso, el procedimiento administrativo sancionador se inició contra la Contratista por supuesta responsabilidad en la resolución del contrato de servicios de diseño de Metodología y Estándares para la Gestión de Proyectos, suscrito el 05.04.2005, por causa atribuible a su parte, infracción tipificada en el numeral 2 del artículo 294</w:t>
      </w:r>
      <w:r w:rsidRPr="00EE44BB">
        <w:rPr>
          <w:rStyle w:val="Refdenotaalpie"/>
          <w:rFonts w:cs="Tahoma"/>
          <w:sz w:val="20"/>
        </w:rPr>
        <w:footnoteReference w:id="5"/>
      </w:r>
      <w:r w:rsidRPr="00EE44BB">
        <w:rPr>
          <w:rFonts w:cs="Tahoma"/>
          <w:sz w:val="20"/>
        </w:rPr>
        <w:t xml:space="preserve"> del Reglamento de la Ley de Contrataciones y Adquisiciones del Estado, aprobado mediante Decreto Supremo N</w:t>
      </w:r>
      <w:proofErr w:type="gramStart"/>
      <w:r w:rsidRPr="00EE44BB">
        <w:rPr>
          <w:rFonts w:cs="Tahoma"/>
          <w:sz w:val="20"/>
        </w:rPr>
        <w:t>.º</w:t>
      </w:r>
      <w:proofErr w:type="gramEnd"/>
      <w:r w:rsidRPr="00EE44BB">
        <w:rPr>
          <w:rFonts w:cs="Tahoma"/>
          <w:sz w:val="20"/>
        </w:rPr>
        <w:t xml:space="preserve"> 084-2004-PCM. Sin embargo, de la revisión a la información proporcionada por la Entidad, el proceso de selección antes referido fue convocado el 28 de diciembre de 2004, en el marco normativo establecido de acuerdo al Texto Único Ordenado de la Ley de Contrataciones y Adquisiciones del Estado aprobado con Decreto  Supremo N</w:t>
      </w:r>
      <w:proofErr w:type="gramStart"/>
      <w:r w:rsidRPr="00EE44BB">
        <w:rPr>
          <w:rFonts w:cs="Tahoma"/>
          <w:sz w:val="20"/>
        </w:rPr>
        <w:t>.º</w:t>
      </w:r>
      <w:proofErr w:type="gramEnd"/>
      <w:r w:rsidRPr="00EE44BB">
        <w:rPr>
          <w:rFonts w:cs="Tahoma"/>
          <w:sz w:val="20"/>
        </w:rPr>
        <w:t xml:space="preserve"> 012-2001-PCM y su reglamento aprobado por Decreto Supremo N.º 013-2001-PCM,  norma vigente para el presente caso.</w:t>
      </w:r>
    </w:p>
    <w:p w:rsidR="001E374C" w:rsidRPr="00EE44BB" w:rsidRDefault="001E374C" w:rsidP="001E374C">
      <w:pPr>
        <w:pStyle w:val="Textoindependiente"/>
        <w:tabs>
          <w:tab w:val="left" w:pos="2410"/>
        </w:tabs>
        <w:rPr>
          <w:rFonts w:cs="Tahoma"/>
          <w:sz w:val="20"/>
          <w:highlight w:val="yellow"/>
        </w:rPr>
      </w:pPr>
    </w:p>
    <w:p w:rsidR="001E374C" w:rsidRPr="00EE44BB" w:rsidRDefault="001E374C" w:rsidP="001E374C">
      <w:pPr>
        <w:pStyle w:val="Textoindependiente"/>
        <w:numPr>
          <w:ilvl w:val="0"/>
          <w:numId w:val="3"/>
        </w:numPr>
        <w:tabs>
          <w:tab w:val="left" w:pos="2410"/>
        </w:tabs>
        <w:ind w:hanging="540"/>
        <w:rPr>
          <w:rFonts w:cs="Tahoma"/>
          <w:sz w:val="20"/>
        </w:rPr>
      </w:pPr>
      <w:r w:rsidRPr="00EE44BB">
        <w:rPr>
          <w:rFonts w:cs="Tahoma"/>
          <w:sz w:val="20"/>
        </w:rPr>
        <w:t>Al respecto, al haber detectado este Tribunal la imprecisión del marco legal señalado en el acto administrativo contendido en el Decreto de fecha 25 de octubre de 2006, es su obligación velar por la  aplicación  del Principio de Eficacia</w:t>
      </w:r>
      <w:r w:rsidRPr="00EE44BB">
        <w:rPr>
          <w:rStyle w:val="Refdenotaalpie"/>
          <w:rFonts w:cs="Tahoma"/>
          <w:sz w:val="20"/>
        </w:rPr>
        <w:footnoteReference w:id="6"/>
      </w:r>
      <w:r w:rsidRPr="00EE44BB">
        <w:rPr>
          <w:rFonts w:cs="Tahoma"/>
          <w:sz w:val="20"/>
        </w:rPr>
        <w:t xml:space="preserve"> consagrado en la Ley N.º 27444, Ley del Procedimiento </w:t>
      </w:r>
      <w:r w:rsidRPr="00EE44BB">
        <w:rPr>
          <w:rFonts w:cs="Tahoma"/>
          <w:sz w:val="20"/>
        </w:rPr>
        <w:lastRenderedPageBreak/>
        <w:t xml:space="preserve">Administrativos General, el cual señala que </w:t>
      </w:r>
      <w:r w:rsidRPr="00EE44BB">
        <w:rPr>
          <w:rFonts w:cs="Tahoma"/>
          <w:b/>
          <w:i/>
          <w:sz w:val="20"/>
        </w:rPr>
        <w:t>se debe hacer prevalecer el cumplimiento de la finalidad del acto procedimental, sobre aquellos formalismo cuya realización no incida en su validez, no determinen aspectos importantes en la decisión final, no disminuyan las garantías del procedimiento, ni causen indefensión a los administrados</w:t>
      </w:r>
      <w:r w:rsidRPr="00EE44BB">
        <w:rPr>
          <w:rFonts w:cs="Tahoma"/>
          <w:sz w:val="20"/>
        </w:rPr>
        <w:t xml:space="preserve"> (…) </w:t>
      </w:r>
    </w:p>
    <w:p w:rsidR="001E374C" w:rsidRPr="00EE44BB" w:rsidRDefault="001E374C" w:rsidP="001E374C">
      <w:pPr>
        <w:pStyle w:val="Textoindependiente"/>
        <w:tabs>
          <w:tab w:val="left" w:pos="2410"/>
        </w:tabs>
        <w:rPr>
          <w:rFonts w:cs="Tahoma"/>
          <w:sz w:val="20"/>
        </w:rPr>
      </w:pPr>
    </w:p>
    <w:p w:rsidR="001E374C" w:rsidRPr="00EE44BB" w:rsidRDefault="001E374C" w:rsidP="001E374C">
      <w:pPr>
        <w:pStyle w:val="Textoindependiente"/>
        <w:numPr>
          <w:ilvl w:val="0"/>
          <w:numId w:val="3"/>
        </w:numPr>
        <w:tabs>
          <w:tab w:val="left" w:pos="2410"/>
        </w:tabs>
        <w:ind w:hanging="540"/>
        <w:rPr>
          <w:rFonts w:cs="Tahoma"/>
          <w:sz w:val="20"/>
        </w:rPr>
      </w:pPr>
      <w:r w:rsidRPr="00EE44BB">
        <w:rPr>
          <w:rFonts w:cs="Tahoma"/>
          <w:sz w:val="20"/>
        </w:rPr>
        <w:t>Adicionalmente a ello, la Ley del Procedimiento Administrativo General posibilita a este Tribunal, la conservación del acto cuando el vicio del acto administrativo por el incumplimiento de uno de sus elementos de validez no sea trascendente, procediéndose a su enmienda. En éste procedimiento, la motivación del acto administrativo debió señalar expresamente la norma aplicable, Decreto  Supremo N.º 012-2001-PCM y Decreto Supremo N.º 013-2001-PCM, y la causal correcta (b,205), la cual, de haber sido invocada, habría tenido el mismo contenido y no hubiera impedido o cambiado el sentido de la decisión final en aspectos importantes, pues, de la revisión de los actuados, se puede verificar que la Contratista tuvo la posibilidad de presentar sus alegatos respectivos, y la no mención expresa de la norma aplicable debe entenderse como un acto emitido con motivación insuficiente o parcial, el cual, de acuerdo a la Ley N.º 27444</w:t>
      </w:r>
      <w:r w:rsidRPr="00EE44BB">
        <w:rPr>
          <w:rStyle w:val="Refdenotaalpie"/>
          <w:rFonts w:cs="Tahoma"/>
          <w:sz w:val="20"/>
        </w:rPr>
        <w:footnoteReference w:id="7"/>
      </w:r>
      <w:r w:rsidRPr="00EE44BB">
        <w:rPr>
          <w:rFonts w:cs="Tahoma"/>
          <w:sz w:val="20"/>
        </w:rPr>
        <w:t xml:space="preserve"> es considerado como un vicio no trascendente, pues no generó indefensión en el administrado y las consecuencias de la debida invocación normativa habrían sido las mismas ya generadas.</w:t>
      </w:r>
    </w:p>
    <w:p w:rsidR="001E374C" w:rsidRPr="00EE44BB" w:rsidRDefault="001E374C" w:rsidP="001E374C">
      <w:pPr>
        <w:pStyle w:val="Textoindependiente"/>
        <w:tabs>
          <w:tab w:val="left" w:pos="2410"/>
        </w:tabs>
        <w:rPr>
          <w:rFonts w:cs="Tahoma"/>
          <w:sz w:val="20"/>
        </w:rPr>
      </w:pPr>
    </w:p>
    <w:p w:rsidR="001E374C" w:rsidRPr="00EE44BB" w:rsidRDefault="001E374C" w:rsidP="001E374C">
      <w:pPr>
        <w:pStyle w:val="Textoindependiente"/>
        <w:numPr>
          <w:ilvl w:val="0"/>
          <w:numId w:val="3"/>
        </w:numPr>
        <w:tabs>
          <w:tab w:val="left" w:pos="2410"/>
        </w:tabs>
        <w:ind w:hanging="540"/>
        <w:rPr>
          <w:rFonts w:cs="Tahoma"/>
          <w:b/>
          <w:sz w:val="20"/>
          <w:u w:val="single"/>
        </w:rPr>
      </w:pPr>
      <w:r w:rsidRPr="00EE44BB">
        <w:rPr>
          <w:rFonts w:cs="Tahoma"/>
          <w:sz w:val="20"/>
        </w:rPr>
        <w:t>En virtud al marco legal antes señalado, y al haberse procedido a la conservación del inicio del procedimiento administrativo sancionador, debe emitirse el pronunciamiento respecto al análisis del literal b) del artículo 205</w:t>
      </w:r>
      <w:r w:rsidRPr="00EE44BB">
        <w:rPr>
          <w:rStyle w:val="Refdenotaalpie"/>
          <w:rFonts w:cs="Tahoma"/>
          <w:sz w:val="20"/>
        </w:rPr>
        <w:footnoteReference w:id="8"/>
      </w:r>
      <w:r w:rsidRPr="00EE44BB">
        <w:rPr>
          <w:rFonts w:cs="Tahoma"/>
          <w:sz w:val="20"/>
        </w:rPr>
        <w:t xml:space="preserve"> del Reglamento de la Ley de Contrataciones. </w:t>
      </w:r>
    </w:p>
    <w:p w:rsidR="001E374C" w:rsidRPr="00EE44BB" w:rsidRDefault="001E374C" w:rsidP="001E374C">
      <w:pPr>
        <w:pStyle w:val="Textoindependiente"/>
        <w:tabs>
          <w:tab w:val="left" w:pos="2410"/>
        </w:tabs>
        <w:rPr>
          <w:rFonts w:cs="Tahoma"/>
          <w:b/>
          <w:sz w:val="20"/>
          <w:highlight w:val="yellow"/>
          <w:u w:val="single"/>
        </w:rPr>
      </w:pPr>
    </w:p>
    <w:p w:rsidR="001E374C" w:rsidRPr="00EE44BB" w:rsidRDefault="001E374C" w:rsidP="001E374C">
      <w:pPr>
        <w:pStyle w:val="Textoindependiente"/>
        <w:numPr>
          <w:ilvl w:val="0"/>
          <w:numId w:val="3"/>
        </w:numPr>
        <w:tabs>
          <w:tab w:val="left" w:pos="2410"/>
        </w:tabs>
        <w:ind w:hanging="540"/>
        <w:rPr>
          <w:rFonts w:cs="Tahoma"/>
          <w:b/>
          <w:sz w:val="20"/>
          <w:u w:val="single"/>
        </w:rPr>
      </w:pPr>
      <w:r w:rsidRPr="00EE44BB">
        <w:rPr>
          <w:rFonts w:cs="Tahoma"/>
          <w:sz w:val="20"/>
        </w:rPr>
        <w:t xml:space="preserve">El presente procedimiento está referido a la supuesta responsabilidad de la  empresa </w:t>
      </w:r>
      <w:proofErr w:type="spellStart"/>
      <w:r w:rsidRPr="00EE44BB">
        <w:rPr>
          <w:rFonts w:cs="Tahoma"/>
          <w:sz w:val="20"/>
        </w:rPr>
        <w:t>Ernst</w:t>
      </w:r>
      <w:proofErr w:type="spellEnd"/>
      <w:r w:rsidRPr="00EE44BB">
        <w:rPr>
          <w:rFonts w:cs="Tahoma"/>
          <w:sz w:val="20"/>
        </w:rPr>
        <w:t xml:space="preserve"> &amp; Young Asesores S. Civil de R. L.  por incumplir injustificadamente las obligaciones derivadas del Contrato N</w:t>
      </w:r>
      <w:proofErr w:type="gramStart"/>
      <w:r w:rsidRPr="00EE44BB">
        <w:rPr>
          <w:rFonts w:cs="Tahoma"/>
          <w:sz w:val="20"/>
        </w:rPr>
        <w:t>.º</w:t>
      </w:r>
      <w:proofErr w:type="gramEnd"/>
      <w:r w:rsidRPr="00EE44BB">
        <w:rPr>
          <w:rFonts w:cs="Tahoma"/>
          <w:sz w:val="20"/>
        </w:rPr>
        <w:t xml:space="preserve"> 02-S28-029-04-001-046/05 de fecha 05 de abril de 2005 dando lugar a que este se resuelva; infracción tipificada en literal b) del artículo 205 del Reglamento de la Ley de Contrataciones y Adquisiciones del Estado, aprobado por Decreto Supremo N.° 013-2001-PCM, en adelante el Reglamento, norma vigente al suscitarse los hechos imputados.</w:t>
      </w:r>
    </w:p>
    <w:p w:rsidR="001E374C" w:rsidRPr="00EE44BB" w:rsidRDefault="001E374C" w:rsidP="001E374C">
      <w:pPr>
        <w:jc w:val="both"/>
        <w:rPr>
          <w:rFonts w:ascii="Tahoma" w:hAnsi="Tahoma" w:cs="Tahoma"/>
        </w:rPr>
      </w:pPr>
    </w:p>
    <w:p w:rsidR="001E374C" w:rsidRPr="00EE44BB" w:rsidRDefault="001E374C" w:rsidP="001E374C">
      <w:pPr>
        <w:numPr>
          <w:ilvl w:val="0"/>
          <w:numId w:val="3"/>
        </w:numPr>
        <w:ind w:hanging="540"/>
        <w:jc w:val="both"/>
        <w:rPr>
          <w:rFonts w:ascii="Tahoma" w:hAnsi="Tahoma" w:cs="Tahoma"/>
        </w:rPr>
      </w:pPr>
      <w:r w:rsidRPr="00EE44BB">
        <w:rPr>
          <w:rFonts w:ascii="Tahoma" w:hAnsi="Tahoma" w:cs="Tahoma"/>
        </w:rPr>
        <w:t>La infracción tipificada en el literal b) del artículo 205 del Reglamento vigente ha establecido como supuesto de hecho indispensable para su configuración, la resolución del contrato, orden de compra o de servicios, según corresponda, por causal atribuible a los contratistas.</w:t>
      </w:r>
    </w:p>
    <w:p w:rsidR="001E374C" w:rsidRPr="00EE44BB" w:rsidRDefault="001E374C" w:rsidP="001E374C">
      <w:pPr>
        <w:tabs>
          <w:tab w:val="num" w:pos="720"/>
        </w:tabs>
        <w:jc w:val="both"/>
        <w:rPr>
          <w:rFonts w:ascii="Tahoma" w:hAnsi="Tahoma" w:cs="Tahoma"/>
        </w:rPr>
      </w:pPr>
    </w:p>
    <w:p w:rsidR="001E374C" w:rsidRPr="00EE44BB" w:rsidRDefault="001E374C" w:rsidP="001E374C">
      <w:pPr>
        <w:numPr>
          <w:ilvl w:val="0"/>
          <w:numId w:val="3"/>
        </w:numPr>
        <w:ind w:hanging="540"/>
        <w:jc w:val="both"/>
        <w:rPr>
          <w:rFonts w:ascii="Tahoma" w:hAnsi="Tahoma" w:cs="Tahoma"/>
        </w:rPr>
      </w:pPr>
      <w:r w:rsidRPr="00EE44BB">
        <w:rPr>
          <w:rFonts w:ascii="Tahoma" w:hAnsi="Tahoma" w:cs="Tahoma"/>
        </w:rPr>
        <w:t>Sobre el particular, el artículo 143 del Reglamento dispone que la Entidad podrá resolver el contrato, de conformidad con el inciso c) del artículo 41 del Texto Único Ordenado de la Ley de Contrataciones y Adquisiciones del Estado, aprobado mediante Decreto Supremo N</w:t>
      </w:r>
      <w:proofErr w:type="gramStart"/>
      <w:r w:rsidRPr="00EE44BB">
        <w:rPr>
          <w:rFonts w:ascii="Tahoma" w:hAnsi="Tahoma" w:cs="Tahoma"/>
        </w:rPr>
        <w:t>.º</w:t>
      </w:r>
      <w:proofErr w:type="gramEnd"/>
      <w:r w:rsidRPr="00EE44BB">
        <w:rPr>
          <w:rFonts w:ascii="Tahoma" w:hAnsi="Tahoma" w:cs="Tahoma"/>
        </w:rPr>
        <w:t xml:space="preserve"> 013-2001-PCM, en adelante la Ley, cuando los contratistas incumplan injustificadamente obligaciones contractuales, legales o reglamentarias a su cargo, pese a haber sido requeridos para ello.</w:t>
      </w:r>
    </w:p>
    <w:p w:rsidR="001E374C" w:rsidRPr="00EE44BB" w:rsidRDefault="001E374C" w:rsidP="001E374C">
      <w:pPr>
        <w:jc w:val="both"/>
        <w:rPr>
          <w:rFonts w:ascii="Tahoma" w:hAnsi="Tahoma" w:cs="Tahoma"/>
        </w:rPr>
      </w:pPr>
    </w:p>
    <w:p w:rsidR="001E374C" w:rsidRPr="00EE44BB" w:rsidRDefault="001E374C" w:rsidP="001E374C">
      <w:pPr>
        <w:numPr>
          <w:ilvl w:val="0"/>
          <w:numId w:val="3"/>
        </w:numPr>
        <w:ind w:hanging="540"/>
        <w:jc w:val="both"/>
        <w:rPr>
          <w:rFonts w:ascii="Tahoma" w:hAnsi="Tahoma" w:cs="Tahoma"/>
        </w:rPr>
      </w:pPr>
      <w:r w:rsidRPr="00EE44BB">
        <w:rPr>
          <w:rFonts w:ascii="Tahoma" w:hAnsi="Tahoma" w:cs="Tahoma"/>
        </w:rPr>
        <w:t xml:space="preserve">El procedimiento de resolución contractual ha sido previsto en el artículo 144 del Reglamento, el cual dispone que en </w:t>
      </w:r>
      <w:r w:rsidRPr="00EE44BB">
        <w:rPr>
          <w:rFonts w:ascii="Tahoma" w:hAnsi="Tahoma" w:cs="Tahoma"/>
          <w:lang w:val="es-ES_tradnl"/>
        </w:rPr>
        <w:t xml:space="preserve">caso de incumplimiento contractual, la parte afectada requerirá a la otra notarialmente para que satisfaga sus obligaciones en un plazo no menor a dos (2),  ni mayor a quince (15) días, dependiendo del monto involucrado y de la complejidad, envergadura o sofisticación de la adquisición o contratación y, en el caso de obra, para que las satisfaga dentro de un plazo de quince días, bajo apercibimiento de que el contrato quede resuelto de pleno derecho. Si vencido el plazo el incumplimiento continúa, la parte perjudicada mediante carta notarial, resolverá el contrato en forma total o parcial. </w:t>
      </w:r>
    </w:p>
    <w:p w:rsidR="001E374C" w:rsidRPr="00EE44BB" w:rsidRDefault="001E374C" w:rsidP="001E374C">
      <w:pPr>
        <w:jc w:val="both"/>
        <w:rPr>
          <w:rFonts w:ascii="Tahoma" w:hAnsi="Tahoma" w:cs="Tahoma"/>
        </w:rPr>
      </w:pPr>
    </w:p>
    <w:p w:rsidR="001E374C" w:rsidRPr="00EE44BB" w:rsidRDefault="001E374C" w:rsidP="001E374C">
      <w:pPr>
        <w:ind w:left="360"/>
        <w:jc w:val="both"/>
        <w:rPr>
          <w:rFonts w:ascii="Tahoma" w:hAnsi="Tahoma" w:cs="Tahoma"/>
        </w:rPr>
      </w:pPr>
      <w:r w:rsidRPr="00EE44BB">
        <w:rPr>
          <w:rFonts w:ascii="Tahoma" w:hAnsi="Tahoma" w:cs="Tahoma"/>
          <w:lang w:val="es-ES_tradnl"/>
        </w:rPr>
        <w:t xml:space="preserve">El cumplimiento de este procedimiento es </w:t>
      </w:r>
      <w:r w:rsidRPr="00EE44BB">
        <w:rPr>
          <w:rFonts w:ascii="Tahoma" w:hAnsi="Tahoma" w:cs="Tahoma"/>
          <w:b/>
          <w:i/>
          <w:lang w:val="es-ES_tradnl"/>
        </w:rPr>
        <w:t>condición necesaria</w:t>
      </w:r>
      <w:r w:rsidRPr="00EE44BB">
        <w:rPr>
          <w:rFonts w:ascii="Tahoma" w:hAnsi="Tahoma" w:cs="Tahoma"/>
          <w:lang w:val="es-ES_tradnl"/>
        </w:rPr>
        <w:t xml:space="preserve"> para evaluar la existencia   de eventuales responsabilidades de carácter administrativo.</w:t>
      </w:r>
    </w:p>
    <w:p w:rsidR="001E374C" w:rsidRPr="00EE44BB" w:rsidRDefault="001E374C" w:rsidP="001E374C">
      <w:pPr>
        <w:ind w:left="360"/>
        <w:jc w:val="both"/>
        <w:rPr>
          <w:rFonts w:ascii="Tahoma" w:hAnsi="Tahoma" w:cs="Tahoma"/>
        </w:rPr>
      </w:pPr>
    </w:p>
    <w:p w:rsidR="001E374C" w:rsidRPr="00EE44BB" w:rsidRDefault="001E374C" w:rsidP="001E374C">
      <w:pPr>
        <w:numPr>
          <w:ilvl w:val="0"/>
          <w:numId w:val="3"/>
        </w:numPr>
        <w:ind w:hanging="540"/>
        <w:jc w:val="both"/>
        <w:rPr>
          <w:rFonts w:ascii="Tahoma" w:hAnsi="Tahoma" w:cs="Tahoma"/>
        </w:rPr>
      </w:pPr>
      <w:r w:rsidRPr="00EE44BB">
        <w:rPr>
          <w:rFonts w:ascii="Tahoma" w:hAnsi="Tahoma" w:cs="Tahoma"/>
          <w:lang w:val="es-MX"/>
        </w:rPr>
        <w:t xml:space="preserve">De la revisión a los antecedentes, se aprecia que la Contratista fue válidamente requerida para el cumplimiento de sus obligaciones mediante la </w:t>
      </w:r>
      <w:r w:rsidRPr="00EE44BB">
        <w:rPr>
          <w:rFonts w:ascii="Tahoma" w:hAnsi="Tahoma" w:cs="Tahoma"/>
        </w:rPr>
        <w:t>Carta Notarial N.º 095-2005-GD/ONP de fecha 19 de julio de 2005, con la cual, la Entidad le señaló que todos los documentos relacionados al proceso de selección referido, satisfacen los conceptos del PMI  a efectos de ejecutar el servicio para el diseño de una metodología y estándares de gestión de proyectos  y  control de proveedores, razón por la cual, se le requirió retomar las actividades del servicio en un plazo de quince  (15) días, bajo apercibimiento de resolver el contrato.</w:t>
      </w:r>
    </w:p>
    <w:p w:rsidR="001E374C" w:rsidRPr="00EE44BB" w:rsidRDefault="001E374C" w:rsidP="001E374C">
      <w:pPr>
        <w:ind w:left="360"/>
        <w:jc w:val="both"/>
        <w:rPr>
          <w:rFonts w:ascii="Tahoma" w:hAnsi="Tahoma" w:cs="Tahoma"/>
        </w:rPr>
      </w:pPr>
    </w:p>
    <w:p w:rsidR="001E374C" w:rsidRPr="00EE44BB" w:rsidRDefault="001E374C" w:rsidP="001E374C">
      <w:pPr>
        <w:numPr>
          <w:ilvl w:val="0"/>
          <w:numId w:val="3"/>
        </w:numPr>
        <w:ind w:hanging="540"/>
        <w:jc w:val="both"/>
        <w:rPr>
          <w:rFonts w:ascii="Tahoma" w:hAnsi="Tahoma" w:cs="Tahoma"/>
        </w:rPr>
      </w:pPr>
      <w:r w:rsidRPr="00EE44BB">
        <w:rPr>
          <w:rFonts w:ascii="Tahoma" w:hAnsi="Tahoma" w:cs="Tahoma"/>
          <w:lang w:val="es-MX"/>
        </w:rPr>
        <w:t xml:space="preserve"> En virtud a dicho requerimiento, mediante</w:t>
      </w:r>
      <w:r w:rsidRPr="00EE44BB">
        <w:rPr>
          <w:rFonts w:ascii="Tahoma" w:hAnsi="Tahoma" w:cs="Tahoma"/>
        </w:rPr>
        <w:t xml:space="preserve"> Carta Notarial de fecha 26 de julio de 2005, la empresa contratista  se ratificó en la imposibilidad de llevar a cabo las prestaciones previamente adquiridas, por tal motivo, con escrito  de fecha 01 de agosto de 2005 solicitó someter la controversia a procedimiento arbitral. En virtud a ello, </w:t>
      </w:r>
      <w:r w:rsidRPr="00EE44BB">
        <w:rPr>
          <w:rFonts w:ascii="Tahoma" w:hAnsi="Tahoma" w:cs="Tahoma"/>
          <w:lang w:val="es-MX"/>
        </w:rPr>
        <w:t xml:space="preserve"> habiéndose realizado dicho requerimiento, la Entidad procedió a resolver </w:t>
      </w:r>
      <w:proofErr w:type="spellStart"/>
      <w:r w:rsidRPr="00EE44BB">
        <w:rPr>
          <w:rFonts w:ascii="Tahoma" w:hAnsi="Tahoma" w:cs="Tahoma"/>
          <w:lang w:val="es-MX"/>
        </w:rPr>
        <w:t>validamente</w:t>
      </w:r>
      <w:proofErr w:type="spellEnd"/>
      <w:r w:rsidRPr="00EE44BB">
        <w:rPr>
          <w:rFonts w:ascii="Tahoma" w:hAnsi="Tahoma" w:cs="Tahoma"/>
          <w:lang w:val="es-MX"/>
        </w:rPr>
        <w:t xml:space="preserve"> el contrato mediante </w:t>
      </w:r>
      <w:r w:rsidRPr="00EE44BB">
        <w:rPr>
          <w:rFonts w:ascii="Tahoma" w:hAnsi="Tahoma" w:cs="Tahoma"/>
        </w:rPr>
        <w:t>Carta Notarial de fecha 02 de setiembre de 2005</w:t>
      </w:r>
      <w:r w:rsidRPr="00EE44BB">
        <w:rPr>
          <w:rStyle w:val="Refdenotaalpie"/>
          <w:rFonts w:ascii="Tahoma" w:hAnsi="Tahoma" w:cs="Tahoma"/>
        </w:rPr>
        <w:footnoteReference w:id="9"/>
      </w:r>
      <w:r w:rsidRPr="00EE44BB">
        <w:rPr>
          <w:rFonts w:ascii="Tahoma" w:hAnsi="Tahoma" w:cs="Tahoma"/>
        </w:rPr>
        <w:t xml:space="preserve">, </w:t>
      </w:r>
      <w:proofErr w:type="spellStart"/>
      <w:r w:rsidRPr="00EE44BB">
        <w:rPr>
          <w:rFonts w:ascii="Tahoma" w:hAnsi="Tahoma" w:cs="Tahoma"/>
        </w:rPr>
        <w:t>recepcionado</w:t>
      </w:r>
      <w:proofErr w:type="spellEnd"/>
      <w:r w:rsidRPr="00EE44BB">
        <w:rPr>
          <w:rFonts w:ascii="Tahoma" w:hAnsi="Tahoma" w:cs="Tahoma"/>
        </w:rPr>
        <w:t xml:space="preserve"> el 05 de setiembre de 2005 por la Contratista.</w:t>
      </w:r>
    </w:p>
    <w:p w:rsidR="001E374C" w:rsidRPr="00EE44BB" w:rsidRDefault="001E374C" w:rsidP="001E374C">
      <w:pPr>
        <w:ind w:left="180"/>
        <w:jc w:val="both"/>
        <w:rPr>
          <w:rFonts w:ascii="Tahoma" w:hAnsi="Tahoma" w:cs="Tahoma"/>
        </w:rPr>
      </w:pPr>
    </w:p>
    <w:p w:rsidR="001E374C" w:rsidRPr="00EE44BB" w:rsidRDefault="001E374C" w:rsidP="001E374C">
      <w:pPr>
        <w:numPr>
          <w:ilvl w:val="0"/>
          <w:numId w:val="3"/>
        </w:numPr>
        <w:ind w:hanging="540"/>
        <w:jc w:val="both"/>
        <w:rPr>
          <w:rFonts w:ascii="Tahoma" w:hAnsi="Tahoma" w:cs="Tahoma"/>
        </w:rPr>
      </w:pPr>
      <w:r w:rsidRPr="00EE44BB">
        <w:rPr>
          <w:rFonts w:ascii="Tahoma" w:hAnsi="Tahoma" w:cs="Tahoma"/>
        </w:rPr>
        <w:t>E</w:t>
      </w:r>
      <w:r w:rsidRPr="00EE44BB">
        <w:rPr>
          <w:rFonts w:ascii="Tahoma" w:hAnsi="Tahoma" w:cs="Tahoma"/>
          <w:lang w:val="es-ES_tradnl"/>
        </w:rPr>
        <w:t xml:space="preserve">n razón a lo expuesto, habiéndose acreditado que la </w:t>
      </w:r>
      <w:r w:rsidRPr="00EE44BB">
        <w:rPr>
          <w:rFonts w:ascii="Tahoma" w:hAnsi="Tahoma" w:cs="Tahoma"/>
        </w:rPr>
        <w:t xml:space="preserve">Entidad requirió válidamente a la contratista para que cumpla sus obligaciones, corresponde a este Colegiado verificar si dicho incumplimiento se debió a causa justificada, situación que haya imposibilitado fehacientemente  la realización de las obligaciones previamente adquiridas,  </w:t>
      </w:r>
      <w:r w:rsidRPr="00EE44BB">
        <w:rPr>
          <w:rFonts w:ascii="Tahoma" w:hAnsi="Tahoma" w:cs="Tahoma"/>
          <w:lang w:val="es-ES_tradnl"/>
        </w:rPr>
        <w:t xml:space="preserve">en tanto que solamente el incumplimiento que obedece a causas injustificadas es sancionable administrativamente. </w:t>
      </w:r>
    </w:p>
    <w:p w:rsidR="001E374C" w:rsidRPr="00EE44BB" w:rsidRDefault="001E374C" w:rsidP="001E374C">
      <w:pPr>
        <w:jc w:val="both"/>
        <w:rPr>
          <w:rFonts w:ascii="Tahoma" w:hAnsi="Tahoma" w:cs="Tahoma"/>
          <w:lang w:val="es-ES_tradnl"/>
        </w:rPr>
      </w:pPr>
    </w:p>
    <w:p w:rsidR="001E374C" w:rsidRPr="00EE44BB" w:rsidRDefault="001E374C" w:rsidP="001E374C">
      <w:pPr>
        <w:numPr>
          <w:ilvl w:val="0"/>
          <w:numId w:val="3"/>
        </w:numPr>
        <w:ind w:hanging="540"/>
        <w:jc w:val="both"/>
        <w:rPr>
          <w:rFonts w:ascii="Tahoma" w:hAnsi="Tahoma" w:cs="Tahoma"/>
        </w:rPr>
      </w:pPr>
      <w:r w:rsidRPr="00EE44BB">
        <w:rPr>
          <w:rFonts w:ascii="Tahoma" w:hAnsi="Tahoma" w:cs="Tahoma"/>
          <w:lang w:val="es-ES_tradnl"/>
        </w:rPr>
        <w:t xml:space="preserve">Al respecto, habiéndose sometido la controversia surgida a un proceso arbitral, corresponde a este Órgano Colegiado dar cumplimiento estricto a lo resuelto en el Laudo Arbitral en virtud a las </w:t>
      </w:r>
      <w:r w:rsidRPr="00EE44BB">
        <w:rPr>
          <w:rFonts w:ascii="Tahoma" w:hAnsi="Tahoma" w:cs="Tahoma"/>
          <w:lang w:val="es-ES_tradnl"/>
        </w:rPr>
        <w:lastRenderedPageBreak/>
        <w:t>pretensiones planteadas durante dicho proceso. En tal sentido, debe señalarse que las pretensiones planteadas por ambas partes fueron las siguientes:</w:t>
      </w:r>
    </w:p>
    <w:p w:rsidR="001E374C" w:rsidRPr="00EE44BB" w:rsidRDefault="001E374C" w:rsidP="001E374C">
      <w:pPr>
        <w:jc w:val="both"/>
        <w:rPr>
          <w:rFonts w:ascii="Tahoma" w:hAnsi="Tahoma" w:cs="Tahoma"/>
        </w:rPr>
      </w:pPr>
    </w:p>
    <w:p w:rsidR="001E374C" w:rsidRPr="00EE44BB" w:rsidRDefault="001E374C" w:rsidP="001E374C">
      <w:pPr>
        <w:ind w:left="720"/>
        <w:jc w:val="both"/>
        <w:rPr>
          <w:rFonts w:ascii="Tahoma" w:hAnsi="Tahoma" w:cs="Tahoma"/>
          <w:b/>
        </w:rPr>
      </w:pPr>
      <w:r w:rsidRPr="00EE44BB">
        <w:rPr>
          <w:rFonts w:ascii="Tahoma" w:hAnsi="Tahoma" w:cs="Tahoma"/>
          <w:b/>
        </w:rPr>
        <w:t>Pretensiones presentadas por la empresa Contratista:</w:t>
      </w:r>
    </w:p>
    <w:p w:rsidR="001E374C" w:rsidRPr="00EE44BB" w:rsidRDefault="001E374C" w:rsidP="001E374C">
      <w:pPr>
        <w:ind w:left="720"/>
        <w:jc w:val="both"/>
        <w:rPr>
          <w:rFonts w:ascii="Tahoma" w:hAnsi="Tahoma" w:cs="Tahoma"/>
        </w:rPr>
      </w:pPr>
    </w:p>
    <w:p w:rsidR="001E374C" w:rsidRPr="00EE44BB" w:rsidRDefault="001E374C" w:rsidP="001E374C">
      <w:pPr>
        <w:numPr>
          <w:ilvl w:val="0"/>
          <w:numId w:val="4"/>
        </w:numPr>
        <w:jc w:val="both"/>
        <w:rPr>
          <w:rFonts w:ascii="Tahoma" w:hAnsi="Tahoma" w:cs="Tahoma"/>
        </w:rPr>
      </w:pPr>
      <w:r w:rsidRPr="00EE44BB">
        <w:rPr>
          <w:rFonts w:ascii="Tahoma" w:hAnsi="Tahoma" w:cs="Tahoma"/>
          <w:b/>
        </w:rPr>
        <w:t>Pretensión Primera Principal.-</w:t>
      </w:r>
      <w:r w:rsidRPr="00EE44BB">
        <w:rPr>
          <w:rFonts w:ascii="Tahoma" w:hAnsi="Tahoma" w:cs="Tahoma"/>
        </w:rPr>
        <w:t xml:space="preserve"> Se declar</w:t>
      </w:r>
      <w:r>
        <w:rPr>
          <w:rFonts w:ascii="Tahoma" w:hAnsi="Tahoma" w:cs="Tahoma"/>
        </w:rPr>
        <w:t>e</w:t>
      </w:r>
      <w:r w:rsidRPr="00EE44BB">
        <w:rPr>
          <w:rFonts w:ascii="Tahoma" w:hAnsi="Tahoma" w:cs="Tahoma"/>
        </w:rPr>
        <w:t xml:space="preserve"> la nulidad del contrato de fecha 05 de abril de 2005 por imposibilidad originaria en su ejecución, por causa imputable a la Entidad.</w:t>
      </w:r>
    </w:p>
    <w:p w:rsidR="001E374C" w:rsidRPr="00EE44BB" w:rsidRDefault="001E374C" w:rsidP="001E374C">
      <w:pPr>
        <w:numPr>
          <w:ilvl w:val="0"/>
          <w:numId w:val="4"/>
        </w:numPr>
        <w:jc w:val="both"/>
        <w:rPr>
          <w:rFonts w:ascii="Tahoma" w:hAnsi="Tahoma" w:cs="Tahoma"/>
        </w:rPr>
      </w:pPr>
      <w:r w:rsidRPr="00EE44BB">
        <w:rPr>
          <w:rFonts w:ascii="Tahoma" w:hAnsi="Tahoma" w:cs="Tahoma"/>
          <w:b/>
        </w:rPr>
        <w:t>Pretensión Primera Subordinada</w:t>
      </w:r>
      <w:r>
        <w:rPr>
          <w:rFonts w:ascii="Tahoma" w:hAnsi="Tahoma" w:cs="Tahoma"/>
        </w:rPr>
        <w:t>.- Se declare</w:t>
      </w:r>
      <w:r w:rsidRPr="00EE44BB">
        <w:rPr>
          <w:rFonts w:ascii="Tahoma" w:hAnsi="Tahoma" w:cs="Tahoma"/>
        </w:rPr>
        <w:t xml:space="preserve"> la nulidad del contrato de fecha 05 de abril de 2005 por imposibilidad originaria en su ejecución, por causa no imputable  a las partes.</w:t>
      </w:r>
    </w:p>
    <w:p w:rsidR="001E374C" w:rsidRPr="00EE44BB" w:rsidRDefault="001E374C" w:rsidP="001E374C">
      <w:pPr>
        <w:numPr>
          <w:ilvl w:val="0"/>
          <w:numId w:val="4"/>
        </w:numPr>
        <w:jc w:val="both"/>
        <w:rPr>
          <w:rFonts w:ascii="Tahoma" w:hAnsi="Tahoma" w:cs="Tahoma"/>
        </w:rPr>
      </w:pPr>
      <w:r w:rsidRPr="00EE44BB">
        <w:rPr>
          <w:rFonts w:ascii="Tahoma" w:hAnsi="Tahoma" w:cs="Tahoma"/>
          <w:b/>
        </w:rPr>
        <w:t>Pretensión Segunda Subordinada.-</w:t>
      </w:r>
      <w:r w:rsidRPr="00EE44BB">
        <w:rPr>
          <w:rFonts w:ascii="Tahoma" w:hAnsi="Tahoma" w:cs="Tahoma"/>
        </w:rPr>
        <w:t xml:space="preserve"> Se declar</w:t>
      </w:r>
      <w:r>
        <w:rPr>
          <w:rFonts w:ascii="Tahoma" w:hAnsi="Tahoma" w:cs="Tahoma"/>
        </w:rPr>
        <w:t>e</w:t>
      </w:r>
      <w:r w:rsidRPr="00EE44BB">
        <w:rPr>
          <w:rFonts w:ascii="Tahoma" w:hAnsi="Tahoma" w:cs="Tahoma"/>
        </w:rPr>
        <w:t xml:space="preserve"> la nulidad del contrato de fecha 05 de abril de 2005 por imposibilidad sobreviviente de la prestación por causa imputable a la Entidad.</w:t>
      </w:r>
    </w:p>
    <w:p w:rsidR="001E374C" w:rsidRPr="00EE44BB" w:rsidRDefault="001E374C" w:rsidP="001E374C">
      <w:pPr>
        <w:numPr>
          <w:ilvl w:val="0"/>
          <w:numId w:val="4"/>
        </w:numPr>
        <w:jc w:val="both"/>
        <w:rPr>
          <w:rFonts w:ascii="Tahoma" w:hAnsi="Tahoma" w:cs="Tahoma"/>
        </w:rPr>
      </w:pPr>
      <w:r w:rsidRPr="00EE44BB">
        <w:rPr>
          <w:rFonts w:ascii="Tahoma" w:hAnsi="Tahoma" w:cs="Tahoma"/>
          <w:b/>
        </w:rPr>
        <w:t>Pretensión Tercera Subordinada.-</w:t>
      </w:r>
      <w:r>
        <w:rPr>
          <w:rFonts w:ascii="Tahoma" w:hAnsi="Tahoma" w:cs="Tahoma"/>
        </w:rPr>
        <w:t xml:space="preserve"> Se declare</w:t>
      </w:r>
      <w:r w:rsidRPr="00EE44BB">
        <w:rPr>
          <w:rFonts w:ascii="Tahoma" w:hAnsi="Tahoma" w:cs="Tahoma"/>
        </w:rPr>
        <w:t xml:space="preserve"> la nulidad del contrato de fecha 05 de abril de 2005 por imposibilidad sobreviviente de la prestación por causa no imputable a las partes.</w:t>
      </w:r>
    </w:p>
    <w:p w:rsidR="001E374C" w:rsidRPr="00EE44BB" w:rsidRDefault="001E374C" w:rsidP="001E374C">
      <w:pPr>
        <w:numPr>
          <w:ilvl w:val="0"/>
          <w:numId w:val="4"/>
        </w:numPr>
        <w:jc w:val="both"/>
        <w:rPr>
          <w:rFonts w:ascii="Tahoma" w:hAnsi="Tahoma" w:cs="Tahoma"/>
        </w:rPr>
      </w:pPr>
      <w:r w:rsidRPr="00EE44BB">
        <w:rPr>
          <w:rFonts w:ascii="Tahoma" w:hAnsi="Tahoma" w:cs="Tahoma"/>
          <w:b/>
        </w:rPr>
        <w:t>Primera Pretensión Accesoria de la principal.-</w:t>
      </w:r>
      <w:r w:rsidRPr="00EE44BB">
        <w:rPr>
          <w:rFonts w:ascii="Tahoma" w:hAnsi="Tahoma" w:cs="Tahoma"/>
        </w:rPr>
        <w:t xml:space="preserve"> Que la entidad restituya las garantías de fiel cumplimiento y adicional por el monto diferencial de la propuesta entregadas por la contratista.</w:t>
      </w:r>
    </w:p>
    <w:p w:rsidR="001E374C" w:rsidRPr="00EE44BB" w:rsidRDefault="001E374C" w:rsidP="001E374C">
      <w:pPr>
        <w:numPr>
          <w:ilvl w:val="0"/>
          <w:numId w:val="4"/>
        </w:numPr>
        <w:jc w:val="both"/>
        <w:rPr>
          <w:rFonts w:ascii="Tahoma" w:hAnsi="Tahoma" w:cs="Tahoma"/>
        </w:rPr>
      </w:pPr>
      <w:r w:rsidRPr="00EE44BB">
        <w:rPr>
          <w:rFonts w:ascii="Tahoma" w:hAnsi="Tahoma" w:cs="Tahoma"/>
          <w:b/>
        </w:rPr>
        <w:t>Segunda Pretensión Accesoria de la principal y de la primera y tercera subordinada.-</w:t>
      </w:r>
      <w:r w:rsidRPr="00EE44BB">
        <w:rPr>
          <w:rFonts w:ascii="Tahoma" w:hAnsi="Tahoma" w:cs="Tahoma"/>
        </w:rPr>
        <w:t xml:space="preserve"> Que la entidad pague a la empresa contratista la suma de US $ 40,737.00 dólares americanos en vía de restitución de prestaciones por las actividades realizadas.</w:t>
      </w:r>
    </w:p>
    <w:p w:rsidR="001E374C" w:rsidRPr="00EE44BB" w:rsidRDefault="001E374C" w:rsidP="001E374C">
      <w:pPr>
        <w:numPr>
          <w:ilvl w:val="0"/>
          <w:numId w:val="4"/>
        </w:numPr>
        <w:jc w:val="both"/>
        <w:rPr>
          <w:rFonts w:ascii="Tahoma" w:hAnsi="Tahoma" w:cs="Tahoma"/>
        </w:rPr>
      </w:pPr>
      <w:r w:rsidRPr="00EE44BB">
        <w:rPr>
          <w:rFonts w:ascii="Tahoma" w:hAnsi="Tahoma" w:cs="Tahoma"/>
          <w:b/>
        </w:rPr>
        <w:t>Segunda Accesoria de la segunda subordinada.</w:t>
      </w:r>
      <w:r w:rsidRPr="00EE44BB">
        <w:rPr>
          <w:rFonts w:ascii="Tahoma" w:hAnsi="Tahoma" w:cs="Tahoma"/>
        </w:rPr>
        <w:t>- Que la Entidad pague a la empresa contratista la suma de S/. 667, 585.70 Nuevos Soles por contraprestación en calidad de indemnización.</w:t>
      </w:r>
    </w:p>
    <w:p w:rsidR="001E374C" w:rsidRPr="00EE44BB" w:rsidRDefault="001E374C" w:rsidP="001E374C">
      <w:pPr>
        <w:numPr>
          <w:ilvl w:val="0"/>
          <w:numId w:val="4"/>
        </w:numPr>
        <w:jc w:val="both"/>
        <w:rPr>
          <w:rFonts w:ascii="Tahoma" w:hAnsi="Tahoma" w:cs="Tahoma"/>
        </w:rPr>
      </w:pPr>
      <w:r w:rsidRPr="00EE44BB">
        <w:rPr>
          <w:rFonts w:ascii="Tahoma" w:hAnsi="Tahoma" w:cs="Tahoma"/>
          <w:b/>
        </w:rPr>
        <w:t>Pretensión accesoria a la segunda accesoria de la principal y todas las subordinadas</w:t>
      </w:r>
      <w:r w:rsidRPr="00EE44BB">
        <w:rPr>
          <w:rFonts w:ascii="Tahoma" w:hAnsi="Tahoma" w:cs="Tahoma"/>
        </w:rPr>
        <w:t>.- Que la Entidad pague a la empresa contratista los intereses moratorios derivados del pago que la primera debe efectuar en vía de restitución de prestaciones.</w:t>
      </w:r>
    </w:p>
    <w:p w:rsidR="001E374C" w:rsidRPr="00EE44BB" w:rsidRDefault="001E374C" w:rsidP="001E374C">
      <w:pPr>
        <w:numPr>
          <w:ilvl w:val="0"/>
          <w:numId w:val="4"/>
        </w:numPr>
        <w:jc w:val="both"/>
        <w:rPr>
          <w:rFonts w:ascii="Tahoma" w:hAnsi="Tahoma" w:cs="Tahoma"/>
        </w:rPr>
      </w:pPr>
      <w:r w:rsidRPr="00EE44BB">
        <w:rPr>
          <w:rFonts w:ascii="Tahoma" w:hAnsi="Tahoma" w:cs="Tahoma"/>
          <w:b/>
        </w:rPr>
        <w:t>Segunda Pretensión Principal.-</w:t>
      </w:r>
      <w:r w:rsidRPr="00EE44BB">
        <w:rPr>
          <w:rFonts w:ascii="Tahoma" w:hAnsi="Tahoma" w:cs="Tahoma"/>
        </w:rPr>
        <w:t xml:space="preserve"> Que se declare improcedente la resolución del contrato efectuada por la Entidad por supuesto incumplimiento de las obligaciones a cargo de la empresa contratista.</w:t>
      </w:r>
    </w:p>
    <w:p w:rsidR="001E374C" w:rsidRPr="00EE44BB" w:rsidRDefault="001E374C" w:rsidP="001E374C">
      <w:pPr>
        <w:numPr>
          <w:ilvl w:val="0"/>
          <w:numId w:val="4"/>
        </w:numPr>
        <w:jc w:val="both"/>
        <w:rPr>
          <w:rFonts w:ascii="Tahoma" w:hAnsi="Tahoma" w:cs="Tahoma"/>
        </w:rPr>
      </w:pPr>
      <w:r w:rsidRPr="00EE44BB">
        <w:rPr>
          <w:rFonts w:ascii="Tahoma" w:hAnsi="Tahoma" w:cs="Tahoma"/>
          <w:b/>
        </w:rPr>
        <w:t>Primera Accesoria de la segunda Principal</w:t>
      </w:r>
      <w:r w:rsidRPr="00EE44BB">
        <w:rPr>
          <w:rFonts w:ascii="Tahoma" w:hAnsi="Tahoma" w:cs="Tahoma"/>
        </w:rPr>
        <w:t>.- Que se declare improcedente o infundada la aplicación de la penalidad aplicada por la Entidad por supuesto incumplimiento de obligaciones a cargo de la empresa contratista.</w:t>
      </w:r>
    </w:p>
    <w:p w:rsidR="001E374C" w:rsidRPr="00EE44BB" w:rsidRDefault="001E374C" w:rsidP="001E374C">
      <w:pPr>
        <w:numPr>
          <w:ilvl w:val="0"/>
          <w:numId w:val="4"/>
        </w:numPr>
        <w:jc w:val="both"/>
        <w:rPr>
          <w:rFonts w:ascii="Tahoma" w:hAnsi="Tahoma" w:cs="Tahoma"/>
        </w:rPr>
      </w:pPr>
      <w:r w:rsidRPr="00EE44BB">
        <w:rPr>
          <w:rFonts w:ascii="Tahoma" w:hAnsi="Tahoma" w:cs="Tahoma"/>
          <w:b/>
        </w:rPr>
        <w:t>Pretensión accesoria a las dos principales y todas las subordinadas</w:t>
      </w:r>
      <w:r w:rsidRPr="00EE44BB">
        <w:rPr>
          <w:rFonts w:ascii="Tahoma" w:hAnsi="Tahoma" w:cs="Tahoma"/>
        </w:rPr>
        <w:t>.-  Que la Entidad pague a la empresa contratista las costas y costos del presente proceso.</w:t>
      </w:r>
    </w:p>
    <w:p w:rsidR="001E374C" w:rsidRPr="00EE44BB" w:rsidRDefault="001E374C" w:rsidP="001E374C">
      <w:pPr>
        <w:jc w:val="both"/>
        <w:rPr>
          <w:rFonts w:ascii="Tahoma" w:hAnsi="Tahoma" w:cs="Tahoma"/>
        </w:rPr>
      </w:pPr>
      <w:r w:rsidRPr="00EE44BB">
        <w:rPr>
          <w:rFonts w:ascii="Tahoma" w:hAnsi="Tahoma" w:cs="Tahoma"/>
        </w:rPr>
        <w:t xml:space="preserve"> </w:t>
      </w:r>
      <w:r w:rsidRPr="00EE44BB">
        <w:rPr>
          <w:rFonts w:ascii="Tahoma" w:hAnsi="Tahoma" w:cs="Tahoma"/>
        </w:rPr>
        <w:tab/>
      </w:r>
    </w:p>
    <w:p w:rsidR="001E374C" w:rsidRPr="00EE44BB" w:rsidRDefault="001E374C" w:rsidP="001E374C">
      <w:pPr>
        <w:ind w:left="708"/>
        <w:jc w:val="both"/>
        <w:rPr>
          <w:rFonts w:ascii="Tahoma" w:hAnsi="Tahoma" w:cs="Tahoma"/>
          <w:b/>
        </w:rPr>
      </w:pPr>
      <w:r w:rsidRPr="00EE44BB">
        <w:rPr>
          <w:rFonts w:ascii="Tahoma" w:hAnsi="Tahoma" w:cs="Tahoma"/>
          <w:b/>
        </w:rPr>
        <w:t>Pretensiones planteadas por la Entidad:</w:t>
      </w:r>
    </w:p>
    <w:p w:rsidR="001E374C" w:rsidRPr="00EE44BB" w:rsidRDefault="001E374C" w:rsidP="001E374C">
      <w:pPr>
        <w:ind w:left="708"/>
        <w:jc w:val="both"/>
        <w:rPr>
          <w:rFonts w:ascii="Tahoma" w:hAnsi="Tahoma" w:cs="Tahoma"/>
        </w:rPr>
      </w:pPr>
    </w:p>
    <w:p w:rsidR="001E374C" w:rsidRPr="00EE44BB" w:rsidRDefault="001E374C" w:rsidP="001E374C">
      <w:pPr>
        <w:numPr>
          <w:ilvl w:val="0"/>
          <w:numId w:val="5"/>
        </w:numPr>
        <w:jc w:val="both"/>
        <w:rPr>
          <w:rFonts w:ascii="Tahoma" w:hAnsi="Tahoma" w:cs="Tahoma"/>
        </w:rPr>
      </w:pPr>
      <w:r w:rsidRPr="00EE44BB">
        <w:rPr>
          <w:rFonts w:ascii="Tahoma" w:hAnsi="Tahoma" w:cs="Tahoma"/>
        </w:rPr>
        <w:t>Pretensión principal.- Que la empresa contratista pague a la Entidad la suma de S/. 764, 020.28 nuevos soles por concepto de indemnización de daños y perjuicios derivados de la resolución del contrato.</w:t>
      </w:r>
    </w:p>
    <w:p w:rsidR="001E374C" w:rsidRPr="00EE44BB" w:rsidRDefault="001E374C" w:rsidP="001E374C">
      <w:pPr>
        <w:numPr>
          <w:ilvl w:val="0"/>
          <w:numId w:val="5"/>
        </w:numPr>
        <w:jc w:val="both"/>
        <w:rPr>
          <w:rFonts w:ascii="Tahoma" w:hAnsi="Tahoma" w:cs="Tahoma"/>
        </w:rPr>
      </w:pPr>
      <w:r w:rsidRPr="00EE44BB">
        <w:rPr>
          <w:rFonts w:ascii="Tahoma" w:hAnsi="Tahoma" w:cs="Tahoma"/>
        </w:rPr>
        <w:t>Segunda pretensión principal.- Que la empresa contratista pague a la Entidad la suma de S/. 137,331.92 Nuevos soles, por concepto de pago de penalidad establecida en la liquidación del contrato.</w:t>
      </w:r>
    </w:p>
    <w:p w:rsidR="001E374C" w:rsidRPr="00EE44BB" w:rsidRDefault="001E374C" w:rsidP="001E374C">
      <w:pPr>
        <w:numPr>
          <w:ilvl w:val="0"/>
          <w:numId w:val="5"/>
        </w:numPr>
        <w:jc w:val="both"/>
        <w:rPr>
          <w:rFonts w:ascii="Tahoma" w:hAnsi="Tahoma" w:cs="Tahoma"/>
        </w:rPr>
      </w:pPr>
      <w:r w:rsidRPr="00EE44BB">
        <w:rPr>
          <w:rFonts w:ascii="Tahoma" w:hAnsi="Tahoma" w:cs="Tahoma"/>
        </w:rPr>
        <w:t>Pretensión Accesoria a la Segunda principal.- Que la empresa pague a la Entidad los intereses legales devengados desde la fecha de la liquidación del contrato.</w:t>
      </w:r>
    </w:p>
    <w:p w:rsidR="001E374C" w:rsidRPr="00EE44BB" w:rsidRDefault="001E374C" w:rsidP="001E374C">
      <w:pPr>
        <w:numPr>
          <w:ilvl w:val="0"/>
          <w:numId w:val="5"/>
        </w:numPr>
        <w:jc w:val="both"/>
        <w:rPr>
          <w:rFonts w:ascii="Tahoma" w:hAnsi="Tahoma" w:cs="Tahoma"/>
        </w:rPr>
      </w:pPr>
      <w:r w:rsidRPr="00EE44BB">
        <w:rPr>
          <w:rFonts w:ascii="Tahoma" w:hAnsi="Tahoma" w:cs="Tahoma"/>
        </w:rPr>
        <w:t>Pretensión accesoria a las pretensiones principales.- Que la empresa contratista pague a la Entidad las costas y costos del presente proceso.</w:t>
      </w:r>
    </w:p>
    <w:p w:rsidR="001E374C" w:rsidRPr="00EE44BB" w:rsidRDefault="001E374C" w:rsidP="001E374C">
      <w:pPr>
        <w:ind w:left="708"/>
        <w:jc w:val="both"/>
        <w:rPr>
          <w:rFonts w:ascii="Tahoma" w:hAnsi="Tahoma" w:cs="Tahoma"/>
        </w:rPr>
      </w:pPr>
    </w:p>
    <w:p w:rsidR="001E374C" w:rsidRPr="00EE44BB" w:rsidRDefault="001E374C" w:rsidP="001E374C">
      <w:pPr>
        <w:numPr>
          <w:ilvl w:val="0"/>
          <w:numId w:val="3"/>
        </w:numPr>
        <w:ind w:hanging="540"/>
        <w:jc w:val="both"/>
        <w:rPr>
          <w:rFonts w:ascii="Tahoma" w:hAnsi="Tahoma" w:cs="Tahoma"/>
        </w:rPr>
      </w:pPr>
      <w:r w:rsidRPr="00EE44BB">
        <w:rPr>
          <w:rFonts w:ascii="Tahoma" w:hAnsi="Tahoma" w:cs="Tahoma"/>
        </w:rPr>
        <w:t>Con Resolución N.º 37 de fecha 12 de julio de 2006, el árbitro único  emitió el Laudo Arbitral respectivo declarando INFUNDADAS todas las pretensiones planteadas por la empresa contratista y asimismo, declaró en idéntico sentido las pretensiones presentadas por la Entidad, ordenando que los gastos del presente arbitraje sean asumidos por la empresa contratista.</w:t>
      </w:r>
    </w:p>
    <w:p w:rsidR="001E374C" w:rsidRPr="00EE44BB" w:rsidRDefault="001E374C" w:rsidP="001E374C">
      <w:pPr>
        <w:ind w:left="180"/>
        <w:jc w:val="both"/>
        <w:rPr>
          <w:rFonts w:ascii="Tahoma" w:hAnsi="Tahoma" w:cs="Tahoma"/>
        </w:rPr>
      </w:pPr>
    </w:p>
    <w:p w:rsidR="001E374C" w:rsidRPr="00EE44BB" w:rsidRDefault="001E374C" w:rsidP="001E374C">
      <w:pPr>
        <w:numPr>
          <w:ilvl w:val="0"/>
          <w:numId w:val="3"/>
        </w:numPr>
        <w:ind w:hanging="540"/>
        <w:jc w:val="both"/>
        <w:rPr>
          <w:rFonts w:ascii="Tahoma" w:hAnsi="Tahoma" w:cs="Tahoma"/>
          <w:b/>
          <w:i/>
        </w:rPr>
      </w:pPr>
      <w:r w:rsidRPr="00EE44BB">
        <w:rPr>
          <w:rFonts w:ascii="Tahoma" w:hAnsi="Tahoma" w:cs="Tahoma"/>
        </w:rPr>
        <w:t xml:space="preserve">Tal como se indicó en la parte inicial del análisis, este Tribunal </w:t>
      </w:r>
      <w:proofErr w:type="spellStart"/>
      <w:r w:rsidRPr="00EE44BB">
        <w:rPr>
          <w:rFonts w:ascii="Tahoma" w:hAnsi="Tahoma" w:cs="Tahoma"/>
        </w:rPr>
        <w:t>esta</w:t>
      </w:r>
      <w:proofErr w:type="spellEnd"/>
      <w:r w:rsidRPr="00EE44BB">
        <w:rPr>
          <w:rFonts w:ascii="Tahoma" w:hAnsi="Tahoma" w:cs="Tahoma"/>
        </w:rPr>
        <w:t xml:space="preserve"> imposibilitado de revisar la resuelto en el Laudo arbitral, pues tal como lo señala el Reglamento de la ley de contrataciones, vigente al momento de la realización de los hechos, no procede impugnación alguna contra la decisión arbitral, salvo recurso de anulación por las causales previstas normativamente</w:t>
      </w:r>
      <w:r w:rsidRPr="00EE44BB">
        <w:rPr>
          <w:rStyle w:val="Refdenotaalpie"/>
          <w:rFonts w:ascii="Tahoma" w:hAnsi="Tahoma" w:cs="Tahoma"/>
        </w:rPr>
        <w:footnoteReference w:id="10"/>
      </w:r>
      <w:r w:rsidRPr="00EE44BB">
        <w:rPr>
          <w:rFonts w:ascii="Tahoma" w:hAnsi="Tahoma" w:cs="Tahoma"/>
        </w:rPr>
        <w:t>; asimismo, la Ley General de Arbitraje dispone que el laudo arbitral consentido o ejecutoriado tiene valor equivalente al de una sentencia y es eficaz y de obligatorio cumplimiento desde su notificación a las partes.</w:t>
      </w:r>
    </w:p>
    <w:p w:rsidR="001E374C" w:rsidRPr="00EE44BB" w:rsidRDefault="001E374C" w:rsidP="001E374C">
      <w:pPr>
        <w:jc w:val="both"/>
        <w:rPr>
          <w:rFonts w:ascii="Tahoma" w:hAnsi="Tahoma" w:cs="Tahoma"/>
          <w:b/>
          <w:i/>
        </w:rPr>
      </w:pPr>
    </w:p>
    <w:p w:rsidR="001E374C" w:rsidRPr="00EE44BB" w:rsidRDefault="001E374C" w:rsidP="001E374C">
      <w:pPr>
        <w:numPr>
          <w:ilvl w:val="0"/>
          <w:numId w:val="3"/>
        </w:numPr>
        <w:ind w:hanging="540"/>
        <w:jc w:val="both"/>
        <w:rPr>
          <w:rFonts w:ascii="Tahoma" w:hAnsi="Tahoma" w:cs="Tahoma"/>
          <w:b/>
          <w:i/>
        </w:rPr>
      </w:pPr>
      <w:r w:rsidRPr="00EE44BB">
        <w:rPr>
          <w:rFonts w:ascii="Tahoma" w:hAnsi="Tahoma" w:cs="Tahoma"/>
        </w:rPr>
        <w:t>Por tal motivo, lo resuelto por el árbitro único sirve para verificar si el incumplimiento se debió a la existencia de alguna causa justificada, situación que lo eximiría de sanción administrativa al imposibilitar la configuración de la causal invocada.</w:t>
      </w:r>
    </w:p>
    <w:p w:rsidR="001E374C" w:rsidRPr="00EE44BB" w:rsidRDefault="001E374C" w:rsidP="001E374C">
      <w:pPr>
        <w:jc w:val="both"/>
        <w:rPr>
          <w:rFonts w:ascii="Tahoma" w:hAnsi="Tahoma" w:cs="Tahoma"/>
          <w:b/>
          <w:i/>
        </w:rPr>
      </w:pPr>
    </w:p>
    <w:p w:rsidR="001E374C" w:rsidRPr="00EE44BB" w:rsidRDefault="001E374C" w:rsidP="001E374C">
      <w:pPr>
        <w:numPr>
          <w:ilvl w:val="0"/>
          <w:numId w:val="3"/>
        </w:numPr>
        <w:ind w:hanging="540"/>
        <w:jc w:val="both"/>
        <w:rPr>
          <w:rFonts w:ascii="Tahoma" w:hAnsi="Tahoma" w:cs="Tahoma"/>
          <w:b/>
          <w:i/>
        </w:rPr>
      </w:pPr>
      <w:r w:rsidRPr="00EE44BB">
        <w:rPr>
          <w:rFonts w:ascii="Tahoma" w:hAnsi="Tahoma" w:cs="Tahoma"/>
        </w:rPr>
        <w:t>Al respecto, el Laudo Arbitral en su considerando 129</w:t>
      </w:r>
      <w:r w:rsidRPr="00EE44BB">
        <w:rPr>
          <w:rStyle w:val="Refdenotaalpie"/>
          <w:rFonts w:ascii="Tahoma" w:hAnsi="Tahoma" w:cs="Tahoma"/>
        </w:rPr>
        <w:footnoteReference w:id="11"/>
      </w:r>
      <w:r w:rsidRPr="00EE44BB">
        <w:rPr>
          <w:rFonts w:ascii="Tahoma" w:hAnsi="Tahoma" w:cs="Tahoma"/>
        </w:rPr>
        <w:t xml:space="preserve"> señaló lo siguiente: </w:t>
      </w:r>
      <w:r w:rsidRPr="00EE44BB">
        <w:rPr>
          <w:rFonts w:ascii="Tahoma" w:hAnsi="Tahoma" w:cs="Tahoma"/>
          <w:b/>
        </w:rPr>
        <w:t>“(</w:t>
      </w:r>
      <w:proofErr w:type="spellStart"/>
      <w:r w:rsidRPr="00EE44BB">
        <w:rPr>
          <w:rFonts w:ascii="Tahoma" w:hAnsi="Tahoma" w:cs="Tahoma"/>
          <w:b/>
        </w:rPr>
        <w:t>ix</w:t>
      </w:r>
      <w:proofErr w:type="spellEnd"/>
      <w:r w:rsidRPr="00EE44BB">
        <w:rPr>
          <w:rFonts w:ascii="Tahoma" w:hAnsi="Tahoma" w:cs="Tahoma"/>
          <w:b/>
        </w:rPr>
        <w:t>)</w:t>
      </w:r>
      <w:r w:rsidRPr="00EE44BB">
        <w:rPr>
          <w:rFonts w:ascii="Tahoma" w:hAnsi="Tahoma" w:cs="Tahoma"/>
          <w:b/>
          <w:i/>
        </w:rPr>
        <w:t>Si ERNST consideraba que las características del servicio no eran posibles de cumplir por un tema técnico (la imposibilidad de aplicar los estándares del PMI), debió proponer formalmente el cambio o alternativas antes que decidir unilateralmente su inejecución, o requerir  a la ONP el cumplimiento de sus obligaciones esenciales consistentes en proveer las condiciones para su normal cumplimiento, pero no optar unilateralmente por la inejecución”. (x) Este proceder de ERNST  con su carta del 13 de julio de 2005</w:t>
      </w:r>
      <w:r w:rsidRPr="00EE44BB">
        <w:rPr>
          <w:rStyle w:val="Refdenotaalpie"/>
          <w:rFonts w:ascii="Tahoma" w:hAnsi="Tahoma" w:cs="Tahoma"/>
          <w:b/>
          <w:i/>
        </w:rPr>
        <w:footnoteReference w:id="12"/>
      </w:r>
      <w:r w:rsidRPr="00EE44BB">
        <w:rPr>
          <w:rFonts w:ascii="Tahoma" w:hAnsi="Tahoma" w:cs="Tahoma"/>
          <w:b/>
          <w:i/>
        </w:rPr>
        <w:t xml:space="preserve"> y bajo el contexto de cómo venía </w:t>
      </w:r>
      <w:proofErr w:type="spellStart"/>
      <w:r w:rsidRPr="00EE44BB">
        <w:rPr>
          <w:rFonts w:ascii="Tahoma" w:hAnsi="Tahoma" w:cs="Tahoma"/>
          <w:b/>
          <w:i/>
        </w:rPr>
        <w:t>ejecutandose</w:t>
      </w:r>
      <w:proofErr w:type="spellEnd"/>
      <w:r w:rsidRPr="00EE44BB">
        <w:rPr>
          <w:rFonts w:ascii="Tahoma" w:hAnsi="Tahoma" w:cs="Tahoma"/>
          <w:b/>
          <w:i/>
        </w:rPr>
        <w:t xml:space="preserve"> el servicio con anterioridad a ella, reseñada en los considerandos anteriores otorgó una justificación válida para que razonablemente la ONP haya decidido utilizar en forma inmediata los remedios contractuales pactados y previstos en la ex Ley de Contrataciones adquisiciones del Estado en salvaguarda de sus intereses, entre ellas, la resolución del contrato por incumplimiento por causa imputable a ERNST.</w:t>
      </w:r>
    </w:p>
    <w:p w:rsidR="001E374C" w:rsidRPr="00EE44BB" w:rsidRDefault="001E374C" w:rsidP="001E374C">
      <w:pPr>
        <w:jc w:val="both"/>
        <w:rPr>
          <w:rFonts w:ascii="Tahoma" w:hAnsi="Tahoma" w:cs="Tahoma"/>
          <w:b/>
          <w:i/>
        </w:rPr>
      </w:pPr>
    </w:p>
    <w:p w:rsidR="001E374C" w:rsidRPr="00EE44BB" w:rsidRDefault="001E374C" w:rsidP="001E374C">
      <w:pPr>
        <w:numPr>
          <w:ilvl w:val="0"/>
          <w:numId w:val="3"/>
        </w:numPr>
        <w:ind w:hanging="540"/>
        <w:jc w:val="both"/>
        <w:rPr>
          <w:rFonts w:ascii="Tahoma" w:hAnsi="Tahoma" w:cs="Tahoma"/>
          <w:b/>
          <w:i/>
        </w:rPr>
      </w:pPr>
      <w:r w:rsidRPr="00EE44BB">
        <w:rPr>
          <w:rFonts w:ascii="Tahoma" w:hAnsi="Tahoma" w:cs="Tahoma"/>
        </w:rPr>
        <w:t xml:space="preserve">Teniendo en cuenta todo lo expuesto y estando a que ambas partes se han sometido a lo dispuesto en el Laudo Arbitral del 12 de julio de 2006, el cual, </w:t>
      </w:r>
      <w:r>
        <w:rPr>
          <w:rFonts w:ascii="Tahoma" w:hAnsi="Tahoma" w:cs="Tahoma"/>
        </w:rPr>
        <w:t xml:space="preserve">como se señaló líneas arriba, </w:t>
      </w:r>
      <w:r w:rsidRPr="00EE44BB">
        <w:rPr>
          <w:rFonts w:ascii="Tahoma" w:hAnsi="Tahoma" w:cs="Tahoma"/>
        </w:rPr>
        <w:t xml:space="preserve"> determinó que la Entidad requirió válidamente a la Contratista para que cumpla con las obligaciones adquiridas y, se confirmó que la misma no cumplió con satisfacer la prestación a su cargo; por tal motivo, este Colegiado considera que la emplazada incumplió injustificadamente sus obligaciones derivadas del contrato, dando lugar a que éste se resuelva, puesto que, como resolvió el árbitro único, </w:t>
      </w:r>
      <w:r w:rsidRPr="00EE44BB">
        <w:rPr>
          <w:rFonts w:ascii="Tahoma" w:hAnsi="Tahoma" w:cs="Tahoma"/>
          <w:b/>
        </w:rPr>
        <w:t>“</w:t>
      </w:r>
      <w:r w:rsidRPr="00EE44BB">
        <w:rPr>
          <w:rFonts w:ascii="Tahoma" w:hAnsi="Tahoma" w:cs="Tahoma"/>
          <w:b/>
          <w:i/>
        </w:rPr>
        <w:t>(…) Este Tribunal considera que existieron causas válidas que justificaron la resolución por incumplimiento del contrato por causa imputable a la empresa contratista y, asimismo, el procedimiento utilizado por ella se ajusta a Ley, por lo que su segunda pretensión principal debe ser desestimada”.</w:t>
      </w:r>
      <w:r w:rsidRPr="00EE44BB">
        <w:rPr>
          <w:rStyle w:val="Refdenotaalpie"/>
          <w:rFonts w:ascii="Tahoma" w:hAnsi="Tahoma" w:cs="Tahoma"/>
          <w:b/>
          <w:i/>
        </w:rPr>
        <w:footnoteReference w:id="13"/>
      </w:r>
    </w:p>
    <w:p w:rsidR="001E374C" w:rsidRPr="00EE44BB" w:rsidRDefault="001E374C" w:rsidP="001E374C">
      <w:pPr>
        <w:ind w:left="180"/>
        <w:jc w:val="both"/>
        <w:rPr>
          <w:rFonts w:ascii="Tahoma" w:hAnsi="Tahoma" w:cs="Tahoma"/>
          <w:b/>
          <w:i/>
        </w:rPr>
      </w:pPr>
    </w:p>
    <w:p w:rsidR="001E374C" w:rsidRPr="00EE44BB" w:rsidRDefault="001E374C" w:rsidP="001E374C">
      <w:pPr>
        <w:numPr>
          <w:ilvl w:val="0"/>
          <w:numId w:val="3"/>
        </w:numPr>
        <w:ind w:hanging="540"/>
        <w:jc w:val="both"/>
        <w:rPr>
          <w:rFonts w:ascii="Tahoma" w:hAnsi="Tahoma" w:cs="Tahoma"/>
          <w:b/>
          <w:i/>
        </w:rPr>
      </w:pPr>
      <w:r w:rsidRPr="00EE44BB">
        <w:rPr>
          <w:rFonts w:ascii="Tahoma" w:hAnsi="Tahoma" w:cs="Tahoma"/>
        </w:rPr>
        <w:lastRenderedPageBreak/>
        <w:t>No obstante lo antes descrito, y en busca de emitir un pronunciamiento estrictamente acorde a derecho, debe señalarse que este Tribunal no sólo realiza una evaluación del derecho invocado, es decir de los fundamentos jurídicos presentados, sino también de los hechos que acaecieron durante la realización de la conducta tipificada como sancionable. En tal sentido, al haberse configurado la causal de sanción antes descrita, es pertinente verificar los hechos coadyuvantes que supongan atenuantes al momento de graduar la sanción a imponer, en virtud al artículo 209 del Reglamento.</w:t>
      </w:r>
    </w:p>
    <w:p w:rsidR="001E374C" w:rsidRPr="00EE44BB" w:rsidRDefault="001E374C" w:rsidP="001E374C">
      <w:pPr>
        <w:jc w:val="both"/>
        <w:rPr>
          <w:rFonts w:ascii="Tahoma" w:hAnsi="Tahoma" w:cs="Tahoma"/>
          <w:b/>
          <w:i/>
        </w:rPr>
      </w:pPr>
    </w:p>
    <w:p w:rsidR="001E374C" w:rsidRPr="00EE44BB" w:rsidRDefault="001E374C" w:rsidP="001E374C">
      <w:pPr>
        <w:numPr>
          <w:ilvl w:val="0"/>
          <w:numId w:val="3"/>
        </w:numPr>
        <w:ind w:hanging="540"/>
        <w:jc w:val="both"/>
        <w:rPr>
          <w:rFonts w:ascii="Tahoma" w:hAnsi="Tahoma" w:cs="Tahoma"/>
        </w:rPr>
      </w:pPr>
      <w:r w:rsidRPr="00EE44BB">
        <w:rPr>
          <w:rFonts w:ascii="Tahoma" w:hAnsi="Tahoma" w:cs="Tahoma"/>
        </w:rPr>
        <w:t xml:space="preserve">Durante el desarrollo del proceso arbitral el árbitro único dispuso </w:t>
      </w:r>
      <w:proofErr w:type="spellStart"/>
      <w:r w:rsidRPr="00EE44BB">
        <w:rPr>
          <w:rFonts w:ascii="Tahoma" w:hAnsi="Tahoma" w:cs="Tahoma"/>
        </w:rPr>
        <w:t>merituar</w:t>
      </w:r>
      <w:proofErr w:type="spellEnd"/>
      <w:r w:rsidRPr="00EE44BB">
        <w:rPr>
          <w:rFonts w:ascii="Tahoma" w:hAnsi="Tahoma" w:cs="Tahoma"/>
        </w:rPr>
        <w:t xml:space="preserve"> ciertos medios probatorios presentados por la Entidad, dejando de lado los remitidos por la empresa contratista, lo cual, si bien es cierto, es potestad del Tribunal Arbitral decidir sobre </w:t>
      </w:r>
      <w:proofErr w:type="spellStart"/>
      <w:r w:rsidRPr="00EE44BB">
        <w:rPr>
          <w:rFonts w:ascii="Tahoma" w:hAnsi="Tahoma" w:cs="Tahoma"/>
        </w:rPr>
        <w:t>que</w:t>
      </w:r>
      <w:proofErr w:type="spellEnd"/>
      <w:r w:rsidRPr="00EE44BB">
        <w:rPr>
          <w:rFonts w:ascii="Tahoma" w:hAnsi="Tahoma" w:cs="Tahoma"/>
        </w:rPr>
        <w:t xml:space="preserve"> medios prob</w:t>
      </w:r>
      <w:r>
        <w:rPr>
          <w:rFonts w:ascii="Tahoma" w:hAnsi="Tahoma" w:cs="Tahoma"/>
        </w:rPr>
        <w:t>atorios sustentará su decisión</w:t>
      </w:r>
      <w:r w:rsidRPr="00EE44BB">
        <w:rPr>
          <w:rFonts w:ascii="Tahoma" w:hAnsi="Tahoma" w:cs="Tahoma"/>
        </w:rPr>
        <w:t xml:space="preserve">, sin embargo, en el presente caso, las pruebas presentadas por el contratista consisten en informes periciales emitidos por instituciones de reconocido prestigio académico e institucional, tales como, el Instituto para la Calidad de la Pontificia Universidad Católica del Perú y el Centro de Consultoría en Gestión empresarial de la Universidad del Pacífico, así como los elaborados por los PMP Sr. </w:t>
      </w:r>
      <w:proofErr w:type="spellStart"/>
      <w:r w:rsidRPr="00EE44BB">
        <w:rPr>
          <w:rFonts w:ascii="Tahoma" w:hAnsi="Tahoma" w:cs="Tahoma"/>
        </w:rPr>
        <w:t>Hector</w:t>
      </w:r>
      <w:proofErr w:type="spellEnd"/>
      <w:r w:rsidRPr="00EE44BB">
        <w:rPr>
          <w:rFonts w:ascii="Tahoma" w:hAnsi="Tahoma" w:cs="Tahoma"/>
        </w:rPr>
        <w:t xml:space="preserve"> </w:t>
      </w:r>
      <w:proofErr w:type="spellStart"/>
      <w:r w:rsidRPr="00EE44BB">
        <w:rPr>
          <w:rFonts w:ascii="Tahoma" w:hAnsi="Tahoma" w:cs="Tahoma"/>
        </w:rPr>
        <w:t>Alcaráz</w:t>
      </w:r>
      <w:proofErr w:type="spellEnd"/>
      <w:r w:rsidRPr="00EE44BB">
        <w:rPr>
          <w:rFonts w:ascii="Tahoma" w:hAnsi="Tahoma" w:cs="Tahoma"/>
        </w:rPr>
        <w:t xml:space="preserve"> Mora y Oscar Ruiz, mediante los cuales, concluyeron que las metodologías propuestas, el OMP3 y el PMBOK son aplicables únicamente a proyectos y no a operaciones o procesos, lo que suponía una imposibilidad fáctica para realizar las prestaciones asumidas y satisfacer las necesidades de la Entidad. Esta imposibilidad fáctica se produjo por el listado de servicios </w:t>
      </w:r>
      <w:proofErr w:type="spellStart"/>
      <w:r w:rsidRPr="00EE44BB">
        <w:rPr>
          <w:rFonts w:ascii="Tahoma" w:hAnsi="Tahoma" w:cs="Tahoma"/>
        </w:rPr>
        <w:t>tercerizados</w:t>
      </w:r>
      <w:proofErr w:type="spellEnd"/>
      <w:r w:rsidRPr="00EE44BB">
        <w:rPr>
          <w:rFonts w:ascii="Tahoma" w:hAnsi="Tahoma" w:cs="Tahoma"/>
        </w:rPr>
        <w:t xml:space="preserve"> descritos en las bases administrativas, que no fueron admitidos como medio probatorio durante el proceso arbitral, imposibilitando verificar que la naturaleza de dichos servicios eran procesos y no proyectos.</w:t>
      </w:r>
    </w:p>
    <w:p w:rsidR="001E374C" w:rsidRPr="00EE44BB" w:rsidRDefault="001E374C" w:rsidP="001E374C">
      <w:pPr>
        <w:ind w:left="-180"/>
        <w:jc w:val="both"/>
        <w:rPr>
          <w:rFonts w:ascii="Tahoma" w:hAnsi="Tahoma" w:cs="Tahoma"/>
        </w:rPr>
      </w:pPr>
    </w:p>
    <w:p w:rsidR="001E374C" w:rsidRDefault="001E374C" w:rsidP="001E374C">
      <w:pPr>
        <w:ind w:left="360"/>
        <w:jc w:val="both"/>
        <w:rPr>
          <w:rFonts w:ascii="Tahoma" w:hAnsi="Tahoma" w:cs="Tahoma"/>
        </w:rPr>
      </w:pPr>
      <w:r w:rsidRPr="00EE44BB">
        <w:rPr>
          <w:rFonts w:ascii="Tahoma" w:hAnsi="Tahoma" w:cs="Tahoma"/>
        </w:rPr>
        <w:t xml:space="preserve">La existencia de opiniones técnicas que sustentan los argumentos del Contratista, no supone desconocer lo resuelto por el Tribunal Arbitral, sin embargo, supone la existencia </w:t>
      </w:r>
      <w:r>
        <w:rPr>
          <w:rFonts w:ascii="Tahoma" w:hAnsi="Tahoma" w:cs="Tahoma"/>
        </w:rPr>
        <w:t>de un sustento técnico</w:t>
      </w:r>
      <w:r w:rsidRPr="00EE44BB">
        <w:rPr>
          <w:rFonts w:ascii="Tahoma" w:hAnsi="Tahoma" w:cs="Tahoma"/>
        </w:rPr>
        <w:t xml:space="preserve"> de la imposibilidad de realizar el contrato en los términos descritos en las bases, que si bien es cierto, es un informe pericial no determinante, permite verificar a este colegiado la concreta posibilidad de opin</w:t>
      </w:r>
      <w:r>
        <w:rPr>
          <w:rFonts w:ascii="Tahoma" w:hAnsi="Tahoma" w:cs="Tahoma"/>
        </w:rPr>
        <w:t>iones divergentes sobre el tema.</w:t>
      </w:r>
    </w:p>
    <w:p w:rsidR="001E374C" w:rsidRPr="00EE44BB" w:rsidRDefault="001E374C" w:rsidP="001E374C">
      <w:pPr>
        <w:jc w:val="both"/>
        <w:rPr>
          <w:rFonts w:ascii="Tahoma" w:hAnsi="Tahoma" w:cs="Tahoma"/>
        </w:rPr>
      </w:pPr>
    </w:p>
    <w:p w:rsidR="001E374C" w:rsidRPr="00EE44BB" w:rsidRDefault="001E374C" w:rsidP="001E374C">
      <w:pPr>
        <w:numPr>
          <w:ilvl w:val="0"/>
          <w:numId w:val="3"/>
        </w:numPr>
        <w:ind w:hanging="540"/>
        <w:jc w:val="both"/>
        <w:rPr>
          <w:rFonts w:ascii="Tahoma" w:hAnsi="Tahoma" w:cs="Tahoma"/>
        </w:rPr>
      </w:pPr>
      <w:r w:rsidRPr="00EE44BB">
        <w:rPr>
          <w:rFonts w:ascii="Tahoma" w:hAnsi="Tahoma" w:cs="Tahoma"/>
        </w:rPr>
        <w:t xml:space="preserve">Por otro lado, la conducta del Contratista no estuvo destinada a la evasión </w:t>
      </w:r>
      <w:r>
        <w:rPr>
          <w:rFonts w:ascii="Tahoma" w:hAnsi="Tahoma" w:cs="Tahoma"/>
        </w:rPr>
        <w:t xml:space="preserve">dolosa </w:t>
      </w:r>
      <w:r w:rsidRPr="00EE44BB">
        <w:rPr>
          <w:rFonts w:ascii="Tahoma" w:hAnsi="Tahoma" w:cs="Tahoma"/>
        </w:rPr>
        <w:t xml:space="preserve">de sus obligaciones, sino que, en virtud a los documentos obrantes en el expediente administrativo, se ha podido verificar el requerimiento realizado a la Entidad a fin que le informe como realizar la ejecución contractual, salvando </w:t>
      </w:r>
      <w:r>
        <w:rPr>
          <w:rFonts w:ascii="Tahoma" w:hAnsi="Tahoma" w:cs="Tahoma"/>
        </w:rPr>
        <w:t xml:space="preserve">lo que a su entender era </w:t>
      </w:r>
      <w:r w:rsidRPr="00EE44BB">
        <w:rPr>
          <w:rFonts w:ascii="Tahoma" w:hAnsi="Tahoma" w:cs="Tahoma"/>
        </w:rPr>
        <w:t>la imposibilidad técnica descrita en las bases administrativas; comportamiento que imposibilita considerar la existencia de intencionalidad en la conducta tipificada como sancionable.</w:t>
      </w:r>
    </w:p>
    <w:p w:rsidR="001E374C" w:rsidRPr="00EE44BB" w:rsidRDefault="001E374C" w:rsidP="001E374C">
      <w:pPr>
        <w:ind w:left="-180"/>
        <w:jc w:val="both"/>
        <w:rPr>
          <w:rFonts w:ascii="Tahoma" w:hAnsi="Tahoma" w:cs="Tahoma"/>
        </w:rPr>
      </w:pPr>
    </w:p>
    <w:p w:rsidR="001E374C" w:rsidRPr="00B61C3D" w:rsidRDefault="001E374C" w:rsidP="001E374C">
      <w:pPr>
        <w:numPr>
          <w:ilvl w:val="0"/>
          <w:numId w:val="3"/>
        </w:numPr>
        <w:ind w:hanging="540"/>
        <w:jc w:val="both"/>
        <w:rPr>
          <w:rFonts w:ascii="Tahoma" w:hAnsi="Tahoma" w:cs="Tahoma"/>
          <w:b/>
          <w:i/>
        </w:rPr>
      </w:pPr>
      <w:r w:rsidRPr="00B61C3D">
        <w:rPr>
          <w:rFonts w:ascii="Tahoma" w:hAnsi="Tahoma" w:cs="Tahoma"/>
        </w:rPr>
        <w:t>Asimismo,</w:t>
      </w:r>
      <w:r>
        <w:rPr>
          <w:rFonts w:ascii="Tahoma" w:hAnsi="Tahoma" w:cs="Tahoma"/>
        </w:rPr>
        <w:t xml:space="preserve">  en función a lo resuelto por el Árbitro Único,</w:t>
      </w:r>
      <w:r w:rsidRPr="00B61C3D">
        <w:rPr>
          <w:rFonts w:ascii="Tahoma" w:hAnsi="Tahoma" w:cs="Tahoma"/>
        </w:rPr>
        <w:t xml:space="preserve"> los hechos antes descritos no ha</w:t>
      </w:r>
      <w:r>
        <w:rPr>
          <w:rFonts w:ascii="Tahoma" w:hAnsi="Tahoma" w:cs="Tahoma"/>
        </w:rPr>
        <w:t>brían</w:t>
      </w:r>
      <w:r w:rsidRPr="00B61C3D">
        <w:rPr>
          <w:rFonts w:ascii="Tahoma" w:hAnsi="Tahoma" w:cs="Tahoma"/>
        </w:rPr>
        <w:t xml:space="preserve"> supuesto la existencia de daño alguno a la Entidad, pues tal como se indicó en el considerando 149 del Laudo Arbitral: </w:t>
      </w:r>
      <w:r w:rsidRPr="00B61C3D">
        <w:rPr>
          <w:rFonts w:ascii="Tahoma" w:hAnsi="Tahoma" w:cs="Tahoma"/>
          <w:b/>
          <w:i/>
        </w:rPr>
        <w:t>“(</w:t>
      </w:r>
      <w:proofErr w:type="spellStart"/>
      <w:r w:rsidRPr="00B61C3D">
        <w:rPr>
          <w:rFonts w:ascii="Tahoma" w:hAnsi="Tahoma" w:cs="Tahoma"/>
          <w:b/>
          <w:i/>
        </w:rPr>
        <w:t>iv</w:t>
      </w:r>
      <w:proofErr w:type="spellEnd"/>
      <w:r w:rsidRPr="00B61C3D">
        <w:rPr>
          <w:rFonts w:ascii="Tahoma" w:hAnsi="Tahoma" w:cs="Tahoma"/>
          <w:b/>
          <w:i/>
        </w:rPr>
        <w:t>) Si bien de la resolución del contrato por incumplimiento de un contratista pueden generarse daños para la Entidad, esta posibilidad que dicta el sentido común no basta, no puede presumirse, pues necesariamente deben cumplirse y probarse cada una de las características del daño que ERNST ha señalado como fundamento jurídico de su absolución y con el que Tribunal coincide</w:t>
      </w:r>
      <w:r w:rsidRPr="00B61C3D">
        <w:rPr>
          <w:rFonts w:ascii="Tahoma" w:hAnsi="Tahoma" w:cs="Tahoma"/>
          <w:b/>
        </w:rPr>
        <w:t>; Por los fundamentos expuestos, este Tribunal considera que no está acreditada por la ONP la existencia de daño resarcible y por tanto, esta primera pretensión principal de la ONP debe ser desestimada”.</w:t>
      </w:r>
    </w:p>
    <w:p w:rsidR="001E374C" w:rsidRPr="00B61C3D" w:rsidRDefault="001E374C" w:rsidP="001E374C">
      <w:pPr>
        <w:jc w:val="both"/>
        <w:rPr>
          <w:rFonts w:ascii="Tahoma" w:hAnsi="Tahoma" w:cs="Tahoma"/>
          <w:b/>
          <w:i/>
        </w:rPr>
      </w:pPr>
    </w:p>
    <w:p w:rsidR="001E374C" w:rsidRPr="00DC74BB" w:rsidRDefault="001E374C" w:rsidP="001E374C">
      <w:pPr>
        <w:ind w:left="360"/>
        <w:jc w:val="both"/>
        <w:rPr>
          <w:rFonts w:ascii="Tahoma" w:hAnsi="Tahoma" w:cs="Tahoma"/>
        </w:rPr>
      </w:pPr>
      <w:r w:rsidRPr="00DC74BB">
        <w:rPr>
          <w:rFonts w:ascii="Tahoma" w:hAnsi="Tahoma" w:cs="Tahoma"/>
        </w:rPr>
        <w:t xml:space="preserve">Sin embargo, es necesario precisar que este Colegiado, considera que la presencia del daño en el ámbito de la norma de contrataciones y adquisiciones del Estado, surge con la sola configuración de la causal tipificada como sancionable, puesto que, el sólo hecho de establecer causales de aplicación de sanción, supone que su realización conlleva a un menoscabo o detrimento en los fines de la Entidad.  Si bien es cierto, en el caso materia de autos, el Árbitro Único señaló la inexistencia de daño alguno </w:t>
      </w:r>
      <w:r w:rsidRPr="00DC74BB">
        <w:rPr>
          <w:rFonts w:ascii="Tahoma" w:hAnsi="Tahoma" w:cs="Tahoma"/>
        </w:rPr>
        <w:lastRenderedPageBreak/>
        <w:t>ocasionado por la conducta del contratista, por no haberse acreditado en el procedimiento arbitral los elementos que configuren la responsabilidad civil, debe precisarse que no estamos frente a una relación contractual entre privados,  sino que por el contrario, una de las partes es una entidad del Estado, cuyos fines van más allá de las expectativas particulares de los firmantes, pues representa íntegramente a los intereses del sector al cual se encuentra adscrito y tiene como planes estratégicos institucionales la satisfacción de intereses sociales.</w:t>
      </w:r>
    </w:p>
    <w:p w:rsidR="001E374C" w:rsidRPr="00DC74BB" w:rsidRDefault="001E374C" w:rsidP="001E374C">
      <w:pPr>
        <w:ind w:left="360"/>
        <w:jc w:val="both"/>
        <w:rPr>
          <w:rFonts w:ascii="Tahoma" w:hAnsi="Tahoma" w:cs="Tahoma"/>
        </w:rPr>
      </w:pPr>
    </w:p>
    <w:p w:rsidR="001E374C" w:rsidRPr="00DC74BB" w:rsidRDefault="001E374C" w:rsidP="001E374C">
      <w:pPr>
        <w:ind w:left="360"/>
        <w:jc w:val="both"/>
        <w:rPr>
          <w:rFonts w:ascii="Tahoma" w:hAnsi="Tahoma" w:cs="Tahoma"/>
          <w:i/>
        </w:rPr>
      </w:pPr>
      <w:r w:rsidRPr="00DC74BB">
        <w:rPr>
          <w:rFonts w:ascii="Tahoma" w:hAnsi="Tahoma" w:cs="Tahoma"/>
        </w:rPr>
        <w:t>Por tal  motivo, este Tribunal considera la existencia de un perjuicio a la Entidad, que si bien es cierto no se configura como un daño subsecuente, sí ocasionó una demora en la satisfacción de un necesidad que había sido previamente programada en su Plan Anual de Contrataciones y Adquisiciones del Estado, para ejecutarse oportunamente.</w:t>
      </w:r>
    </w:p>
    <w:p w:rsidR="001E374C" w:rsidRPr="00EE44BB" w:rsidRDefault="001E374C" w:rsidP="001E374C">
      <w:pPr>
        <w:jc w:val="both"/>
        <w:rPr>
          <w:rFonts w:ascii="Tahoma" w:hAnsi="Tahoma" w:cs="Tahoma"/>
          <w:b/>
          <w:i/>
        </w:rPr>
      </w:pPr>
    </w:p>
    <w:p w:rsidR="001E374C" w:rsidRPr="00EE44BB" w:rsidRDefault="001E374C" w:rsidP="001E374C">
      <w:pPr>
        <w:numPr>
          <w:ilvl w:val="0"/>
          <w:numId w:val="3"/>
        </w:numPr>
        <w:tabs>
          <w:tab w:val="num" w:pos="900"/>
        </w:tabs>
        <w:jc w:val="both"/>
        <w:rPr>
          <w:rFonts w:ascii="Tahoma" w:hAnsi="Tahoma" w:cs="Tahoma"/>
        </w:rPr>
      </w:pPr>
      <w:r w:rsidRPr="00EE44BB">
        <w:rPr>
          <w:rFonts w:ascii="Tahoma" w:hAnsi="Tahoma" w:cs="Tahoma"/>
          <w:lang w:val="es-ES_tradnl"/>
        </w:rPr>
        <w:t>Por los argumentos antes expuestos, al haberse acreditado la configuración de la causal invocada, este Tribunal estima conveniente</w:t>
      </w:r>
      <w:r w:rsidRPr="00EE44BB">
        <w:rPr>
          <w:rFonts w:ascii="Tahoma" w:hAnsi="Tahoma" w:cs="Tahoma"/>
        </w:rPr>
        <w:t xml:space="preserve"> imponer sanción administrativa a la empresa contratista.</w:t>
      </w:r>
    </w:p>
    <w:p w:rsidR="001E374C" w:rsidRPr="00EE44BB" w:rsidRDefault="001E374C" w:rsidP="001E374C">
      <w:pPr>
        <w:tabs>
          <w:tab w:val="num" w:pos="900"/>
        </w:tabs>
        <w:jc w:val="both"/>
        <w:rPr>
          <w:rFonts w:ascii="Tahoma" w:hAnsi="Tahoma" w:cs="Tahoma"/>
        </w:rPr>
      </w:pPr>
    </w:p>
    <w:p w:rsidR="001E374C" w:rsidRPr="00EE44BB" w:rsidRDefault="001E374C" w:rsidP="001E374C">
      <w:pPr>
        <w:numPr>
          <w:ilvl w:val="0"/>
          <w:numId w:val="3"/>
        </w:numPr>
        <w:jc w:val="both"/>
        <w:rPr>
          <w:rFonts w:ascii="Tahoma" w:hAnsi="Tahoma" w:cs="Tahoma"/>
        </w:rPr>
      </w:pPr>
      <w:r w:rsidRPr="00EE44BB">
        <w:rPr>
          <w:rFonts w:ascii="Tahoma" w:hAnsi="Tahoma" w:cs="Tahoma"/>
        </w:rPr>
        <w:t xml:space="preserve">En relación a la graduación de la sanción imponible, el artículo </w:t>
      </w:r>
      <w:r>
        <w:rPr>
          <w:rFonts w:ascii="Tahoma" w:hAnsi="Tahoma" w:cs="Tahoma"/>
        </w:rPr>
        <w:t>205</w:t>
      </w:r>
      <w:r w:rsidRPr="00EE44BB">
        <w:rPr>
          <w:rFonts w:ascii="Tahoma" w:hAnsi="Tahoma" w:cs="Tahoma"/>
        </w:rPr>
        <w:t xml:space="preserve"> del Reglamento </w:t>
      </w:r>
      <w:r>
        <w:rPr>
          <w:rFonts w:ascii="Tahoma" w:hAnsi="Tahoma" w:cs="Tahoma"/>
        </w:rPr>
        <w:t>establece que los postores que incumplan injustificadamente sus obligaciones derivadas de un contrato, dando lugar a que éste se resuelva,</w:t>
      </w:r>
      <w:r w:rsidRPr="00EE44BB">
        <w:rPr>
          <w:rFonts w:ascii="Tahoma" w:hAnsi="Tahoma" w:cs="Tahoma"/>
        </w:rPr>
        <w:t xml:space="preserve"> serán sancionados con inhabilitación temporal para contratar con el Estado por un periodo no menor de </w:t>
      </w:r>
      <w:r>
        <w:rPr>
          <w:rFonts w:ascii="Tahoma" w:hAnsi="Tahoma" w:cs="Tahoma"/>
        </w:rPr>
        <w:t>doce</w:t>
      </w:r>
      <w:r w:rsidRPr="00EE44BB">
        <w:rPr>
          <w:rFonts w:ascii="Tahoma" w:hAnsi="Tahoma" w:cs="Tahoma"/>
        </w:rPr>
        <w:t xml:space="preserve"> (</w:t>
      </w:r>
      <w:r>
        <w:rPr>
          <w:rFonts w:ascii="Tahoma" w:hAnsi="Tahoma" w:cs="Tahoma"/>
        </w:rPr>
        <w:t>12</w:t>
      </w:r>
      <w:r w:rsidRPr="00EE44BB">
        <w:rPr>
          <w:rFonts w:ascii="Tahoma" w:hAnsi="Tahoma" w:cs="Tahoma"/>
        </w:rPr>
        <w:t xml:space="preserve">) meses ni mayor de </w:t>
      </w:r>
      <w:r>
        <w:rPr>
          <w:rFonts w:ascii="Tahoma" w:hAnsi="Tahoma" w:cs="Tahoma"/>
        </w:rPr>
        <w:t>veinticuatro</w:t>
      </w:r>
      <w:r w:rsidRPr="00EE44BB">
        <w:rPr>
          <w:rFonts w:ascii="Tahoma" w:hAnsi="Tahoma" w:cs="Tahoma"/>
        </w:rPr>
        <w:t xml:space="preserve"> (</w:t>
      </w:r>
      <w:r>
        <w:rPr>
          <w:rFonts w:ascii="Tahoma" w:hAnsi="Tahoma" w:cs="Tahoma"/>
        </w:rPr>
        <w:t>24</w:t>
      </w:r>
      <w:r w:rsidRPr="00EE44BB">
        <w:rPr>
          <w:rFonts w:ascii="Tahoma" w:hAnsi="Tahoma" w:cs="Tahoma"/>
        </w:rPr>
        <w:t xml:space="preserve">) </w:t>
      </w:r>
      <w:r>
        <w:rPr>
          <w:rFonts w:ascii="Tahoma" w:hAnsi="Tahoma" w:cs="Tahoma"/>
        </w:rPr>
        <w:t>meses.</w:t>
      </w:r>
      <w:r w:rsidRPr="00EE44BB">
        <w:rPr>
          <w:rFonts w:ascii="Tahoma" w:hAnsi="Tahoma" w:cs="Tahoma"/>
        </w:rPr>
        <w:t xml:space="preserve"> </w:t>
      </w:r>
      <w:r w:rsidRPr="00EE44BB">
        <w:rPr>
          <w:rFonts w:ascii="Tahoma" w:hAnsi="Tahoma" w:cs="Tahoma"/>
          <w:lang w:val="es-MX"/>
        </w:rPr>
        <w:t xml:space="preserve">Sin embargo, en aplicación del </w:t>
      </w:r>
      <w:r w:rsidRPr="00EE44BB">
        <w:rPr>
          <w:rFonts w:ascii="Tahoma" w:hAnsi="Tahoma" w:cs="Tahoma"/>
          <w:i/>
          <w:lang w:val="es-MX"/>
        </w:rPr>
        <w:t xml:space="preserve">Principio de Razonabilidad, </w:t>
      </w:r>
      <w:r w:rsidRPr="00EE44BB">
        <w:rPr>
          <w:rFonts w:ascii="Tahoma" w:hAnsi="Tahoma" w:cs="Tahoma"/>
          <w:lang w:val="es-MX"/>
        </w:rPr>
        <w:t xml:space="preserve">contemplado en el numeral 1.4 del Título Preliminar y en el numeral 3 del artículo 230 de la Ley N.° 27444, </w:t>
      </w:r>
      <w:r w:rsidRPr="00EE44BB">
        <w:rPr>
          <w:rFonts w:ascii="Tahoma" w:hAnsi="Tahoma" w:cs="Tahoma"/>
        </w:rPr>
        <w:t>y atendiendo a la necesidad de que las empresas no sean privadas de su derecho de proveer al Estado más allá de lo estrictamente necesario para satisfacer el cometido de la norma infringida, y al haber verificado este Colegiado la existencia de</w:t>
      </w:r>
      <w:r>
        <w:rPr>
          <w:rFonts w:ascii="Tahoma" w:hAnsi="Tahoma" w:cs="Tahoma"/>
        </w:rPr>
        <w:t xml:space="preserve"> situaciones coadyuvantes</w:t>
      </w:r>
      <w:r w:rsidRPr="00EE44BB">
        <w:rPr>
          <w:rFonts w:ascii="Tahoma" w:hAnsi="Tahoma" w:cs="Tahoma"/>
        </w:rPr>
        <w:t xml:space="preserve"> que ameritan una sanción </w:t>
      </w:r>
      <w:r w:rsidRPr="009E5EAE">
        <w:rPr>
          <w:rFonts w:ascii="Tahoma" w:hAnsi="Tahoma" w:cs="Tahoma"/>
          <w:b/>
          <w:i/>
        </w:rPr>
        <w:t>por debajo del mínimo legal</w:t>
      </w:r>
      <w:r w:rsidRPr="00EE44BB">
        <w:rPr>
          <w:rFonts w:ascii="Tahoma" w:hAnsi="Tahoma" w:cs="Tahoma"/>
        </w:rPr>
        <w:t xml:space="preserve">, considera conveniente imponer ocho (08) meses de inhabilitación temporal a la empresa </w:t>
      </w:r>
      <w:proofErr w:type="spellStart"/>
      <w:r w:rsidRPr="00EE44BB">
        <w:rPr>
          <w:rFonts w:ascii="Tahoma" w:hAnsi="Tahoma" w:cs="Tahoma"/>
        </w:rPr>
        <w:t>Ernst</w:t>
      </w:r>
      <w:proofErr w:type="spellEnd"/>
      <w:r w:rsidRPr="00EE44BB">
        <w:rPr>
          <w:rFonts w:ascii="Tahoma" w:hAnsi="Tahoma" w:cs="Tahoma"/>
        </w:rPr>
        <w:t xml:space="preserve"> &amp; Young Asesores S. Civil de R. L., en razón al monto involucrado en el proceso de selección de la referencia</w:t>
      </w:r>
      <w:r w:rsidRPr="00EE44BB">
        <w:rPr>
          <w:rFonts w:ascii="Tahoma" w:hAnsi="Tahoma" w:cs="Tahoma"/>
          <w:lang w:val="es-PE"/>
        </w:rPr>
        <w:t>; la conducta procesal realizada, la inexistencia  de antecedentes en lo que respecta a haber sido inhabilitado anteriormente en su derecho de participar en procesos de selección y contratar con el Estado, la no p</w:t>
      </w:r>
      <w:r>
        <w:rPr>
          <w:rFonts w:ascii="Tahoma" w:hAnsi="Tahoma" w:cs="Tahoma"/>
          <w:lang w:val="es-PE"/>
        </w:rPr>
        <w:t xml:space="preserve">resencia de </w:t>
      </w:r>
      <w:r w:rsidRPr="00EE44BB">
        <w:rPr>
          <w:rFonts w:ascii="Tahoma" w:hAnsi="Tahoma" w:cs="Tahoma"/>
          <w:lang w:val="es-PE"/>
        </w:rPr>
        <w:t xml:space="preserve"> </w:t>
      </w:r>
      <w:r w:rsidRPr="00EE44BB">
        <w:rPr>
          <w:rFonts w:ascii="Tahoma" w:hAnsi="Tahoma" w:cs="Tahoma"/>
        </w:rPr>
        <w:t xml:space="preserve">daño </w:t>
      </w:r>
      <w:r>
        <w:rPr>
          <w:rFonts w:ascii="Tahoma" w:hAnsi="Tahoma" w:cs="Tahoma"/>
        </w:rPr>
        <w:t xml:space="preserve">subsecuente </w:t>
      </w:r>
      <w:r w:rsidRPr="00EE44BB">
        <w:rPr>
          <w:rFonts w:ascii="Tahoma" w:hAnsi="Tahoma" w:cs="Tahoma"/>
        </w:rPr>
        <w:t>causado a la Entidad</w:t>
      </w:r>
      <w:r>
        <w:rPr>
          <w:rFonts w:ascii="Tahoma" w:hAnsi="Tahoma" w:cs="Tahoma"/>
        </w:rPr>
        <w:t xml:space="preserve"> y la falta de intencionalidad en la conducta realizada</w:t>
      </w:r>
      <w:r w:rsidRPr="00EE44BB">
        <w:rPr>
          <w:rFonts w:ascii="Tahoma" w:hAnsi="Tahoma" w:cs="Tahoma"/>
        </w:rPr>
        <w:t>, según lo descrito en el Laudo Arbitral.</w:t>
      </w:r>
    </w:p>
    <w:p w:rsidR="001E374C" w:rsidRDefault="001E374C" w:rsidP="001E374C">
      <w:pPr>
        <w:jc w:val="both"/>
        <w:rPr>
          <w:rFonts w:ascii="Tahoma" w:hAnsi="Tahoma" w:cs="Tahoma"/>
          <w:b/>
          <w:shadow/>
        </w:rPr>
      </w:pPr>
    </w:p>
    <w:p w:rsidR="001E374C" w:rsidRPr="00E42B74" w:rsidRDefault="001E374C" w:rsidP="001E374C">
      <w:pPr>
        <w:jc w:val="both"/>
        <w:rPr>
          <w:rFonts w:ascii="Tahoma" w:hAnsi="Tahoma" w:cs="Tahoma"/>
          <w:b/>
          <w:shadow/>
        </w:rPr>
      </w:pPr>
    </w:p>
    <w:p w:rsidR="001E374C" w:rsidRPr="00E42B74" w:rsidRDefault="001E374C" w:rsidP="001E374C">
      <w:pPr>
        <w:jc w:val="both"/>
        <w:rPr>
          <w:rFonts w:ascii="Tahoma" w:hAnsi="Tahoma" w:cs="Tahoma"/>
        </w:rPr>
      </w:pPr>
      <w:r w:rsidRPr="00E42B74">
        <w:rPr>
          <w:rFonts w:ascii="Tahoma" w:hAnsi="Tahoma" w:cs="Tahoma"/>
        </w:rPr>
        <w:t xml:space="preserve">Por estos fundamentos, de conformidad con el informe de la Vocal Ponente doctora </w:t>
      </w:r>
      <w:proofErr w:type="spellStart"/>
      <w:r w:rsidRPr="00E42B74">
        <w:rPr>
          <w:rFonts w:ascii="Tahoma" w:hAnsi="Tahoma" w:cs="Tahoma"/>
        </w:rPr>
        <w:t>Janette</w:t>
      </w:r>
      <w:proofErr w:type="spellEnd"/>
      <w:r w:rsidRPr="00E42B74">
        <w:rPr>
          <w:rFonts w:ascii="Tahoma" w:hAnsi="Tahoma" w:cs="Tahoma"/>
        </w:rPr>
        <w:t xml:space="preserve"> </w:t>
      </w:r>
      <w:proofErr w:type="spellStart"/>
      <w:r w:rsidRPr="00E42B74">
        <w:rPr>
          <w:rFonts w:ascii="Tahoma" w:hAnsi="Tahoma" w:cs="Tahoma"/>
        </w:rPr>
        <w:t>Elke</w:t>
      </w:r>
      <w:proofErr w:type="spellEnd"/>
      <w:r w:rsidRPr="00E42B74">
        <w:rPr>
          <w:rFonts w:ascii="Tahoma" w:hAnsi="Tahoma" w:cs="Tahoma"/>
        </w:rPr>
        <w:t xml:space="preserve"> Ramírez </w:t>
      </w:r>
      <w:proofErr w:type="spellStart"/>
      <w:r w:rsidRPr="00E42B74">
        <w:rPr>
          <w:rFonts w:ascii="Tahoma" w:hAnsi="Tahoma" w:cs="Tahoma"/>
        </w:rPr>
        <w:t>Maynetto</w:t>
      </w:r>
      <w:proofErr w:type="spellEnd"/>
      <w:r w:rsidRPr="00E42B74">
        <w:rPr>
          <w:rFonts w:ascii="Tahoma" w:hAnsi="Tahoma" w:cs="Tahoma"/>
        </w:rPr>
        <w:t xml:space="preserve">, con la intervención de los doctores Juan Carlos Valdivia </w:t>
      </w:r>
      <w:proofErr w:type="spellStart"/>
      <w:r w:rsidRPr="00E42B74">
        <w:rPr>
          <w:rFonts w:ascii="Tahoma" w:hAnsi="Tahoma" w:cs="Tahoma"/>
        </w:rPr>
        <w:t>Huaringa</w:t>
      </w:r>
      <w:proofErr w:type="spellEnd"/>
      <w:r w:rsidRPr="00E42B74">
        <w:rPr>
          <w:rFonts w:ascii="Tahoma" w:hAnsi="Tahoma" w:cs="Tahoma"/>
        </w:rPr>
        <w:t xml:space="preserve"> y Carlos Vicente Navas Rondón, atendiendo a la </w:t>
      </w:r>
      <w:proofErr w:type="spellStart"/>
      <w:r w:rsidRPr="00E42B74">
        <w:rPr>
          <w:rFonts w:ascii="Tahoma" w:hAnsi="Tahoma" w:cs="Tahoma"/>
        </w:rPr>
        <w:t>reconformación</w:t>
      </w:r>
      <w:proofErr w:type="spellEnd"/>
      <w:r w:rsidRPr="00E42B74">
        <w:rPr>
          <w:rFonts w:ascii="Tahoma" w:hAnsi="Tahoma" w:cs="Tahoma"/>
        </w:rPr>
        <w:t xml:space="preserve"> de </w:t>
      </w:r>
      <w:smartTag w:uri="urn:schemas-microsoft-com:office:smarttags" w:element="PersonName">
        <w:smartTagPr>
          <w:attr w:name="ProductID" w:val="la Tercera Sala"/>
        </w:smartTagPr>
        <w:r w:rsidRPr="00E42B74">
          <w:rPr>
            <w:rFonts w:ascii="Tahoma" w:hAnsi="Tahoma" w:cs="Tahoma"/>
          </w:rPr>
          <w:t>la Tercera Sala</w:t>
        </w:r>
      </w:smartTag>
      <w:r w:rsidRPr="00E42B74">
        <w:rPr>
          <w:rFonts w:ascii="Tahoma" w:hAnsi="Tahoma" w:cs="Tahoma"/>
        </w:rPr>
        <w:t xml:space="preserve"> del Tribunal de Contrataciones y Adquisiciones del Estado, según lo dispuesto en </w:t>
      </w:r>
      <w:smartTag w:uri="urn:schemas-microsoft-com:office:smarttags" w:element="PersonName">
        <w:smartTagPr>
          <w:attr w:name="ProductID" w:val="la Resoluci￳n N.ﾺ"/>
        </w:smartTagPr>
        <w:r w:rsidRPr="00E42B74">
          <w:rPr>
            <w:rFonts w:ascii="Tahoma" w:hAnsi="Tahoma" w:cs="Tahoma"/>
          </w:rPr>
          <w:t>la Resolución N.º</w:t>
        </w:r>
      </w:smartTag>
      <w:r w:rsidRPr="00E42B74">
        <w:rPr>
          <w:rFonts w:ascii="Tahoma" w:hAnsi="Tahoma" w:cs="Tahoma"/>
        </w:rPr>
        <w:t xml:space="preserve"> 279-2007-CONSUCODE/PRE de fecha 21 de mayo de 2007,</w:t>
      </w:r>
      <w:r>
        <w:rPr>
          <w:rFonts w:ascii="Tahoma" w:hAnsi="Tahoma" w:cs="Tahoma"/>
        </w:rPr>
        <w:t xml:space="preserve"> el Acuerdo de Sala Plena 005/003 ,</w:t>
      </w:r>
      <w:r w:rsidRPr="00E42B74">
        <w:rPr>
          <w:rFonts w:ascii="Tahoma" w:hAnsi="Tahoma" w:cs="Tahoma"/>
        </w:rPr>
        <w:t xml:space="preserve"> y de conformidad con las facultades conferidas en los artículos 53, 59 y 61 del Texto Único Ordenado de </w:t>
      </w:r>
      <w:smartTag w:uri="urn:schemas-microsoft-com:office:smarttags" w:element="PersonName">
        <w:smartTagPr>
          <w:attr w:name="ProductID" w:val="la Ley"/>
        </w:smartTagPr>
        <w:r w:rsidRPr="00E42B74">
          <w:rPr>
            <w:rFonts w:ascii="Tahoma" w:hAnsi="Tahoma" w:cs="Tahoma"/>
          </w:rPr>
          <w:t>la Ley</w:t>
        </w:r>
      </w:smartTag>
      <w:r w:rsidRPr="00E42B74">
        <w:rPr>
          <w:rFonts w:ascii="Tahoma" w:hAnsi="Tahoma" w:cs="Tahoma"/>
        </w:rPr>
        <w:t xml:space="preserve"> de Contrataciones y Adquisiciones del Estado, aprobado por Decreto Supremo N.º 083-2004-PCM, su Reglamento, aprobado por Decreto Supremo N.º 084-2004-PCM,</w:t>
      </w:r>
      <w:r>
        <w:rPr>
          <w:rFonts w:ascii="Tahoma" w:hAnsi="Tahoma" w:cs="Tahoma"/>
        </w:rPr>
        <w:t xml:space="preserve"> el Decreto Supremo N.º 013-2001-PCM,</w:t>
      </w:r>
      <w:r w:rsidRPr="00E42B74">
        <w:rPr>
          <w:rFonts w:ascii="Tahoma" w:hAnsi="Tahoma" w:cs="Tahoma"/>
        </w:rPr>
        <w:t xml:space="preserve"> </w:t>
      </w:r>
      <w:r>
        <w:rPr>
          <w:rFonts w:ascii="Tahoma" w:hAnsi="Tahoma" w:cs="Tahoma"/>
        </w:rPr>
        <w:t xml:space="preserve">en virtud del artículo 4 de la Ley 28267, </w:t>
      </w:r>
      <w:r w:rsidRPr="00E42B74">
        <w:rPr>
          <w:rFonts w:ascii="Tahoma" w:hAnsi="Tahoma" w:cs="Tahoma"/>
        </w:rPr>
        <w:t>y los artículos 17 y 18 del Reglamento de Organización y Funciones del CONSUCODE, aprobado por Decreto Supremos N.º 054-2007-EF; analizados los antecedentes y luego de agotado el correspondiente debate, por unanimidad;</w:t>
      </w:r>
    </w:p>
    <w:p w:rsidR="001E374C" w:rsidRDefault="001E374C" w:rsidP="001E374C">
      <w:pPr>
        <w:tabs>
          <w:tab w:val="num" w:pos="360"/>
        </w:tabs>
        <w:ind w:left="-180" w:firstLine="180"/>
        <w:jc w:val="both"/>
        <w:rPr>
          <w:rFonts w:ascii="Tahoma" w:hAnsi="Tahoma" w:cs="Tahoma"/>
          <w:b/>
          <w:shadow/>
        </w:rPr>
      </w:pPr>
    </w:p>
    <w:p w:rsidR="001E374C" w:rsidRPr="00E42B74" w:rsidRDefault="001E374C" w:rsidP="001E374C">
      <w:pPr>
        <w:tabs>
          <w:tab w:val="num" w:pos="360"/>
        </w:tabs>
        <w:ind w:left="-180" w:firstLine="180"/>
        <w:jc w:val="both"/>
        <w:rPr>
          <w:rFonts w:ascii="Tahoma" w:hAnsi="Tahoma" w:cs="Tahoma"/>
          <w:b/>
          <w:shadow/>
        </w:rPr>
      </w:pPr>
    </w:p>
    <w:p w:rsidR="001E374C" w:rsidRPr="00E42B74" w:rsidRDefault="001E374C" w:rsidP="001E374C">
      <w:pPr>
        <w:tabs>
          <w:tab w:val="num" w:pos="360"/>
        </w:tabs>
        <w:ind w:left="-180" w:firstLine="180"/>
        <w:jc w:val="both"/>
        <w:rPr>
          <w:rFonts w:ascii="Tahoma" w:hAnsi="Tahoma" w:cs="Tahoma"/>
          <w:b/>
          <w:shadow/>
        </w:rPr>
      </w:pPr>
      <w:r w:rsidRPr="00E42B74">
        <w:rPr>
          <w:rFonts w:ascii="Tahoma" w:hAnsi="Tahoma" w:cs="Tahoma"/>
          <w:b/>
          <w:shadow/>
        </w:rPr>
        <w:t>LA SALA RESUELVE:</w:t>
      </w:r>
    </w:p>
    <w:p w:rsidR="001E374C" w:rsidRDefault="001E374C" w:rsidP="001E374C">
      <w:pPr>
        <w:jc w:val="both"/>
        <w:rPr>
          <w:rFonts w:ascii="Tahoma" w:hAnsi="Tahoma" w:cs="Tahoma"/>
          <w:b/>
          <w:shadow/>
        </w:rPr>
      </w:pPr>
    </w:p>
    <w:p w:rsidR="001E374C" w:rsidRDefault="001E374C" w:rsidP="001E374C">
      <w:pPr>
        <w:numPr>
          <w:ilvl w:val="0"/>
          <w:numId w:val="6"/>
        </w:numPr>
        <w:tabs>
          <w:tab w:val="clear" w:pos="720"/>
          <w:tab w:val="num" w:pos="360"/>
          <w:tab w:val="num" w:pos="900"/>
        </w:tabs>
        <w:ind w:left="360"/>
        <w:jc w:val="both"/>
        <w:rPr>
          <w:rFonts w:ascii="Tahoma" w:hAnsi="Tahoma" w:cs="Tahoma"/>
        </w:rPr>
      </w:pPr>
      <w:r w:rsidRPr="00526AED">
        <w:rPr>
          <w:rFonts w:ascii="Tahoma" w:hAnsi="Tahoma" w:cs="Tahoma"/>
        </w:rPr>
        <w:t xml:space="preserve">Sancionar a la empresa </w:t>
      </w:r>
      <w:proofErr w:type="spellStart"/>
      <w:r w:rsidRPr="00526AED">
        <w:rPr>
          <w:rFonts w:ascii="Tahoma" w:hAnsi="Tahoma" w:cs="Tahoma"/>
          <w:b/>
        </w:rPr>
        <w:t>Ernst</w:t>
      </w:r>
      <w:proofErr w:type="spellEnd"/>
      <w:r w:rsidRPr="00526AED">
        <w:rPr>
          <w:rFonts w:ascii="Tahoma" w:hAnsi="Tahoma" w:cs="Tahoma"/>
          <w:b/>
        </w:rPr>
        <w:t xml:space="preserve"> &amp; Young Asesores S. Civil de R. L.,</w:t>
      </w:r>
      <w:r w:rsidRPr="00526AED">
        <w:rPr>
          <w:rFonts w:ascii="Tahoma" w:hAnsi="Tahoma" w:cs="Tahoma"/>
        </w:rPr>
        <w:t xml:space="preserve"> con </w:t>
      </w:r>
      <w:r w:rsidRPr="00526AED">
        <w:rPr>
          <w:rFonts w:ascii="Tahoma" w:hAnsi="Tahoma" w:cs="Tahoma"/>
          <w:b/>
        </w:rPr>
        <w:t>ocho</w:t>
      </w:r>
      <w:r w:rsidRPr="00526AED">
        <w:rPr>
          <w:rFonts w:ascii="Tahoma" w:hAnsi="Tahoma" w:cs="Tahoma"/>
        </w:rPr>
        <w:t xml:space="preserve"> </w:t>
      </w:r>
      <w:r w:rsidRPr="00526AED">
        <w:rPr>
          <w:rFonts w:ascii="Tahoma" w:hAnsi="Tahoma" w:cs="Tahoma"/>
          <w:b/>
        </w:rPr>
        <w:t xml:space="preserve">(08) meses de inhabilitación temporal </w:t>
      </w:r>
      <w:r w:rsidRPr="00526AED">
        <w:rPr>
          <w:rFonts w:ascii="Tahoma" w:hAnsi="Tahoma" w:cs="Tahoma"/>
        </w:rPr>
        <w:t xml:space="preserve">en su derecho de participar en procesos de selección y contratar con el </w:t>
      </w:r>
      <w:r w:rsidRPr="00526AED">
        <w:rPr>
          <w:rFonts w:ascii="Tahoma" w:hAnsi="Tahoma" w:cs="Tahoma"/>
        </w:rPr>
        <w:lastRenderedPageBreak/>
        <w:t xml:space="preserve">Estado; sanción que tendrá vigencia a partir del cuarto día hábil siguiente de notificada la presente resolución. </w:t>
      </w:r>
    </w:p>
    <w:p w:rsidR="001E374C" w:rsidRDefault="001E374C" w:rsidP="001E374C">
      <w:pPr>
        <w:tabs>
          <w:tab w:val="num" w:pos="900"/>
        </w:tabs>
        <w:jc w:val="both"/>
        <w:rPr>
          <w:rFonts w:ascii="Tahoma" w:hAnsi="Tahoma" w:cs="Tahoma"/>
        </w:rPr>
      </w:pPr>
    </w:p>
    <w:p w:rsidR="001E374C" w:rsidRPr="00526AED" w:rsidRDefault="001E374C" w:rsidP="001E374C">
      <w:pPr>
        <w:numPr>
          <w:ilvl w:val="0"/>
          <w:numId w:val="6"/>
        </w:numPr>
        <w:tabs>
          <w:tab w:val="clear" w:pos="720"/>
          <w:tab w:val="num" w:pos="360"/>
          <w:tab w:val="num" w:pos="900"/>
        </w:tabs>
        <w:ind w:left="360"/>
        <w:jc w:val="both"/>
        <w:rPr>
          <w:rFonts w:ascii="Tahoma" w:hAnsi="Tahoma" w:cs="Tahoma"/>
        </w:rPr>
      </w:pPr>
      <w:r w:rsidRPr="00526AED">
        <w:rPr>
          <w:rFonts w:ascii="Tahoma" w:hAnsi="Tahoma" w:cs="Tahoma"/>
        </w:rPr>
        <w:t>Poner la prese</w:t>
      </w:r>
      <w:r>
        <w:rPr>
          <w:rFonts w:ascii="Tahoma" w:hAnsi="Tahoma" w:cs="Tahoma"/>
        </w:rPr>
        <w:t>nte resolución en conocimiento de</w:t>
      </w:r>
      <w:r w:rsidRPr="00526AED">
        <w:rPr>
          <w:rFonts w:ascii="Tahoma" w:hAnsi="Tahoma" w:cs="Tahoma"/>
        </w:rPr>
        <w:t xml:space="preserve"> la </w:t>
      </w:r>
      <w:r>
        <w:rPr>
          <w:rFonts w:ascii="Tahoma" w:hAnsi="Tahoma" w:cs="Tahoma"/>
        </w:rPr>
        <w:t xml:space="preserve">Subdirección </w:t>
      </w:r>
      <w:r w:rsidRPr="00526AED">
        <w:rPr>
          <w:rFonts w:ascii="Tahoma" w:hAnsi="Tahoma" w:cs="Tahoma"/>
        </w:rPr>
        <w:t>de</w:t>
      </w:r>
      <w:r>
        <w:rPr>
          <w:rFonts w:ascii="Tahoma" w:hAnsi="Tahoma" w:cs="Tahoma"/>
        </w:rPr>
        <w:t xml:space="preserve">l Registro Nacional de Proveedores del </w:t>
      </w:r>
      <w:r w:rsidRPr="00526AED">
        <w:rPr>
          <w:rFonts w:ascii="Tahoma" w:hAnsi="Tahoma" w:cs="Tahoma"/>
        </w:rPr>
        <w:t>CONSUCODE para las anotaciones de ley.</w:t>
      </w:r>
    </w:p>
    <w:p w:rsidR="001E374C" w:rsidRPr="00E42B74" w:rsidRDefault="001E374C" w:rsidP="001E374C">
      <w:pPr>
        <w:pStyle w:val="Textoindependiente"/>
        <w:widowControl/>
        <w:suppressAutoHyphens w:val="0"/>
        <w:rPr>
          <w:rFonts w:cs="Tahoma"/>
          <w:sz w:val="20"/>
          <w:lang w:val="es-ES"/>
        </w:rPr>
      </w:pPr>
    </w:p>
    <w:p w:rsidR="001E374C" w:rsidRPr="00E42B74" w:rsidRDefault="001E374C" w:rsidP="001E374C">
      <w:pPr>
        <w:pStyle w:val="BodyText2"/>
        <w:rPr>
          <w:rFonts w:cs="Tahoma"/>
          <w:sz w:val="20"/>
        </w:rPr>
      </w:pPr>
      <w:r w:rsidRPr="00E42B74">
        <w:rPr>
          <w:rFonts w:cs="Tahoma"/>
          <w:sz w:val="20"/>
        </w:rPr>
        <w:t>Regístrese, comuníquese y publíquese.</w:t>
      </w:r>
    </w:p>
    <w:p w:rsidR="001E374C" w:rsidRPr="00E42B74" w:rsidRDefault="001E374C" w:rsidP="001E374C">
      <w:pPr>
        <w:jc w:val="center"/>
        <w:rPr>
          <w:rFonts w:ascii="Tahoma" w:hAnsi="Tahoma" w:cs="Tahoma"/>
          <w:b/>
          <w:lang w:val="es-ES_tradnl"/>
        </w:rPr>
      </w:pPr>
    </w:p>
    <w:p w:rsidR="001E374C" w:rsidRPr="00E42B74" w:rsidRDefault="001E374C" w:rsidP="001E374C">
      <w:pPr>
        <w:jc w:val="center"/>
        <w:rPr>
          <w:rFonts w:ascii="Tahoma" w:hAnsi="Tahoma" w:cs="Tahoma"/>
          <w:b/>
          <w:lang w:val="es-ES_tradnl"/>
        </w:rPr>
      </w:pPr>
    </w:p>
    <w:p w:rsidR="001E374C" w:rsidRPr="00E42B74" w:rsidRDefault="001E374C" w:rsidP="001E374C">
      <w:pPr>
        <w:jc w:val="center"/>
        <w:rPr>
          <w:rFonts w:ascii="Tahoma" w:hAnsi="Tahoma" w:cs="Tahoma"/>
          <w:b/>
        </w:rPr>
      </w:pPr>
    </w:p>
    <w:p w:rsidR="001E374C" w:rsidRPr="00E42B74" w:rsidRDefault="001E374C" w:rsidP="001E374C">
      <w:pPr>
        <w:jc w:val="center"/>
        <w:rPr>
          <w:rFonts w:ascii="Tahoma" w:hAnsi="Tahoma" w:cs="Tahoma"/>
          <w:b/>
        </w:rPr>
      </w:pPr>
    </w:p>
    <w:p w:rsidR="001E374C" w:rsidRPr="00E42B74" w:rsidRDefault="001E374C" w:rsidP="001E374C">
      <w:pPr>
        <w:jc w:val="center"/>
        <w:rPr>
          <w:rFonts w:ascii="Tahoma" w:hAnsi="Tahoma" w:cs="Tahoma"/>
          <w:b/>
          <w:shadow/>
          <w:lang w:val="pt-BR"/>
        </w:rPr>
      </w:pPr>
      <w:r w:rsidRPr="00E42B74">
        <w:rPr>
          <w:rFonts w:ascii="Tahoma" w:hAnsi="Tahoma" w:cs="Tahoma"/>
          <w:b/>
          <w:shadow/>
          <w:lang w:val="pt-BR"/>
        </w:rPr>
        <w:t>PRESIDENTE</w:t>
      </w:r>
    </w:p>
    <w:p w:rsidR="001E374C" w:rsidRPr="00E42B74" w:rsidRDefault="001E374C" w:rsidP="001E374C">
      <w:pPr>
        <w:jc w:val="center"/>
        <w:rPr>
          <w:rFonts w:ascii="Tahoma" w:hAnsi="Tahoma" w:cs="Tahoma"/>
          <w:b/>
          <w:shadow/>
          <w:lang w:val="pt-BR"/>
        </w:rPr>
      </w:pPr>
    </w:p>
    <w:p w:rsidR="001E374C" w:rsidRPr="00E42B74" w:rsidRDefault="001E374C" w:rsidP="001E374C">
      <w:pPr>
        <w:jc w:val="center"/>
        <w:rPr>
          <w:rFonts w:ascii="Tahoma" w:hAnsi="Tahoma" w:cs="Tahoma"/>
          <w:b/>
          <w:shadow/>
          <w:lang w:val="pt-BR"/>
        </w:rPr>
      </w:pPr>
    </w:p>
    <w:p w:rsidR="001E374C" w:rsidRPr="00E42B74" w:rsidRDefault="001E374C" w:rsidP="001E374C">
      <w:pPr>
        <w:jc w:val="center"/>
        <w:rPr>
          <w:rFonts w:ascii="Tahoma" w:hAnsi="Tahoma" w:cs="Tahoma"/>
          <w:b/>
          <w:shadow/>
          <w:lang w:val="pt-BR"/>
        </w:rPr>
      </w:pPr>
    </w:p>
    <w:p w:rsidR="001E374C" w:rsidRPr="00E42B74" w:rsidRDefault="001E374C" w:rsidP="001E374C">
      <w:pPr>
        <w:jc w:val="center"/>
        <w:rPr>
          <w:rFonts w:ascii="Tahoma" w:hAnsi="Tahoma" w:cs="Tahoma"/>
          <w:b/>
          <w:shadow/>
          <w:lang w:val="pt-BR"/>
        </w:rPr>
      </w:pPr>
    </w:p>
    <w:p w:rsidR="001E374C" w:rsidRPr="00E42B74" w:rsidRDefault="001E374C" w:rsidP="001E374C">
      <w:pPr>
        <w:jc w:val="center"/>
        <w:rPr>
          <w:rFonts w:ascii="Tahoma" w:hAnsi="Tahoma" w:cs="Tahoma"/>
          <w:b/>
          <w:shadow/>
          <w:lang w:val="pt-BR"/>
        </w:rPr>
      </w:pPr>
    </w:p>
    <w:p w:rsidR="001E374C" w:rsidRPr="00E42B74" w:rsidRDefault="001E374C" w:rsidP="001E374C">
      <w:pPr>
        <w:ind w:left="708"/>
        <w:jc w:val="both"/>
        <w:rPr>
          <w:rFonts w:ascii="Tahoma" w:hAnsi="Tahoma" w:cs="Tahoma"/>
          <w:b/>
          <w:shadow/>
          <w:lang w:val="pt-BR"/>
        </w:rPr>
      </w:pPr>
      <w:r w:rsidRPr="00E42B74">
        <w:rPr>
          <w:rFonts w:ascii="Tahoma" w:hAnsi="Tahoma" w:cs="Tahoma"/>
          <w:b/>
          <w:shadow/>
          <w:lang w:val="pt-BR"/>
        </w:rPr>
        <w:t xml:space="preserve"> VOCAL           </w:t>
      </w:r>
      <w:r w:rsidRPr="00E42B74">
        <w:rPr>
          <w:rFonts w:ascii="Tahoma" w:hAnsi="Tahoma" w:cs="Tahoma"/>
          <w:b/>
          <w:shadow/>
          <w:lang w:val="pt-BR"/>
        </w:rPr>
        <w:tab/>
      </w:r>
      <w:r w:rsidRPr="00E42B74">
        <w:rPr>
          <w:rFonts w:ascii="Tahoma" w:hAnsi="Tahoma" w:cs="Tahoma"/>
          <w:b/>
          <w:shadow/>
          <w:lang w:val="pt-BR"/>
        </w:rPr>
        <w:tab/>
        <w:t xml:space="preserve">                                                                    VOCAL</w:t>
      </w:r>
    </w:p>
    <w:p w:rsidR="001E374C" w:rsidRPr="00E42B74" w:rsidRDefault="001E374C" w:rsidP="001E374C">
      <w:pPr>
        <w:ind w:firstLine="708"/>
        <w:rPr>
          <w:rFonts w:ascii="Tahoma" w:hAnsi="Tahoma" w:cs="Tahoma"/>
          <w:b/>
          <w:shadow/>
          <w:lang w:val="pt-BR"/>
        </w:rPr>
      </w:pPr>
    </w:p>
    <w:p w:rsidR="001E374C" w:rsidRPr="00E42B74" w:rsidRDefault="001E374C" w:rsidP="001E374C">
      <w:pPr>
        <w:ind w:firstLine="708"/>
        <w:rPr>
          <w:rFonts w:ascii="Tahoma" w:hAnsi="Tahoma" w:cs="Tahoma"/>
          <w:b/>
          <w:shadow/>
          <w:lang w:val="pt-BR"/>
        </w:rPr>
      </w:pPr>
    </w:p>
    <w:p w:rsidR="001E374C" w:rsidRPr="00E42B74" w:rsidRDefault="001E374C" w:rsidP="001E374C">
      <w:pPr>
        <w:ind w:firstLine="708"/>
        <w:rPr>
          <w:rFonts w:ascii="Tahoma" w:hAnsi="Tahoma" w:cs="Tahoma"/>
          <w:b/>
          <w:shadow/>
          <w:lang w:val="pt-BR"/>
        </w:rPr>
      </w:pPr>
    </w:p>
    <w:p w:rsidR="001E374C" w:rsidRPr="00E42B74" w:rsidRDefault="001E374C" w:rsidP="001E374C">
      <w:pPr>
        <w:ind w:firstLine="708"/>
        <w:rPr>
          <w:rFonts w:ascii="Tahoma" w:hAnsi="Tahoma" w:cs="Tahoma"/>
          <w:b/>
          <w:shadow/>
          <w:lang w:val="pt-BR"/>
        </w:rPr>
      </w:pPr>
    </w:p>
    <w:p w:rsidR="001E374C" w:rsidRPr="00E42B74" w:rsidRDefault="001E374C" w:rsidP="001E374C">
      <w:pPr>
        <w:ind w:firstLine="708"/>
        <w:rPr>
          <w:rFonts w:ascii="Tahoma" w:hAnsi="Tahoma" w:cs="Tahoma"/>
          <w:b/>
          <w:shadow/>
          <w:lang w:val="pt-BR"/>
        </w:rPr>
      </w:pPr>
    </w:p>
    <w:p w:rsidR="001E374C" w:rsidRPr="00E42B74" w:rsidRDefault="001E374C" w:rsidP="001E374C">
      <w:pPr>
        <w:ind w:firstLine="708"/>
        <w:rPr>
          <w:rFonts w:ascii="Tahoma" w:hAnsi="Tahoma" w:cs="Tahoma"/>
          <w:b/>
          <w:shadow/>
          <w:lang w:val="pt-BR"/>
        </w:rPr>
      </w:pPr>
    </w:p>
    <w:p w:rsidR="001E374C" w:rsidRPr="00E42B74" w:rsidRDefault="001E374C" w:rsidP="001E374C">
      <w:pPr>
        <w:ind w:firstLine="708"/>
        <w:rPr>
          <w:rFonts w:ascii="Tahoma" w:hAnsi="Tahoma" w:cs="Tahoma"/>
          <w:b/>
          <w:shadow/>
          <w:lang w:val="pt-BR"/>
        </w:rPr>
      </w:pPr>
    </w:p>
    <w:p w:rsidR="001E374C" w:rsidRPr="00E42B74" w:rsidRDefault="001E374C" w:rsidP="001E374C">
      <w:pPr>
        <w:ind w:firstLine="708"/>
        <w:rPr>
          <w:rFonts w:ascii="Tahoma" w:hAnsi="Tahoma" w:cs="Tahoma"/>
          <w:b/>
          <w:shadow/>
          <w:lang w:val="pt-BR"/>
        </w:rPr>
      </w:pPr>
    </w:p>
    <w:p w:rsidR="001E374C" w:rsidRPr="00E42B74" w:rsidRDefault="001E374C" w:rsidP="001E374C">
      <w:pPr>
        <w:ind w:firstLine="708"/>
        <w:rPr>
          <w:rFonts w:ascii="Tahoma" w:hAnsi="Tahoma" w:cs="Tahoma"/>
          <w:b/>
          <w:shadow/>
          <w:lang w:val="pt-BR"/>
        </w:rPr>
      </w:pPr>
    </w:p>
    <w:p w:rsidR="001E374C" w:rsidRPr="00E42B74" w:rsidRDefault="001E374C" w:rsidP="001E374C">
      <w:pPr>
        <w:jc w:val="both"/>
        <w:rPr>
          <w:rFonts w:ascii="Tahoma" w:hAnsi="Tahoma" w:cs="Tahoma"/>
          <w:lang w:val="pt-BR"/>
        </w:rPr>
      </w:pPr>
      <w:proofErr w:type="gramStart"/>
      <w:r w:rsidRPr="00E42B74">
        <w:rPr>
          <w:rFonts w:ascii="Tahoma" w:hAnsi="Tahoma" w:cs="Tahoma"/>
          <w:lang w:val="pt-BR"/>
        </w:rPr>
        <w:t>ss.</w:t>
      </w:r>
      <w:proofErr w:type="gramEnd"/>
    </w:p>
    <w:p w:rsidR="001E374C" w:rsidRPr="0036554D" w:rsidRDefault="001E374C" w:rsidP="001E374C">
      <w:pPr>
        <w:pStyle w:val="BodyText2"/>
        <w:rPr>
          <w:rFonts w:cs="Tahoma"/>
          <w:sz w:val="18"/>
          <w:szCs w:val="18"/>
          <w:lang w:val="pt-BR"/>
        </w:rPr>
      </w:pPr>
      <w:proofErr w:type="spellStart"/>
      <w:r w:rsidRPr="0036554D">
        <w:rPr>
          <w:rFonts w:cs="Tahoma"/>
          <w:sz w:val="18"/>
          <w:szCs w:val="18"/>
          <w:lang w:val="pt-BR"/>
        </w:rPr>
        <w:t>Valdivia</w:t>
      </w:r>
      <w:proofErr w:type="spellEnd"/>
      <w:r w:rsidRPr="0036554D">
        <w:rPr>
          <w:rFonts w:cs="Tahoma"/>
          <w:sz w:val="18"/>
          <w:szCs w:val="18"/>
          <w:lang w:val="pt-BR"/>
        </w:rPr>
        <w:t xml:space="preserve"> </w:t>
      </w:r>
      <w:proofErr w:type="spellStart"/>
      <w:r w:rsidRPr="0036554D">
        <w:rPr>
          <w:rFonts w:cs="Tahoma"/>
          <w:sz w:val="18"/>
          <w:szCs w:val="18"/>
          <w:lang w:val="pt-BR"/>
        </w:rPr>
        <w:t>Huaringa</w:t>
      </w:r>
      <w:proofErr w:type="spellEnd"/>
      <w:r w:rsidRPr="0036554D">
        <w:rPr>
          <w:rFonts w:cs="Tahoma"/>
          <w:sz w:val="18"/>
          <w:szCs w:val="18"/>
          <w:lang w:val="pt-BR"/>
        </w:rPr>
        <w:t>.</w:t>
      </w:r>
    </w:p>
    <w:p w:rsidR="001E374C" w:rsidRPr="0036554D" w:rsidRDefault="001E374C" w:rsidP="001E374C">
      <w:pPr>
        <w:pStyle w:val="BodyText2"/>
        <w:rPr>
          <w:rFonts w:cs="Tahoma"/>
          <w:sz w:val="18"/>
          <w:szCs w:val="18"/>
        </w:rPr>
      </w:pPr>
      <w:r w:rsidRPr="0036554D">
        <w:rPr>
          <w:rFonts w:cs="Tahoma"/>
          <w:sz w:val="18"/>
          <w:szCs w:val="18"/>
        </w:rPr>
        <w:t xml:space="preserve">Ramírez </w:t>
      </w:r>
      <w:proofErr w:type="spellStart"/>
      <w:r w:rsidRPr="0036554D">
        <w:rPr>
          <w:rFonts w:cs="Tahoma"/>
          <w:sz w:val="18"/>
          <w:szCs w:val="18"/>
        </w:rPr>
        <w:t>Maynetto</w:t>
      </w:r>
      <w:proofErr w:type="spellEnd"/>
      <w:r w:rsidRPr="0036554D">
        <w:rPr>
          <w:rFonts w:cs="Tahoma"/>
          <w:sz w:val="18"/>
          <w:szCs w:val="18"/>
        </w:rPr>
        <w:t>.</w:t>
      </w:r>
    </w:p>
    <w:p w:rsidR="001E374C" w:rsidRPr="0036554D" w:rsidRDefault="001E374C" w:rsidP="001E374C">
      <w:pPr>
        <w:pStyle w:val="BodyText2"/>
        <w:tabs>
          <w:tab w:val="left" w:pos="7740"/>
        </w:tabs>
        <w:rPr>
          <w:rFonts w:cs="Tahoma"/>
          <w:sz w:val="18"/>
          <w:szCs w:val="18"/>
        </w:rPr>
      </w:pPr>
      <w:r w:rsidRPr="0036554D">
        <w:rPr>
          <w:rFonts w:cs="Tahoma"/>
          <w:sz w:val="18"/>
          <w:szCs w:val="18"/>
        </w:rPr>
        <w:t>Navas Rondón.</w:t>
      </w:r>
    </w:p>
    <w:p w:rsidR="001E374C" w:rsidRPr="00E42B74" w:rsidRDefault="001E374C" w:rsidP="001E374C">
      <w:pPr>
        <w:rPr>
          <w:rFonts w:ascii="Tahoma" w:hAnsi="Tahoma" w:cs="Tahoma"/>
        </w:rPr>
      </w:pPr>
    </w:p>
    <w:p w:rsidR="001E374C" w:rsidRPr="00E42B74" w:rsidRDefault="001E374C" w:rsidP="001E374C">
      <w:pPr>
        <w:rPr>
          <w:rFonts w:ascii="Tahoma" w:hAnsi="Tahoma" w:cs="Tahoma"/>
        </w:rPr>
      </w:pPr>
    </w:p>
    <w:p w:rsidR="001E374C" w:rsidRDefault="001E374C" w:rsidP="001E374C"/>
    <w:p w:rsidR="00DD5730" w:rsidRDefault="00CE4AD6"/>
    <w:sectPr w:rsidR="00DD5730" w:rsidSect="00652889">
      <w:footerReference w:type="even" r:id="rId7"/>
      <w:footerReference w:type="default" r:id="rId8"/>
      <w:pgSz w:w="11907" w:h="16840" w:code="9"/>
      <w:pgMar w:top="3235" w:right="1107" w:bottom="1618" w:left="1260" w:header="720" w:footer="107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374C" w:rsidRDefault="001E374C" w:rsidP="001E374C">
      <w:r>
        <w:separator/>
      </w:r>
    </w:p>
  </w:endnote>
  <w:endnote w:type="continuationSeparator" w:id="1">
    <w:p w:rsidR="001E374C" w:rsidRDefault="001E374C" w:rsidP="001E37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7BB5" w:rsidRDefault="00CE4AD6" w:rsidP="00652889">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437BB5" w:rsidRDefault="00CE4AD6">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7BB5" w:rsidRPr="00864C03" w:rsidRDefault="00CE4AD6">
    <w:pPr>
      <w:pStyle w:val="Piedepgina"/>
      <w:framePr w:wrap="around" w:vAnchor="text" w:hAnchor="margin" w:xAlign="center" w:y="1"/>
      <w:rPr>
        <w:rStyle w:val="Nmerodepgina"/>
        <w:i/>
        <w:sz w:val="20"/>
      </w:rPr>
    </w:pPr>
    <w:r w:rsidRPr="00864C03">
      <w:rPr>
        <w:rStyle w:val="Nmerodepgina"/>
        <w:i/>
        <w:sz w:val="20"/>
      </w:rPr>
      <w:t xml:space="preserve">Página </w:t>
    </w:r>
    <w:r w:rsidRPr="00864C03">
      <w:rPr>
        <w:rStyle w:val="Nmerodepgina"/>
        <w:i/>
        <w:sz w:val="20"/>
      </w:rPr>
      <w:fldChar w:fldCharType="begin"/>
    </w:r>
    <w:r w:rsidRPr="00864C03">
      <w:rPr>
        <w:rStyle w:val="Nmerodepgina"/>
        <w:i/>
        <w:sz w:val="20"/>
      </w:rPr>
      <w:instrText xml:space="preserve"> PAGE </w:instrText>
    </w:r>
    <w:r w:rsidRPr="00864C03">
      <w:rPr>
        <w:rStyle w:val="Nmerodepgina"/>
        <w:i/>
        <w:sz w:val="20"/>
      </w:rPr>
      <w:fldChar w:fldCharType="separate"/>
    </w:r>
    <w:r w:rsidR="00D727CA">
      <w:rPr>
        <w:rStyle w:val="Nmerodepgina"/>
        <w:i/>
        <w:noProof/>
        <w:sz w:val="20"/>
      </w:rPr>
      <w:t>1</w:t>
    </w:r>
    <w:r w:rsidRPr="00864C03">
      <w:rPr>
        <w:rStyle w:val="Nmerodepgina"/>
        <w:i/>
        <w:sz w:val="20"/>
      </w:rPr>
      <w:fldChar w:fldCharType="end"/>
    </w:r>
    <w:r w:rsidRPr="00864C03">
      <w:rPr>
        <w:rStyle w:val="Nmerodepgina"/>
        <w:i/>
        <w:sz w:val="20"/>
      </w:rPr>
      <w:t xml:space="preserve"> de </w:t>
    </w:r>
    <w:r w:rsidRPr="00864C03">
      <w:rPr>
        <w:rStyle w:val="Nmerodepgina"/>
        <w:i/>
        <w:sz w:val="20"/>
      </w:rPr>
      <w:fldChar w:fldCharType="begin"/>
    </w:r>
    <w:r w:rsidRPr="00864C03">
      <w:rPr>
        <w:rStyle w:val="Nmerodepgina"/>
        <w:i/>
        <w:sz w:val="20"/>
      </w:rPr>
      <w:instrText xml:space="preserve"> NUMPAGES </w:instrText>
    </w:r>
    <w:r w:rsidRPr="00864C03">
      <w:rPr>
        <w:rStyle w:val="Nmerodepgina"/>
        <w:i/>
        <w:sz w:val="20"/>
      </w:rPr>
      <w:fldChar w:fldCharType="separate"/>
    </w:r>
    <w:r w:rsidR="00D727CA">
      <w:rPr>
        <w:rStyle w:val="Nmerodepgina"/>
        <w:i/>
        <w:noProof/>
        <w:sz w:val="20"/>
      </w:rPr>
      <w:t>12</w:t>
    </w:r>
    <w:r w:rsidRPr="00864C03">
      <w:rPr>
        <w:rStyle w:val="Nmerodepgina"/>
        <w:i/>
        <w:sz w:val="20"/>
      </w:rPr>
      <w:fldChar w:fldCharType="end"/>
    </w:r>
  </w:p>
  <w:p w:rsidR="00437BB5" w:rsidRDefault="00CE4AD6">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374C" w:rsidRDefault="001E374C" w:rsidP="001E374C">
      <w:r>
        <w:separator/>
      </w:r>
    </w:p>
  </w:footnote>
  <w:footnote w:type="continuationSeparator" w:id="1">
    <w:p w:rsidR="001E374C" w:rsidRDefault="001E374C" w:rsidP="001E374C">
      <w:r>
        <w:continuationSeparator/>
      </w:r>
    </w:p>
  </w:footnote>
  <w:footnote w:id="2">
    <w:p w:rsidR="001E374C" w:rsidRDefault="001E374C" w:rsidP="001E374C">
      <w:pPr>
        <w:pStyle w:val="Textonotapie"/>
        <w:jc w:val="both"/>
        <w:rPr>
          <w:rFonts w:ascii="Tahoma" w:hAnsi="Tahoma" w:cs="Tahoma"/>
          <w:sz w:val="16"/>
        </w:rPr>
      </w:pPr>
      <w:r>
        <w:rPr>
          <w:rStyle w:val="Refdenotaalpie"/>
        </w:rPr>
        <w:footnoteRef/>
      </w:r>
      <w:r>
        <w:t xml:space="preserve"> </w:t>
      </w:r>
      <w:r>
        <w:rPr>
          <w:rFonts w:ascii="Tahoma" w:hAnsi="Tahoma" w:cs="Tahoma"/>
          <w:b/>
          <w:bCs/>
          <w:sz w:val="16"/>
        </w:rPr>
        <w:t xml:space="preserve">Project Management </w:t>
      </w:r>
      <w:proofErr w:type="spellStart"/>
      <w:r>
        <w:rPr>
          <w:rFonts w:ascii="Tahoma" w:hAnsi="Tahoma" w:cs="Tahoma"/>
          <w:b/>
          <w:bCs/>
          <w:sz w:val="16"/>
        </w:rPr>
        <w:t>Institute</w:t>
      </w:r>
      <w:proofErr w:type="spellEnd"/>
      <w:r>
        <w:rPr>
          <w:rFonts w:ascii="Tahoma" w:hAnsi="Tahoma" w:cs="Tahoma"/>
          <w:b/>
          <w:bCs/>
          <w:sz w:val="16"/>
        </w:rPr>
        <w:t xml:space="preserve"> (PMI)</w:t>
      </w:r>
      <w:r>
        <w:rPr>
          <w:rFonts w:ascii="Tahoma" w:hAnsi="Tahoma" w:cs="Tahoma"/>
          <w:sz w:val="16"/>
        </w:rPr>
        <w:t xml:space="preserve">, es una institución dedicada a la promoción de la gerencia de proyectos como profesión y que genera valor en las organizaciones y que éstas asignen a su éxito a la gerencia de proyectos. Es el principal partidario y patrocinador en el mundo de la profesión Project Management. Dicha institución establece estándares para la industria del Project </w:t>
      </w:r>
      <w:proofErr w:type="spellStart"/>
      <w:r>
        <w:rPr>
          <w:rFonts w:ascii="Tahoma" w:hAnsi="Tahoma" w:cs="Tahoma"/>
          <w:sz w:val="16"/>
        </w:rPr>
        <w:t>Mangmente</w:t>
      </w:r>
      <w:proofErr w:type="spellEnd"/>
      <w:r>
        <w:rPr>
          <w:rFonts w:ascii="Tahoma" w:hAnsi="Tahoma" w:cs="Tahoma"/>
          <w:sz w:val="16"/>
        </w:rPr>
        <w:t>, conduce investigaciones y provee certificación y oportunidades para intercambio profesional</w:t>
      </w:r>
    </w:p>
  </w:footnote>
  <w:footnote w:id="3">
    <w:p w:rsidR="001E374C" w:rsidRDefault="001E374C" w:rsidP="001E374C">
      <w:pPr>
        <w:pStyle w:val="Textonotapie"/>
        <w:jc w:val="both"/>
        <w:rPr>
          <w:sz w:val="16"/>
        </w:rPr>
      </w:pPr>
      <w:r>
        <w:rPr>
          <w:rStyle w:val="Refdenotaalpie"/>
        </w:rPr>
        <w:footnoteRef/>
      </w:r>
      <w:r>
        <w:t xml:space="preserve"> </w:t>
      </w:r>
      <w:r>
        <w:rPr>
          <w:rFonts w:ascii="Tahoma" w:hAnsi="Tahoma" w:cs="Tahoma"/>
          <w:sz w:val="16"/>
        </w:rPr>
        <w:t xml:space="preserve">El PMI ha desarrollado un estándar denominado </w:t>
      </w:r>
      <w:proofErr w:type="spellStart"/>
      <w:r>
        <w:rPr>
          <w:rFonts w:ascii="Tahoma" w:hAnsi="Tahoma" w:cs="Tahoma"/>
          <w:b/>
          <w:bCs/>
          <w:sz w:val="16"/>
        </w:rPr>
        <w:t>Organizational</w:t>
      </w:r>
      <w:proofErr w:type="spellEnd"/>
      <w:r>
        <w:rPr>
          <w:rFonts w:ascii="Tahoma" w:hAnsi="Tahoma" w:cs="Tahoma"/>
          <w:b/>
          <w:bCs/>
          <w:sz w:val="16"/>
        </w:rPr>
        <w:t xml:space="preserve"> Project </w:t>
      </w:r>
      <w:proofErr w:type="spellStart"/>
      <w:r>
        <w:rPr>
          <w:rFonts w:ascii="Tahoma" w:hAnsi="Tahoma" w:cs="Tahoma"/>
          <w:b/>
          <w:bCs/>
          <w:sz w:val="16"/>
        </w:rPr>
        <w:t>Managemente</w:t>
      </w:r>
      <w:proofErr w:type="spellEnd"/>
      <w:r>
        <w:rPr>
          <w:rFonts w:ascii="Tahoma" w:hAnsi="Tahoma" w:cs="Tahoma"/>
          <w:b/>
          <w:bCs/>
          <w:sz w:val="16"/>
        </w:rPr>
        <w:t xml:space="preserve"> </w:t>
      </w:r>
      <w:proofErr w:type="spellStart"/>
      <w:r>
        <w:rPr>
          <w:rFonts w:ascii="Tahoma" w:hAnsi="Tahoma" w:cs="Tahoma"/>
          <w:b/>
          <w:bCs/>
          <w:sz w:val="16"/>
        </w:rPr>
        <w:t>Maturity</w:t>
      </w:r>
      <w:proofErr w:type="spellEnd"/>
      <w:r>
        <w:rPr>
          <w:rFonts w:ascii="Tahoma" w:hAnsi="Tahoma" w:cs="Tahoma"/>
          <w:b/>
          <w:bCs/>
          <w:sz w:val="16"/>
        </w:rPr>
        <w:t xml:space="preserve"> </w:t>
      </w:r>
      <w:proofErr w:type="spellStart"/>
      <w:r>
        <w:rPr>
          <w:rFonts w:ascii="Tahoma" w:hAnsi="Tahoma" w:cs="Tahoma"/>
          <w:b/>
          <w:bCs/>
          <w:sz w:val="16"/>
        </w:rPr>
        <w:t>Model</w:t>
      </w:r>
      <w:proofErr w:type="spellEnd"/>
      <w:r>
        <w:rPr>
          <w:rFonts w:ascii="Tahoma" w:hAnsi="Tahoma" w:cs="Tahoma"/>
          <w:b/>
          <w:bCs/>
          <w:sz w:val="16"/>
        </w:rPr>
        <w:t xml:space="preserve"> (OPM3)</w:t>
      </w:r>
      <w:r>
        <w:rPr>
          <w:rFonts w:ascii="Tahoma" w:hAnsi="Tahoma" w:cs="Tahoma"/>
          <w:sz w:val="16"/>
        </w:rPr>
        <w:t xml:space="preserve"> Este estándar ha sido desarrollado expresamente para : 1.- ayudar a aquellas organizaciones orientadas a la gestión de Proyectos a entender el concepto de Gestión de Proyectos a nivel organizacional” ; 2.- ayudar a las mismas a evaluar su nivel de madurez organizacional en la gestión de proyectos y 3.- ayudar a aquellas organizaciones que desean incrementar su nivel de madurez a planear la asimilación de mejoras</w:t>
      </w:r>
    </w:p>
  </w:footnote>
  <w:footnote w:id="4">
    <w:p w:rsidR="001E374C" w:rsidRDefault="001E374C" w:rsidP="001E374C">
      <w:pPr>
        <w:pStyle w:val="Textonotapie"/>
        <w:jc w:val="both"/>
        <w:rPr>
          <w:sz w:val="16"/>
        </w:rPr>
      </w:pPr>
      <w:r>
        <w:rPr>
          <w:rStyle w:val="Refdenotaalpie"/>
        </w:rPr>
        <w:footnoteRef/>
      </w:r>
      <w:r>
        <w:t xml:space="preserve"> </w:t>
      </w:r>
      <w:r>
        <w:rPr>
          <w:rFonts w:ascii="Tahoma" w:hAnsi="Tahoma" w:cs="Tahoma"/>
          <w:sz w:val="16"/>
        </w:rPr>
        <w:t xml:space="preserve">Es una guía reconocida como válida y aprobada como estándar nacional por el American </w:t>
      </w:r>
      <w:proofErr w:type="spellStart"/>
      <w:r>
        <w:rPr>
          <w:rFonts w:ascii="Tahoma" w:hAnsi="Tahoma" w:cs="Tahoma"/>
          <w:sz w:val="16"/>
        </w:rPr>
        <w:t>National</w:t>
      </w:r>
      <w:proofErr w:type="spellEnd"/>
      <w:r>
        <w:rPr>
          <w:rFonts w:ascii="Tahoma" w:hAnsi="Tahoma" w:cs="Tahoma"/>
          <w:sz w:val="16"/>
        </w:rPr>
        <w:t xml:space="preserve"> Standard </w:t>
      </w:r>
      <w:proofErr w:type="spellStart"/>
      <w:r>
        <w:rPr>
          <w:rFonts w:ascii="Tahoma" w:hAnsi="Tahoma" w:cs="Tahoma"/>
          <w:sz w:val="16"/>
        </w:rPr>
        <w:t>Institute</w:t>
      </w:r>
      <w:proofErr w:type="spellEnd"/>
      <w:r>
        <w:rPr>
          <w:rFonts w:ascii="Tahoma" w:hAnsi="Tahoma" w:cs="Tahoma"/>
          <w:sz w:val="16"/>
        </w:rPr>
        <w:t xml:space="preserve"> (ANSI) reconocido por el </w:t>
      </w:r>
      <w:proofErr w:type="spellStart"/>
      <w:r>
        <w:rPr>
          <w:rFonts w:ascii="Tahoma" w:hAnsi="Tahoma" w:cs="Tahoma"/>
          <w:sz w:val="16"/>
        </w:rPr>
        <w:t>Institute</w:t>
      </w:r>
      <w:proofErr w:type="spellEnd"/>
      <w:r>
        <w:rPr>
          <w:rFonts w:ascii="Tahoma" w:hAnsi="Tahoma" w:cs="Tahoma"/>
          <w:sz w:val="16"/>
        </w:rPr>
        <w:t xml:space="preserve"> of </w:t>
      </w:r>
      <w:proofErr w:type="spellStart"/>
      <w:r>
        <w:rPr>
          <w:rFonts w:ascii="Tahoma" w:hAnsi="Tahoma" w:cs="Tahoma"/>
          <w:sz w:val="16"/>
        </w:rPr>
        <w:t>Electrical</w:t>
      </w:r>
      <w:proofErr w:type="spellEnd"/>
      <w:r>
        <w:rPr>
          <w:rFonts w:ascii="Tahoma" w:hAnsi="Tahoma" w:cs="Tahoma"/>
          <w:sz w:val="16"/>
        </w:rPr>
        <w:t xml:space="preserve"> and </w:t>
      </w:r>
      <w:proofErr w:type="spellStart"/>
      <w:r>
        <w:rPr>
          <w:rFonts w:ascii="Tahoma" w:hAnsi="Tahoma" w:cs="Tahoma"/>
          <w:sz w:val="16"/>
        </w:rPr>
        <w:t>Electronics</w:t>
      </w:r>
      <w:proofErr w:type="spellEnd"/>
      <w:r>
        <w:rPr>
          <w:rFonts w:ascii="Tahoma" w:hAnsi="Tahoma" w:cs="Tahoma"/>
          <w:sz w:val="16"/>
        </w:rPr>
        <w:t xml:space="preserve"> </w:t>
      </w:r>
      <w:proofErr w:type="spellStart"/>
      <w:r>
        <w:rPr>
          <w:rFonts w:ascii="Tahoma" w:hAnsi="Tahoma" w:cs="Tahoma"/>
          <w:sz w:val="16"/>
        </w:rPr>
        <w:t>Engineers</w:t>
      </w:r>
      <w:proofErr w:type="spellEnd"/>
      <w:r>
        <w:rPr>
          <w:rFonts w:ascii="Tahoma" w:hAnsi="Tahoma" w:cs="Tahoma"/>
          <w:sz w:val="16"/>
        </w:rPr>
        <w:t xml:space="preserve">. Dicha guía es definida como el agregado de conocimiento dentro de la profesión del Project Management. Así, el PMBOK incluye </w:t>
      </w:r>
      <w:proofErr w:type="spellStart"/>
      <w:proofErr w:type="gramStart"/>
      <w:r>
        <w:rPr>
          <w:rFonts w:ascii="Tahoma" w:hAnsi="Tahoma" w:cs="Tahoma"/>
          <w:sz w:val="16"/>
        </w:rPr>
        <w:t>practicas</w:t>
      </w:r>
      <w:proofErr w:type="spellEnd"/>
      <w:proofErr w:type="gramEnd"/>
      <w:r>
        <w:rPr>
          <w:rFonts w:ascii="Tahoma" w:hAnsi="Tahoma" w:cs="Tahoma"/>
          <w:sz w:val="16"/>
        </w:rPr>
        <w:t xml:space="preserve"> tradicionales probadas y ampliamente aplicadas, así como practicas innovadoras y emergentes para la profesión del Project Management.</w:t>
      </w:r>
    </w:p>
  </w:footnote>
  <w:footnote w:id="5">
    <w:p w:rsidR="001E374C" w:rsidRPr="00C24ECB" w:rsidRDefault="001E374C" w:rsidP="001E374C">
      <w:pPr>
        <w:pStyle w:val="Textonotapie"/>
        <w:rPr>
          <w:rFonts w:ascii="Tahoma" w:hAnsi="Tahoma" w:cs="Tahoma"/>
          <w:b/>
          <w:sz w:val="16"/>
          <w:szCs w:val="16"/>
        </w:rPr>
      </w:pPr>
      <w:r>
        <w:rPr>
          <w:rStyle w:val="Refdenotaalpie"/>
        </w:rPr>
        <w:footnoteRef/>
      </w:r>
      <w:r>
        <w:t xml:space="preserve"> </w:t>
      </w:r>
      <w:r w:rsidRPr="00C24ECB">
        <w:rPr>
          <w:rFonts w:ascii="Tahoma" w:hAnsi="Tahoma" w:cs="Tahoma"/>
          <w:b/>
          <w:sz w:val="16"/>
          <w:szCs w:val="16"/>
        </w:rPr>
        <w:t xml:space="preserve">Artículo 294.- Causales  de </w:t>
      </w:r>
      <w:r>
        <w:rPr>
          <w:rFonts w:ascii="Tahoma" w:hAnsi="Tahoma" w:cs="Tahoma"/>
          <w:b/>
          <w:sz w:val="16"/>
          <w:szCs w:val="16"/>
        </w:rPr>
        <w:t>aplicación</w:t>
      </w:r>
      <w:r w:rsidRPr="00C24ECB">
        <w:rPr>
          <w:rFonts w:ascii="Tahoma" w:hAnsi="Tahoma" w:cs="Tahoma"/>
          <w:b/>
          <w:sz w:val="16"/>
          <w:szCs w:val="16"/>
        </w:rPr>
        <w:t xml:space="preserve"> de sanción a los proveedores, </w:t>
      </w:r>
      <w:r>
        <w:rPr>
          <w:rFonts w:ascii="Tahoma" w:hAnsi="Tahoma" w:cs="Tahoma"/>
          <w:b/>
          <w:sz w:val="16"/>
          <w:szCs w:val="16"/>
        </w:rPr>
        <w:t xml:space="preserve">participantes, </w:t>
      </w:r>
      <w:r w:rsidRPr="00C24ECB">
        <w:rPr>
          <w:rFonts w:ascii="Tahoma" w:hAnsi="Tahoma" w:cs="Tahoma"/>
          <w:b/>
          <w:sz w:val="16"/>
          <w:szCs w:val="16"/>
        </w:rPr>
        <w:t>postores y contratistas.-</w:t>
      </w:r>
    </w:p>
    <w:p w:rsidR="001E374C" w:rsidRPr="0037244C" w:rsidRDefault="001E374C" w:rsidP="001E374C">
      <w:pPr>
        <w:pStyle w:val="Textonotapie"/>
        <w:rPr>
          <w:rFonts w:ascii="Tahoma" w:hAnsi="Tahoma" w:cs="Tahoma"/>
          <w:sz w:val="16"/>
          <w:szCs w:val="16"/>
        </w:rPr>
      </w:pPr>
      <w:r w:rsidRPr="0003520E">
        <w:rPr>
          <w:rFonts w:ascii="Tahoma" w:hAnsi="Tahoma" w:cs="Tahoma"/>
          <w:sz w:val="16"/>
          <w:szCs w:val="16"/>
        </w:rPr>
        <w:t>(…)</w:t>
      </w:r>
      <w:r>
        <w:rPr>
          <w:rFonts w:ascii="Tahoma" w:hAnsi="Tahoma" w:cs="Tahoma"/>
          <w:sz w:val="16"/>
          <w:szCs w:val="16"/>
        </w:rPr>
        <w:t xml:space="preserve"> 2) Den lugar a la resolución del contrato, orden de compra o de servicios por causal atribuible a su parte;</w:t>
      </w:r>
    </w:p>
  </w:footnote>
  <w:footnote w:id="6">
    <w:p w:rsidR="001E374C" w:rsidRDefault="001E374C" w:rsidP="001E374C">
      <w:pPr>
        <w:pStyle w:val="Textonotapie"/>
        <w:jc w:val="both"/>
        <w:rPr>
          <w:rFonts w:ascii="Tahoma" w:hAnsi="Tahoma" w:cs="Tahoma"/>
          <w:b/>
          <w:sz w:val="16"/>
          <w:szCs w:val="16"/>
        </w:rPr>
      </w:pPr>
      <w:r>
        <w:rPr>
          <w:rStyle w:val="Refdenotaalpie"/>
          <w:rFonts w:ascii="Tahoma" w:hAnsi="Tahoma" w:cs="Tahoma"/>
          <w:sz w:val="16"/>
          <w:szCs w:val="16"/>
        </w:rPr>
        <w:footnoteRef/>
      </w:r>
      <w:r>
        <w:rPr>
          <w:rFonts w:ascii="Tahoma" w:hAnsi="Tahoma" w:cs="Tahoma"/>
          <w:sz w:val="16"/>
          <w:szCs w:val="16"/>
        </w:rPr>
        <w:t xml:space="preserve"> </w:t>
      </w:r>
      <w:r>
        <w:rPr>
          <w:rFonts w:ascii="Tahoma" w:hAnsi="Tahoma" w:cs="Tahoma"/>
          <w:b/>
          <w:sz w:val="16"/>
          <w:szCs w:val="16"/>
        </w:rPr>
        <w:t>Artículo IV.- Principios del Procedimiento administrativo</w:t>
      </w:r>
    </w:p>
    <w:p w:rsidR="001E374C" w:rsidRDefault="001E374C" w:rsidP="001E374C">
      <w:pPr>
        <w:pStyle w:val="Textonotapie"/>
        <w:jc w:val="both"/>
        <w:rPr>
          <w:rFonts w:ascii="Tahoma" w:hAnsi="Tahoma" w:cs="Tahoma"/>
          <w:sz w:val="16"/>
          <w:szCs w:val="16"/>
        </w:rPr>
      </w:pPr>
      <w:r>
        <w:rPr>
          <w:rFonts w:ascii="Tahoma" w:hAnsi="Tahoma" w:cs="Tahoma"/>
          <w:sz w:val="16"/>
          <w:szCs w:val="16"/>
        </w:rPr>
        <w:t>1.- El procedimiento administrativo se sustenta fundamentalmente en los siguientes principios, sin perjuicio de la vigencia de otros principios generales del Derecho Administrativo:</w:t>
      </w:r>
    </w:p>
    <w:p w:rsidR="001E374C" w:rsidRDefault="001E374C" w:rsidP="001E374C">
      <w:pPr>
        <w:pStyle w:val="Textonotapie"/>
        <w:jc w:val="both"/>
        <w:rPr>
          <w:rFonts w:ascii="Tahoma" w:hAnsi="Tahoma" w:cs="Tahoma"/>
          <w:sz w:val="16"/>
          <w:szCs w:val="16"/>
        </w:rPr>
      </w:pPr>
      <w:r>
        <w:rPr>
          <w:rFonts w:ascii="Tahoma" w:hAnsi="Tahoma" w:cs="Tahoma"/>
          <w:sz w:val="16"/>
          <w:szCs w:val="16"/>
        </w:rPr>
        <w:t>(…)</w:t>
      </w:r>
    </w:p>
    <w:p w:rsidR="001E374C" w:rsidRDefault="001E374C" w:rsidP="001E374C">
      <w:pPr>
        <w:pStyle w:val="Textonotapie"/>
        <w:jc w:val="both"/>
        <w:rPr>
          <w:rFonts w:ascii="Tahoma" w:hAnsi="Tahoma" w:cs="Tahoma"/>
          <w:sz w:val="16"/>
          <w:szCs w:val="16"/>
        </w:rPr>
      </w:pPr>
      <w:r>
        <w:rPr>
          <w:rFonts w:ascii="Tahoma" w:hAnsi="Tahoma" w:cs="Tahoma"/>
          <w:b/>
          <w:sz w:val="16"/>
          <w:szCs w:val="16"/>
        </w:rPr>
        <w:t xml:space="preserve"> 1.10.- Principio de Eficacia</w:t>
      </w:r>
      <w:r>
        <w:rPr>
          <w:rFonts w:ascii="Tahoma" w:hAnsi="Tahoma" w:cs="Tahoma"/>
          <w:sz w:val="16"/>
          <w:szCs w:val="16"/>
        </w:rPr>
        <w:t xml:space="preserve">.- Los sujetos del procedimiento administrativo deben hacer prevalecer el cumplimiento de la finalidad del acto procedimental, sobre aquellos formalismos cuya realización no incida en su validez, no determinen aspectos importantes en la decisión final, no disminuyan las garantías del procedimiento, ni causen indefensión a los administrados. En todos los supuestos de aplicación de este principio, la finalidad del acto que se privilegie sobre las formalidades no esenciales deberá ajustarse al marco normativo aplicable y su validez será una garantía de la finalidad pública  que se busca satisfacer con la aplicación de este principio. </w:t>
      </w:r>
    </w:p>
  </w:footnote>
  <w:footnote w:id="7">
    <w:p w:rsidR="001E374C" w:rsidRDefault="001E374C" w:rsidP="001E374C">
      <w:pPr>
        <w:pStyle w:val="Textonotapie"/>
        <w:jc w:val="both"/>
        <w:rPr>
          <w:rFonts w:ascii="Tahoma" w:hAnsi="Tahoma" w:cs="Tahoma"/>
          <w:b/>
          <w:bCs/>
          <w:sz w:val="16"/>
          <w:szCs w:val="16"/>
        </w:rPr>
      </w:pPr>
      <w:r>
        <w:rPr>
          <w:rStyle w:val="Refdenotaalpie"/>
        </w:rPr>
        <w:footnoteRef/>
      </w:r>
      <w:r>
        <w:t xml:space="preserve"> </w:t>
      </w:r>
      <w:r>
        <w:rPr>
          <w:rFonts w:ascii="Tahoma" w:hAnsi="Tahoma" w:cs="Tahoma"/>
          <w:b/>
          <w:bCs/>
          <w:sz w:val="16"/>
          <w:szCs w:val="16"/>
        </w:rPr>
        <w:t>Ley N. 27444, Ley de Procedimiento Administrativo General</w:t>
      </w:r>
    </w:p>
    <w:p w:rsidR="001E374C" w:rsidRDefault="001E374C" w:rsidP="001E374C">
      <w:pPr>
        <w:pStyle w:val="Textonotapie"/>
        <w:jc w:val="both"/>
        <w:rPr>
          <w:rFonts w:ascii="Tahoma" w:hAnsi="Tahoma" w:cs="Tahoma"/>
          <w:b/>
          <w:bCs/>
          <w:sz w:val="16"/>
          <w:szCs w:val="16"/>
        </w:rPr>
      </w:pPr>
      <w:r>
        <w:rPr>
          <w:rFonts w:ascii="Tahoma" w:hAnsi="Tahoma" w:cs="Tahoma"/>
          <w:b/>
          <w:bCs/>
          <w:sz w:val="16"/>
          <w:szCs w:val="16"/>
        </w:rPr>
        <w:t>Artículo 14.-Conservación del Acto</w:t>
      </w:r>
    </w:p>
    <w:p w:rsidR="001E374C" w:rsidRDefault="001E374C" w:rsidP="001E374C">
      <w:pPr>
        <w:pStyle w:val="Textonotapie"/>
        <w:jc w:val="both"/>
        <w:rPr>
          <w:rFonts w:ascii="Tahoma" w:hAnsi="Tahoma" w:cs="Tahoma"/>
          <w:sz w:val="16"/>
          <w:szCs w:val="16"/>
        </w:rPr>
      </w:pPr>
      <w:r>
        <w:rPr>
          <w:rFonts w:ascii="Tahoma" w:hAnsi="Tahoma" w:cs="Tahoma"/>
          <w:sz w:val="16"/>
          <w:szCs w:val="16"/>
        </w:rPr>
        <w:t>14.1 Cuando el vicio del acto administrativo por el incumplimiento a sus elementos de validez, no sea trascendente, prevalece la conservación del acto, procediéndose a su enmienda por la propia autoridad emisora.</w:t>
      </w:r>
    </w:p>
    <w:p w:rsidR="001E374C" w:rsidRDefault="001E374C" w:rsidP="001E374C">
      <w:pPr>
        <w:pStyle w:val="Textonotapie"/>
        <w:jc w:val="both"/>
        <w:rPr>
          <w:rFonts w:ascii="Tahoma" w:hAnsi="Tahoma" w:cs="Tahoma"/>
          <w:sz w:val="16"/>
          <w:szCs w:val="16"/>
        </w:rPr>
      </w:pPr>
      <w:r>
        <w:rPr>
          <w:rFonts w:ascii="Tahoma" w:hAnsi="Tahoma" w:cs="Tahoma"/>
          <w:sz w:val="16"/>
          <w:szCs w:val="16"/>
        </w:rPr>
        <w:t>14.2 Son actos administrativos afectados por vicios no trascendentes, los siguientes:</w:t>
      </w:r>
    </w:p>
    <w:p w:rsidR="001E374C" w:rsidRDefault="001E374C" w:rsidP="001E374C">
      <w:pPr>
        <w:pStyle w:val="Textonotapie"/>
        <w:jc w:val="both"/>
        <w:rPr>
          <w:rFonts w:ascii="Tahoma" w:hAnsi="Tahoma" w:cs="Tahoma"/>
          <w:sz w:val="16"/>
          <w:szCs w:val="16"/>
        </w:rPr>
      </w:pPr>
      <w:r>
        <w:rPr>
          <w:rFonts w:ascii="Tahoma" w:hAnsi="Tahoma" w:cs="Tahoma"/>
          <w:sz w:val="16"/>
          <w:szCs w:val="16"/>
        </w:rPr>
        <w:t>14.2.1 El acto cuyo contenido sea impreciso o incongruente con las cuestiones surgidas en la motivación.</w:t>
      </w:r>
    </w:p>
    <w:p w:rsidR="001E374C" w:rsidRDefault="001E374C" w:rsidP="001E374C">
      <w:pPr>
        <w:pStyle w:val="Textonotapie"/>
        <w:jc w:val="both"/>
        <w:rPr>
          <w:rFonts w:ascii="Tahoma" w:hAnsi="Tahoma" w:cs="Tahoma"/>
          <w:sz w:val="16"/>
          <w:szCs w:val="16"/>
        </w:rPr>
      </w:pPr>
      <w:r>
        <w:rPr>
          <w:rFonts w:ascii="Tahoma" w:hAnsi="Tahoma" w:cs="Tahoma"/>
          <w:sz w:val="16"/>
          <w:szCs w:val="16"/>
        </w:rPr>
        <w:t>14.2.2 El acto emitido con una motivación insuficiente o parcial.</w:t>
      </w:r>
    </w:p>
    <w:p w:rsidR="001E374C" w:rsidRDefault="001E374C" w:rsidP="001E374C">
      <w:pPr>
        <w:pStyle w:val="Textonotapie"/>
        <w:jc w:val="both"/>
        <w:rPr>
          <w:rFonts w:ascii="Tahoma" w:hAnsi="Tahoma" w:cs="Tahoma"/>
          <w:sz w:val="16"/>
          <w:szCs w:val="16"/>
        </w:rPr>
      </w:pPr>
      <w:r>
        <w:rPr>
          <w:rFonts w:ascii="Tahoma" w:hAnsi="Tahoma" w:cs="Tahoma"/>
          <w:sz w:val="16"/>
          <w:szCs w:val="16"/>
        </w:rPr>
        <w:t>14.2.3 El acto emitido con infracción a las formalidades no esenciales del procedimiento, considerando como tales aquellas cuya realización correcta no hubiera impedido o cambiado el sentido de la decisión final en aspectos importantes, o cuyo incumplimiento no afectare el debido proceso del administrado.</w:t>
      </w:r>
    </w:p>
    <w:p w:rsidR="001E374C" w:rsidRDefault="001E374C" w:rsidP="001E374C">
      <w:pPr>
        <w:pStyle w:val="Textonotapie"/>
        <w:jc w:val="both"/>
        <w:rPr>
          <w:rFonts w:ascii="Tahoma" w:hAnsi="Tahoma" w:cs="Tahoma"/>
          <w:sz w:val="16"/>
          <w:szCs w:val="16"/>
        </w:rPr>
      </w:pPr>
      <w:r>
        <w:rPr>
          <w:rFonts w:ascii="Tahoma" w:hAnsi="Tahoma" w:cs="Tahoma"/>
          <w:sz w:val="16"/>
          <w:szCs w:val="16"/>
        </w:rPr>
        <w:t>14.2.4 Cuando se concluya indubitablemente de cualquier otro modo que el acto administrativo hubiese tenido el mismo contenido, de no haberse producido el vicio.</w:t>
      </w:r>
    </w:p>
    <w:p w:rsidR="001E374C" w:rsidRDefault="001E374C" w:rsidP="001E374C">
      <w:pPr>
        <w:pStyle w:val="Textonotapie"/>
        <w:jc w:val="both"/>
      </w:pPr>
      <w:r>
        <w:rPr>
          <w:rFonts w:ascii="Tahoma" w:hAnsi="Tahoma" w:cs="Tahoma"/>
          <w:sz w:val="16"/>
          <w:szCs w:val="16"/>
        </w:rPr>
        <w:t>(...)</w:t>
      </w:r>
    </w:p>
  </w:footnote>
  <w:footnote w:id="8">
    <w:p w:rsidR="001E374C" w:rsidRPr="0003520E" w:rsidRDefault="001E374C" w:rsidP="001E374C">
      <w:pPr>
        <w:pStyle w:val="Textonotapie"/>
        <w:rPr>
          <w:rFonts w:ascii="Tahoma" w:hAnsi="Tahoma" w:cs="Tahoma"/>
          <w:sz w:val="16"/>
          <w:szCs w:val="16"/>
        </w:rPr>
      </w:pPr>
      <w:r w:rsidRPr="0003520E">
        <w:rPr>
          <w:rStyle w:val="Refdenotaalpie"/>
          <w:rFonts w:ascii="Tahoma" w:hAnsi="Tahoma" w:cs="Tahoma"/>
          <w:sz w:val="16"/>
          <w:szCs w:val="16"/>
        </w:rPr>
        <w:footnoteRef/>
      </w:r>
      <w:r w:rsidRPr="0003520E">
        <w:rPr>
          <w:rFonts w:ascii="Tahoma" w:hAnsi="Tahoma" w:cs="Tahoma"/>
          <w:sz w:val="16"/>
          <w:szCs w:val="16"/>
        </w:rPr>
        <w:t xml:space="preserve"> </w:t>
      </w:r>
      <w:r>
        <w:rPr>
          <w:rFonts w:ascii="Tahoma" w:hAnsi="Tahoma" w:cs="Tahoma"/>
          <w:b/>
          <w:sz w:val="16"/>
          <w:szCs w:val="16"/>
        </w:rPr>
        <w:t>Artículo 205.- Causales  de im</w:t>
      </w:r>
      <w:r w:rsidRPr="00C24ECB">
        <w:rPr>
          <w:rFonts w:ascii="Tahoma" w:hAnsi="Tahoma" w:cs="Tahoma"/>
          <w:b/>
          <w:sz w:val="16"/>
          <w:szCs w:val="16"/>
        </w:rPr>
        <w:t>posición de sanción a los proveedores, postores y contratistas.-</w:t>
      </w:r>
    </w:p>
    <w:p w:rsidR="001E374C" w:rsidRPr="0003520E" w:rsidRDefault="001E374C" w:rsidP="001E374C">
      <w:pPr>
        <w:pStyle w:val="Textonotapie"/>
        <w:rPr>
          <w:rFonts w:ascii="Tahoma" w:hAnsi="Tahoma" w:cs="Tahoma"/>
          <w:sz w:val="16"/>
          <w:szCs w:val="16"/>
        </w:rPr>
      </w:pPr>
      <w:r w:rsidRPr="0003520E">
        <w:rPr>
          <w:rFonts w:ascii="Tahoma" w:hAnsi="Tahoma" w:cs="Tahoma"/>
          <w:sz w:val="16"/>
          <w:szCs w:val="16"/>
        </w:rPr>
        <w:t>(…)</w:t>
      </w:r>
    </w:p>
    <w:p w:rsidR="001E374C" w:rsidRPr="0003520E" w:rsidRDefault="001E374C" w:rsidP="001E374C">
      <w:pPr>
        <w:pStyle w:val="Textonotapie"/>
        <w:rPr>
          <w:rFonts w:ascii="Tahoma" w:hAnsi="Tahoma" w:cs="Tahoma"/>
          <w:sz w:val="16"/>
          <w:szCs w:val="16"/>
        </w:rPr>
      </w:pPr>
      <w:r w:rsidRPr="0003520E">
        <w:rPr>
          <w:rFonts w:ascii="Tahoma" w:hAnsi="Tahoma" w:cs="Tahoma"/>
          <w:sz w:val="16"/>
          <w:szCs w:val="16"/>
        </w:rPr>
        <w:t>b)Incumplan injustificadamente con las obligaciones derivadas del contrato, dando lugar a que éste se les resuelva de conformidad con el artículo 143;</w:t>
      </w:r>
    </w:p>
  </w:footnote>
  <w:footnote w:id="9">
    <w:p w:rsidR="001E374C" w:rsidRPr="00820927" w:rsidRDefault="001E374C" w:rsidP="001E374C">
      <w:pPr>
        <w:pStyle w:val="Textonotapie"/>
        <w:rPr>
          <w:rFonts w:ascii="Tahoma" w:hAnsi="Tahoma" w:cs="Tahoma"/>
          <w:sz w:val="16"/>
          <w:szCs w:val="16"/>
        </w:rPr>
      </w:pPr>
      <w:r w:rsidRPr="00820927">
        <w:rPr>
          <w:rStyle w:val="Refdenotaalpie"/>
          <w:rFonts w:ascii="Tahoma" w:hAnsi="Tahoma" w:cs="Tahoma"/>
          <w:sz w:val="16"/>
          <w:szCs w:val="16"/>
        </w:rPr>
        <w:footnoteRef/>
      </w:r>
      <w:r w:rsidRPr="00820927">
        <w:rPr>
          <w:rFonts w:ascii="Tahoma" w:hAnsi="Tahoma" w:cs="Tahoma"/>
          <w:sz w:val="16"/>
          <w:szCs w:val="16"/>
        </w:rPr>
        <w:t xml:space="preserve"> Documento obrante a fojas 54 del expediente administrativo.</w:t>
      </w:r>
    </w:p>
  </w:footnote>
  <w:footnote w:id="10">
    <w:p w:rsidR="001E374C" w:rsidRPr="0037063B" w:rsidRDefault="001E374C" w:rsidP="001E374C">
      <w:pPr>
        <w:pStyle w:val="Textonotapie"/>
        <w:rPr>
          <w:rFonts w:ascii="Tahoma" w:hAnsi="Tahoma" w:cs="Tahoma"/>
          <w:sz w:val="16"/>
          <w:szCs w:val="16"/>
        </w:rPr>
      </w:pPr>
      <w:r>
        <w:rPr>
          <w:rStyle w:val="Refdenotaalpie"/>
        </w:rPr>
        <w:footnoteRef/>
      </w:r>
      <w:r>
        <w:t xml:space="preserve"> </w:t>
      </w:r>
      <w:r w:rsidRPr="0037063B">
        <w:rPr>
          <w:rFonts w:ascii="Tahoma" w:hAnsi="Tahoma" w:cs="Tahoma"/>
          <w:b/>
          <w:sz w:val="16"/>
          <w:szCs w:val="16"/>
        </w:rPr>
        <w:t>Artículo 200.- Remisión de Laudo Arbitral.-</w:t>
      </w:r>
    </w:p>
    <w:p w:rsidR="001E374C" w:rsidRPr="0037063B" w:rsidRDefault="001E374C" w:rsidP="001E374C">
      <w:pPr>
        <w:pStyle w:val="Textonotapie"/>
        <w:rPr>
          <w:rFonts w:ascii="Tahoma" w:hAnsi="Tahoma" w:cs="Tahoma"/>
          <w:sz w:val="16"/>
          <w:szCs w:val="16"/>
        </w:rPr>
      </w:pPr>
      <w:r w:rsidRPr="0037063B">
        <w:rPr>
          <w:rFonts w:ascii="Tahoma" w:hAnsi="Tahoma" w:cs="Tahoma"/>
          <w:sz w:val="16"/>
          <w:szCs w:val="16"/>
        </w:rPr>
        <w:t>El laudo  arbitral es inapelable. En consecuencia, no procede impugnación ante segunda instancia arbitral ni ante el poder judicial, salvo el recurso de anulación por las causales previstas en la ley General de Arbitraje.</w:t>
      </w:r>
    </w:p>
  </w:footnote>
  <w:footnote w:id="11">
    <w:p w:rsidR="001E374C" w:rsidRDefault="001E374C" w:rsidP="001E374C">
      <w:pPr>
        <w:pStyle w:val="Textonotapie"/>
      </w:pPr>
      <w:r>
        <w:rPr>
          <w:rStyle w:val="Refdenotaalpie"/>
        </w:rPr>
        <w:footnoteRef/>
      </w:r>
      <w:r>
        <w:t xml:space="preserve"> </w:t>
      </w:r>
      <w:r>
        <w:rPr>
          <w:rFonts w:ascii="Tahoma" w:hAnsi="Tahoma" w:cs="Tahoma"/>
          <w:sz w:val="16"/>
          <w:szCs w:val="16"/>
        </w:rPr>
        <w:t>Documento obrante a fojas 261</w:t>
      </w:r>
      <w:r w:rsidRPr="004D4758">
        <w:rPr>
          <w:rFonts w:ascii="Tahoma" w:hAnsi="Tahoma" w:cs="Tahoma"/>
          <w:sz w:val="16"/>
          <w:szCs w:val="16"/>
        </w:rPr>
        <w:t xml:space="preserve"> del expediente administrativo</w:t>
      </w:r>
      <w:r>
        <w:t>.</w:t>
      </w:r>
    </w:p>
  </w:footnote>
  <w:footnote w:id="12">
    <w:p w:rsidR="001E374C" w:rsidRPr="00975A73" w:rsidRDefault="001E374C" w:rsidP="001E374C">
      <w:pPr>
        <w:pStyle w:val="Textonotapie"/>
        <w:jc w:val="both"/>
        <w:rPr>
          <w:rFonts w:ascii="Tahoma" w:hAnsi="Tahoma" w:cs="Tahoma"/>
          <w:sz w:val="16"/>
          <w:szCs w:val="16"/>
        </w:rPr>
      </w:pPr>
      <w:r w:rsidRPr="00975A73">
        <w:rPr>
          <w:rStyle w:val="Refdenotaalpie"/>
          <w:rFonts w:ascii="Tahoma" w:hAnsi="Tahoma" w:cs="Tahoma"/>
          <w:sz w:val="16"/>
          <w:szCs w:val="16"/>
        </w:rPr>
        <w:footnoteRef/>
      </w:r>
      <w:r w:rsidRPr="00975A73">
        <w:rPr>
          <w:rFonts w:ascii="Tahoma" w:hAnsi="Tahoma" w:cs="Tahoma"/>
          <w:sz w:val="16"/>
          <w:szCs w:val="16"/>
        </w:rPr>
        <w:t xml:space="preserve"> Comunicación mediante la cual, la empresa contratista informó a la Entidad que no podía continuar con la ejecución del servicio de diseño de metodología  y estándares para la gestión de proyectos, en los términos establecidos en las bases del respectivo proceso de selección, ya que los estándares del PMI  y del OPM3 constituían una metodología para la gestión de proyectos y la Entidad requería una metodología para la gestión de servicios.</w:t>
      </w:r>
    </w:p>
  </w:footnote>
  <w:footnote w:id="13">
    <w:p w:rsidR="001E374C" w:rsidRDefault="001E374C" w:rsidP="001E374C">
      <w:pPr>
        <w:pStyle w:val="Textonotapie"/>
      </w:pPr>
      <w:r>
        <w:rPr>
          <w:rStyle w:val="Refdenotaalpie"/>
        </w:rPr>
        <w:footnoteRef/>
      </w:r>
      <w:r>
        <w:t xml:space="preserve"> </w:t>
      </w:r>
      <w:r>
        <w:rPr>
          <w:rFonts w:ascii="Tahoma" w:hAnsi="Tahoma" w:cs="Tahoma"/>
          <w:sz w:val="16"/>
          <w:szCs w:val="16"/>
        </w:rPr>
        <w:t>Documento obrante a fojas 262</w:t>
      </w:r>
      <w:r w:rsidRPr="004D4758">
        <w:rPr>
          <w:rFonts w:ascii="Tahoma" w:hAnsi="Tahoma" w:cs="Tahoma"/>
          <w:sz w:val="16"/>
          <w:szCs w:val="16"/>
        </w:rPr>
        <w:t xml:space="preserve"> del expediente administrativo</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5921"/>
    <w:multiLevelType w:val="hybridMultilevel"/>
    <w:tmpl w:val="C366C376"/>
    <w:lvl w:ilvl="0" w:tplc="2916A138">
      <w:start w:val="1"/>
      <w:numFmt w:val="decimal"/>
      <w:lvlText w:val="%1."/>
      <w:lvlJc w:val="left"/>
      <w:pPr>
        <w:tabs>
          <w:tab w:val="num" w:pos="360"/>
        </w:tabs>
        <w:ind w:left="360" w:hanging="360"/>
      </w:pPr>
      <w:rPr>
        <w:b/>
        <w:i w:val="0"/>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09F24358"/>
    <w:multiLevelType w:val="hybridMultilevel"/>
    <w:tmpl w:val="F0C2F9F8"/>
    <w:lvl w:ilvl="0" w:tplc="3820B606">
      <w:start w:val="1"/>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131D60A9"/>
    <w:multiLevelType w:val="hybridMultilevel"/>
    <w:tmpl w:val="8210337A"/>
    <w:lvl w:ilvl="0" w:tplc="3E022AF8">
      <w:start w:val="1"/>
      <w:numFmt w:val="decimal"/>
      <w:lvlText w:val="%1."/>
      <w:lvlJc w:val="left"/>
      <w:pPr>
        <w:tabs>
          <w:tab w:val="num" w:pos="720"/>
        </w:tabs>
        <w:ind w:left="720" w:hanging="360"/>
      </w:pPr>
      <w:rPr>
        <w:rFonts w:hint="default"/>
        <w:b/>
        <w:color w:val="auto"/>
      </w:rPr>
    </w:lvl>
    <w:lvl w:ilvl="1" w:tplc="64268118">
      <w:start w:val="1"/>
      <w:numFmt w:val="bullet"/>
      <w:lvlText w:val=""/>
      <w:lvlJc w:val="left"/>
      <w:pPr>
        <w:tabs>
          <w:tab w:val="num" w:pos="1440"/>
        </w:tabs>
        <w:ind w:left="1440" w:hanging="360"/>
      </w:pPr>
      <w:rPr>
        <w:rFonts w:ascii="Symbol" w:eastAsia="Times New Roman" w:hAnsi="Symbol" w:cs="Arial"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5102725C"/>
    <w:multiLevelType w:val="hybridMultilevel"/>
    <w:tmpl w:val="26AC11B4"/>
    <w:lvl w:ilvl="0" w:tplc="0C0A0001">
      <w:start w:val="1"/>
      <w:numFmt w:val="bullet"/>
      <w:lvlText w:val=""/>
      <w:lvlJc w:val="left"/>
      <w:pPr>
        <w:tabs>
          <w:tab w:val="num" w:pos="1428"/>
        </w:tabs>
        <w:ind w:left="1428" w:hanging="360"/>
      </w:pPr>
      <w:rPr>
        <w:rFonts w:ascii="Symbol" w:hAnsi="Symbol" w:hint="default"/>
      </w:rPr>
    </w:lvl>
    <w:lvl w:ilvl="1" w:tplc="0C0A0003" w:tentative="1">
      <w:start w:val="1"/>
      <w:numFmt w:val="bullet"/>
      <w:lvlText w:val="o"/>
      <w:lvlJc w:val="left"/>
      <w:pPr>
        <w:tabs>
          <w:tab w:val="num" w:pos="2148"/>
        </w:tabs>
        <w:ind w:left="2148" w:hanging="360"/>
      </w:pPr>
      <w:rPr>
        <w:rFonts w:ascii="Courier New" w:hAnsi="Courier New" w:cs="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cs="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cs="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4">
    <w:nsid w:val="69E13672"/>
    <w:multiLevelType w:val="hybridMultilevel"/>
    <w:tmpl w:val="CE7C0396"/>
    <w:lvl w:ilvl="0" w:tplc="0C0A0001">
      <w:start w:val="1"/>
      <w:numFmt w:val="bullet"/>
      <w:lvlText w:val=""/>
      <w:lvlJc w:val="left"/>
      <w:pPr>
        <w:tabs>
          <w:tab w:val="num" w:pos="1080"/>
        </w:tabs>
        <w:ind w:left="1080" w:hanging="360"/>
      </w:pPr>
      <w:rPr>
        <w:rFonts w:ascii="Symbol" w:hAnsi="Symbol"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5">
    <w:nsid w:val="6EF862C6"/>
    <w:multiLevelType w:val="hybridMultilevel"/>
    <w:tmpl w:val="1E6456AC"/>
    <w:lvl w:ilvl="0" w:tplc="0C0A0001">
      <w:start w:val="1"/>
      <w:numFmt w:val="bullet"/>
      <w:lvlText w:val=""/>
      <w:lvlJc w:val="left"/>
      <w:pPr>
        <w:tabs>
          <w:tab w:val="num" w:pos="1428"/>
        </w:tabs>
        <w:ind w:left="1428" w:hanging="360"/>
      </w:pPr>
      <w:rPr>
        <w:rFonts w:ascii="Symbol" w:hAnsi="Symbol" w:hint="default"/>
      </w:rPr>
    </w:lvl>
    <w:lvl w:ilvl="1" w:tplc="0C0A0003" w:tentative="1">
      <w:start w:val="1"/>
      <w:numFmt w:val="bullet"/>
      <w:lvlText w:val="o"/>
      <w:lvlJc w:val="left"/>
      <w:pPr>
        <w:tabs>
          <w:tab w:val="num" w:pos="2148"/>
        </w:tabs>
        <w:ind w:left="2148" w:hanging="360"/>
      </w:pPr>
      <w:rPr>
        <w:rFonts w:ascii="Courier New" w:hAnsi="Courier New" w:cs="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cs="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cs="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1E374C"/>
    <w:rsid w:val="001E374C"/>
    <w:rsid w:val="005F15D1"/>
    <w:rsid w:val="00896EE1"/>
    <w:rsid w:val="00CE4AD6"/>
    <w:rsid w:val="00D42645"/>
    <w:rsid w:val="00D727C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374C"/>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1E374C"/>
    <w:pPr>
      <w:widowControl w:val="0"/>
      <w:tabs>
        <w:tab w:val="center" w:pos="4252"/>
        <w:tab w:val="right" w:pos="8504"/>
      </w:tabs>
      <w:suppressAutoHyphens/>
    </w:pPr>
    <w:rPr>
      <w:sz w:val="24"/>
      <w:lang w:val="es-ES_tradnl"/>
    </w:rPr>
  </w:style>
  <w:style w:type="character" w:customStyle="1" w:styleId="PiedepginaCar">
    <w:name w:val="Pie de página Car"/>
    <w:basedOn w:val="Fuentedeprrafopredeter"/>
    <w:link w:val="Piedepgina"/>
    <w:rsid w:val="001E374C"/>
    <w:rPr>
      <w:rFonts w:ascii="Times New Roman" w:eastAsia="Times New Roman" w:hAnsi="Times New Roman" w:cs="Times New Roman"/>
      <w:sz w:val="24"/>
      <w:szCs w:val="20"/>
      <w:lang w:val="es-ES_tradnl" w:eastAsia="es-ES"/>
    </w:rPr>
  </w:style>
  <w:style w:type="character" w:styleId="Nmerodepgina">
    <w:name w:val="page number"/>
    <w:basedOn w:val="Fuentedeprrafopredeter"/>
    <w:rsid w:val="001E374C"/>
  </w:style>
  <w:style w:type="paragraph" w:styleId="Textoindependiente">
    <w:name w:val="Body Text"/>
    <w:basedOn w:val="Normal"/>
    <w:link w:val="TextoindependienteCar"/>
    <w:rsid w:val="001E374C"/>
    <w:pPr>
      <w:widowControl w:val="0"/>
      <w:suppressAutoHyphens/>
      <w:jc w:val="both"/>
    </w:pPr>
    <w:rPr>
      <w:rFonts w:ascii="Tahoma" w:hAnsi="Tahoma"/>
      <w:sz w:val="22"/>
      <w:lang w:val="es-ES_tradnl"/>
    </w:rPr>
  </w:style>
  <w:style w:type="character" w:customStyle="1" w:styleId="TextoindependienteCar">
    <w:name w:val="Texto independiente Car"/>
    <w:basedOn w:val="Fuentedeprrafopredeter"/>
    <w:link w:val="Textoindependiente"/>
    <w:rsid w:val="001E374C"/>
    <w:rPr>
      <w:rFonts w:ascii="Tahoma" w:eastAsia="Times New Roman" w:hAnsi="Tahoma" w:cs="Times New Roman"/>
      <w:szCs w:val="20"/>
      <w:lang w:val="es-ES_tradnl" w:eastAsia="es-ES"/>
    </w:rPr>
  </w:style>
  <w:style w:type="paragraph" w:customStyle="1" w:styleId="BodyText2">
    <w:name w:val="Body Text 2"/>
    <w:basedOn w:val="Normal"/>
    <w:rsid w:val="001E374C"/>
    <w:pPr>
      <w:jc w:val="both"/>
    </w:pPr>
    <w:rPr>
      <w:rFonts w:ascii="Tahoma" w:hAnsi="Tahoma"/>
      <w:sz w:val="22"/>
    </w:rPr>
  </w:style>
  <w:style w:type="paragraph" w:styleId="Textoindependiente3">
    <w:name w:val="Body Text 3"/>
    <w:basedOn w:val="Normal"/>
    <w:link w:val="Textoindependiente3Car"/>
    <w:rsid w:val="001E374C"/>
    <w:pPr>
      <w:spacing w:after="120"/>
    </w:pPr>
    <w:rPr>
      <w:sz w:val="16"/>
      <w:szCs w:val="16"/>
      <w:lang w:val="es-PE"/>
    </w:rPr>
  </w:style>
  <w:style w:type="character" w:customStyle="1" w:styleId="Textoindependiente3Car">
    <w:name w:val="Texto independiente 3 Car"/>
    <w:basedOn w:val="Fuentedeprrafopredeter"/>
    <w:link w:val="Textoindependiente3"/>
    <w:rsid w:val="001E374C"/>
    <w:rPr>
      <w:rFonts w:ascii="Times New Roman" w:eastAsia="Times New Roman" w:hAnsi="Times New Roman" w:cs="Times New Roman"/>
      <w:sz w:val="16"/>
      <w:szCs w:val="16"/>
      <w:lang w:val="es-PE" w:eastAsia="es-ES"/>
    </w:rPr>
  </w:style>
  <w:style w:type="paragraph" w:styleId="Textonotapie">
    <w:name w:val="footnote text"/>
    <w:basedOn w:val="Normal"/>
    <w:link w:val="TextonotapieCar"/>
    <w:semiHidden/>
    <w:rsid w:val="001E374C"/>
  </w:style>
  <w:style w:type="character" w:customStyle="1" w:styleId="TextonotapieCar">
    <w:name w:val="Texto nota pie Car"/>
    <w:basedOn w:val="Fuentedeprrafopredeter"/>
    <w:link w:val="Textonotapie"/>
    <w:semiHidden/>
    <w:rsid w:val="001E374C"/>
    <w:rPr>
      <w:rFonts w:ascii="Times New Roman" w:eastAsia="Times New Roman" w:hAnsi="Times New Roman" w:cs="Times New Roman"/>
      <w:sz w:val="20"/>
      <w:szCs w:val="20"/>
      <w:lang w:eastAsia="es-ES"/>
    </w:rPr>
  </w:style>
  <w:style w:type="character" w:styleId="Refdenotaalpie">
    <w:name w:val="footnote reference"/>
    <w:basedOn w:val="Fuentedeprrafopredeter"/>
    <w:semiHidden/>
    <w:rsid w:val="001E374C"/>
    <w:rPr>
      <w:vertAlign w:val="superscript"/>
    </w:rPr>
  </w:style>
  <w:style w:type="paragraph" w:styleId="NormalWeb">
    <w:name w:val="Normal (Web)"/>
    <w:basedOn w:val="Normal"/>
    <w:rsid w:val="001E374C"/>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12</Pages>
  <Words>5402</Words>
  <Characters>29711</Characters>
  <Application>Microsoft Office Word</Application>
  <DocSecurity>0</DocSecurity>
  <Lines>247</Lines>
  <Paragraphs>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1781-2007/TC-S3</dc:title>
  <dc:subject>APLICACIÓN DE SANCIÓN A LA EMPRESA ERNST &amp; YOUNG ASESORES </dc:subject>
  <dc:creator>TRIBUNAL</dc:creator>
  <cp:keywords>INCUMPLIMIENTO CONTRACTUAL</cp:keywords>
  <dc:description/>
  <cp:lastModifiedBy>jcabrera</cp:lastModifiedBy>
  <cp:revision>1</cp:revision>
  <dcterms:created xsi:type="dcterms:W3CDTF">2007-12-04T22:53:00Z</dcterms:created>
  <dcterms:modified xsi:type="dcterms:W3CDTF">2007-12-04T23:15:00Z</dcterms:modified>
  <cp:category>RESOLUCION - TRIBUNAL</cp:category>
</cp:coreProperties>
</file>