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DD" w:rsidRPr="00715605" w:rsidRDefault="00715605" w:rsidP="00715605">
      <w:pPr>
        <w:ind w:left="2700" w:right="764" w:hanging="900"/>
        <w:jc w:val="center"/>
        <w:rPr>
          <w:rFonts w:ascii="Tahoma" w:hAnsi="Tahoma" w:cs="Tahoma"/>
          <w:b/>
          <w:i/>
          <w:sz w:val="36"/>
          <w:szCs w:val="36"/>
        </w:rPr>
      </w:pPr>
      <w:r w:rsidRPr="00665C49">
        <w:rPr>
          <w:rFonts w:ascii="Tahoma" w:hAnsi="Tahoma" w:cs="Tahoma"/>
          <w:b/>
          <w:sz w:val="36"/>
          <w:szCs w:val="36"/>
        </w:rPr>
        <w:t>1718-2007-TC-S3</w:t>
      </w:r>
    </w:p>
    <w:p w:rsidR="00715605" w:rsidRDefault="00715605" w:rsidP="0013362C">
      <w:pPr>
        <w:ind w:left="2700" w:right="764" w:hanging="900"/>
        <w:jc w:val="both"/>
        <w:rPr>
          <w:rFonts w:ascii="Tahoma" w:hAnsi="Tahoma" w:cs="Tahoma"/>
          <w:b/>
          <w:i/>
          <w:sz w:val="20"/>
          <w:szCs w:val="20"/>
        </w:rPr>
      </w:pPr>
    </w:p>
    <w:p w:rsidR="009F7F0E" w:rsidRPr="004E0588" w:rsidRDefault="009F7F0E" w:rsidP="0013362C">
      <w:pPr>
        <w:ind w:left="2700" w:right="764" w:hanging="900"/>
        <w:jc w:val="both"/>
        <w:rPr>
          <w:rFonts w:ascii="Tahoma" w:hAnsi="Tahoma" w:cs="Tahoma"/>
          <w:i/>
          <w:sz w:val="20"/>
          <w:szCs w:val="20"/>
        </w:rPr>
      </w:pPr>
      <w:r w:rsidRPr="004E0588">
        <w:rPr>
          <w:rFonts w:ascii="Tahoma" w:hAnsi="Tahoma" w:cs="Tahoma"/>
          <w:b/>
          <w:i/>
          <w:sz w:val="20"/>
          <w:szCs w:val="20"/>
        </w:rPr>
        <w:t xml:space="preserve">Sumilla: </w:t>
      </w:r>
      <w:r w:rsidR="00EF052B" w:rsidRPr="004E0588">
        <w:rPr>
          <w:rFonts w:ascii="Tahoma" w:hAnsi="Tahoma" w:cs="Tahoma"/>
          <w:i/>
          <w:sz w:val="20"/>
          <w:szCs w:val="20"/>
          <w:lang w:val="es-ES_tradnl"/>
        </w:rPr>
        <w:t>Corresponde sancionar a</w:t>
      </w:r>
      <w:r w:rsidR="002B78B7" w:rsidRPr="004E0588">
        <w:rPr>
          <w:rFonts w:ascii="Tahoma" w:hAnsi="Tahoma" w:cs="Tahoma"/>
          <w:i/>
          <w:sz w:val="20"/>
          <w:szCs w:val="20"/>
          <w:lang w:val="es-ES_tradnl"/>
        </w:rPr>
        <w:t xml:space="preserve"> la </w:t>
      </w:r>
      <w:r w:rsidR="002B78B7" w:rsidRPr="004E0588">
        <w:rPr>
          <w:rFonts w:ascii="Tahoma" w:hAnsi="Tahoma" w:cs="Tahoma"/>
          <w:i/>
          <w:sz w:val="20"/>
          <w:szCs w:val="20"/>
        </w:rPr>
        <w:t xml:space="preserve">empresa Representaciones Química Europea S.A.C. </w:t>
      </w:r>
      <w:r w:rsidR="002B78B7" w:rsidRPr="004E0588">
        <w:rPr>
          <w:rFonts w:ascii="Tahoma" w:hAnsi="Tahoma" w:cs="Tahoma"/>
          <w:i/>
          <w:sz w:val="20"/>
          <w:szCs w:val="20"/>
          <w:lang w:val="es-ES_tradnl"/>
        </w:rPr>
        <w:t>al  haberse configurado el supuesto previsto</w:t>
      </w:r>
      <w:r w:rsidR="00EF052B" w:rsidRPr="004E0588">
        <w:rPr>
          <w:rFonts w:ascii="Tahoma" w:hAnsi="Tahoma" w:cs="Tahoma"/>
          <w:i/>
          <w:sz w:val="20"/>
          <w:szCs w:val="20"/>
          <w:lang w:val="es-ES_tradnl"/>
        </w:rPr>
        <w:t xml:space="preserve"> en el numeral 9) del artículo 294 del Reglamento de la Ley de Contrataciones y Adquisiciones del Estado</w:t>
      </w:r>
      <w:r w:rsidRPr="004E0588">
        <w:rPr>
          <w:rFonts w:ascii="Tahoma" w:hAnsi="Tahoma" w:cs="Tahoma"/>
          <w:sz w:val="20"/>
          <w:szCs w:val="20"/>
        </w:rPr>
        <w:t>.</w:t>
      </w:r>
    </w:p>
    <w:p w:rsidR="00EF052B" w:rsidRPr="004E0588" w:rsidRDefault="00EF052B" w:rsidP="0013362C">
      <w:pPr>
        <w:tabs>
          <w:tab w:val="left" w:pos="7200"/>
        </w:tabs>
        <w:ind w:right="1818"/>
        <w:jc w:val="both"/>
        <w:rPr>
          <w:rFonts w:ascii="Tahoma" w:hAnsi="Tahoma" w:cs="Tahoma"/>
          <w:i/>
          <w:sz w:val="20"/>
          <w:szCs w:val="20"/>
        </w:rPr>
      </w:pPr>
    </w:p>
    <w:p w:rsidR="00116635" w:rsidRPr="004E0588" w:rsidRDefault="00116635" w:rsidP="0013362C">
      <w:pPr>
        <w:tabs>
          <w:tab w:val="left" w:pos="7200"/>
        </w:tabs>
        <w:ind w:right="1818"/>
        <w:jc w:val="both"/>
        <w:rPr>
          <w:rFonts w:ascii="Tahoma" w:hAnsi="Tahoma" w:cs="Tahoma"/>
          <w:i/>
          <w:sz w:val="20"/>
          <w:szCs w:val="20"/>
        </w:rPr>
      </w:pPr>
    </w:p>
    <w:p w:rsidR="009F7F0E" w:rsidRPr="004E0588" w:rsidRDefault="009F7F0E" w:rsidP="0013362C">
      <w:pPr>
        <w:pStyle w:val="Textoindependiente3"/>
        <w:ind w:left="2124" w:firstLine="708"/>
        <w:jc w:val="center"/>
        <w:rPr>
          <w:rFonts w:ascii="Tahoma" w:hAnsi="Tahoma" w:cs="Tahoma"/>
          <w:b/>
          <w:sz w:val="20"/>
          <w:szCs w:val="20"/>
        </w:rPr>
      </w:pPr>
      <w:r w:rsidRPr="004E0588">
        <w:rPr>
          <w:rFonts w:ascii="Tahoma" w:hAnsi="Tahoma" w:cs="Tahoma"/>
          <w:b/>
          <w:sz w:val="20"/>
          <w:szCs w:val="20"/>
        </w:rPr>
        <w:t xml:space="preserve">     Lima, </w:t>
      </w:r>
      <w:r w:rsidR="00715605" w:rsidRPr="00665C49">
        <w:rPr>
          <w:rFonts w:ascii="Arial" w:hAnsi="Arial" w:cs="Arial"/>
          <w:szCs w:val="22"/>
        </w:rPr>
        <w:t>25</w:t>
      </w:r>
      <w:r w:rsidR="00715605">
        <w:rPr>
          <w:rFonts w:ascii="Arial" w:hAnsi="Arial" w:cs="Arial"/>
          <w:szCs w:val="22"/>
        </w:rPr>
        <w:t xml:space="preserve"> de octubre de </w:t>
      </w:r>
      <w:r w:rsidR="00715605" w:rsidRPr="00665C49">
        <w:rPr>
          <w:rFonts w:ascii="Arial" w:hAnsi="Arial" w:cs="Arial"/>
          <w:szCs w:val="22"/>
        </w:rPr>
        <w:t>2007</w:t>
      </w:r>
    </w:p>
    <w:p w:rsidR="00116635" w:rsidRPr="004E0588" w:rsidRDefault="00116635" w:rsidP="0013362C">
      <w:pPr>
        <w:ind w:firstLine="720"/>
        <w:jc w:val="both"/>
        <w:rPr>
          <w:rFonts w:ascii="Tahoma" w:hAnsi="Tahoma" w:cs="Tahoma"/>
          <w:b/>
          <w:sz w:val="20"/>
          <w:szCs w:val="20"/>
        </w:rPr>
      </w:pPr>
    </w:p>
    <w:p w:rsidR="008F5E4C" w:rsidRPr="004E0588" w:rsidRDefault="008F5E4C" w:rsidP="0013362C">
      <w:pPr>
        <w:ind w:firstLine="720"/>
        <w:jc w:val="both"/>
        <w:rPr>
          <w:rFonts w:ascii="Tahoma" w:hAnsi="Tahoma" w:cs="Tahoma"/>
          <w:color w:val="000000"/>
          <w:sz w:val="20"/>
          <w:szCs w:val="20"/>
        </w:rPr>
      </w:pPr>
      <w:r w:rsidRPr="004E0588">
        <w:rPr>
          <w:rFonts w:ascii="Tahoma" w:hAnsi="Tahoma" w:cs="Tahoma"/>
          <w:b/>
          <w:sz w:val="20"/>
          <w:szCs w:val="20"/>
        </w:rPr>
        <w:t>Visto,</w:t>
      </w:r>
      <w:r w:rsidRPr="004E0588">
        <w:rPr>
          <w:rFonts w:ascii="Tahoma" w:hAnsi="Tahoma" w:cs="Tahoma"/>
          <w:sz w:val="20"/>
          <w:szCs w:val="20"/>
        </w:rPr>
        <w:t xml:space="preserve"> </w:t>
      </w:r>
      <w:r w:rsidR="007E63C6" w:rsidRPr="004E0588">
        <w:rPr>
          <w:rFonts w:ascii="Tahoma" w:hAnsi="Tahoma" w:cs="Tahoma"/>
          <w:color w:val="000000"/>
          <w:sz w:val="20"/>
          <w:szCs w:val="20"/>
        </w:rPr>
        <w:t xml:space="preserve">en sesión de fecha </w:t>
      </w:r>
      <w:r w:rsidR="009F7F0E" w:rsidRPr="004E0588">
        <w:rPr>
          <w:rFonts w:ascii="Tahoma" w:hAnsi="Tahoma" w:cs="Tahoma"/>
          <w:color w:val="000000"/>
          <w:sz w:val="20"/>
          <w:szCs w:val="20"/>
        </w:rPr>
        <w:t>2</w:t>
      </w:r>
      <w:r w:rsidR="00F93DDD" w:rsidRPr="004E0588">
        <w:rPr>
          <w:rFonts w:ascii="Tahoma" w:hAnsi="Tahoma" w:cs="Tahoma"/>
          <w:color w:val="000000"/>
          <w:sz w:val="20"/>
          <w:szCs w:val="20"/>
        </w:rPr>
        <w:t xml:space="preserve">4 de octubre </w:t>
      </w:r>
      <w:r w:rsidR="00F97E1A" w:rsidRPr="004E0588">
        <w:rPr>
          <w:rFonts w:ascii="Tahoma" w:hAnsi="Tahoma" w:cs="Tahoma"/>
          <w:color w:val="000000"/>
          <w:sz w:val="20"/>
          <w:szCs w:val="20"/>
        </w:rPr>
        <w:t xml:space="preserve">de </w:t>
      </w:r>
      <w:r w:rsidRPr="004E0588">
        <w:rPr>
          <w:rFonts w:ascii="Tahoma" w:hAnsi="Tahoma" w:cs="Tahoma"/>
          <w:color w:val="000000"/>
          <w:sz w:val="20"/>
          <w:szCs w:val="20"/>
        </w:rPr>
        <w:t>2007 de la Tercera Sala del Tribunal de Contrataciones y Adquisiciones del Estado el Expediente N.°</w:t>
      </w:r>
      <w:r w:rsidRPr="004E0588">
        <w:rPr>
          <w:rFonts w:ascii="Tahoma" w:hAnsi="Tahoma" w:cs="Tahoma"/>
          <w:sz w:val="20"/>
          <w:szCs w:val="20"/>
        </w:rPr>
        <w:t xml:space="preserve"> </w:t>
      </w:r>
      <w:r w:rsidR="00F93DDD" w:rsidRPr="004E0588">
        <w:rPr>
          <w:rFonts w:ascii="Tahoma" w:hAnsi="Tahoma" w:cs="Tahoma"/>
          <w:sz w:val="20"/>
          <w:szCs w:val="20"/>
        </w:rPr>
        <w:t>6</w:t>
      </w:r>
      <w:r w:rsidR="00116D4D" w:rsidRPr="004E0588">
        <w:rPr>
          <w:rFonts w:ascii="Tahoma" w:hAnsi="Tahoma" w:cs="Tahoma"/>
          <w:sz w:val="20"/>
          <w:szCs w:val="20"/>
        </w:rPr>
        <w:t>28</w:t>
      </w:r>
      <w:r w:rsidRPr="004E0588">
        <w:rPr>
          <w:rFonts w:ascii="Tahoma" w:hAnsi="Tahoma" w:cs="Tahoma"/>
          <w:sz w:val="20"/>
          <w:szCs w:val="20"/>
        </w:rPr>
        <w:t>/200</w:t>
      </w:r>
      <w:r w:rsidR="00116D4D" w:rsidRPr="004E0588">
        <w:rPr>
          <w:rFonts w:ascii="Tahoma" w:hAnsi="Tahoma" w:cs="Tahoma"/>
          <w:sz w:val="20"/>
          <w:szCs w:val="20"/>
        </w:rPr>
        <w:t>5</w:t>
      </w:r>
      <w:r w:rsidRPr="004E0588">
        <w:rPr>
          <w:rFonts w:ascii="Tahoma" w:hAnsi="Tahoma" w:cs="Tahoma"/>
          <w:sz w:val="20"/>
          <w:szCs w:val="20"/>
        </w:rPr>
        <w:t>.TC</w:t>
      </w:r>
      <w:r w:rsidRPr="004E0588">
        <w:rPr>
          <w:rFonts w:ascii="Tahoma" w:hAnsi="Tahoma" w:cs="Tahoma"/>
          <w:color w:val="000000"/>
          <w:sz w:val="20"/>
          <w:szCs w:val="20"/>
        </w:rPr>
        <w:t xml:space="preserve"> sobre </w:t>
      </w:r>
      <w:r w:rsidR="004654F1" w:rsidRPr="004E0588">
        <w:rPr>
          <w:rFonts w:ascii="Tahoma" w:hAnsi="Tahoma" w:cs="Tahoma"/>
          <w:color w:val="000000"/>
          <w:sz w:val="20"/>
          <w:szCs w:val="20"/>
        </w:rPr>
        <w:t xml:space="preserve">procedimiento administrativo sancionador </w:t>
      </w:r>
      <w:r w:rsidR="001E41EA" w:rsidRPr="004E0588">
        <w:rPr>
          <w:rFonts w:ascii="Tahoma" w:hAnsi="Tahoma" w:cs="Tahoma"/>
          <w:color w:val="000000"/>
          <w:sz w:val="20"/>
          <w:szCs w:val="20"/>
        </w:rPr>
        <w:t>contra</w:t>
      </w:r>
      <w:r w:rsidR="00955B15" w:rsidRPr="004E0588">
        <w:rPr>
          <w:rFonts w:ascii="Tahoma" w:hAnsi="Tahoma" w:cs="Tahoma"/>
          <w:color w:val="000000"/>
          <w:sz w:val="20"/>
          <w:szCs w:val="20"/>
        </w:rPr>
        <w:t xml:space="preserve"> </w:t>
      </w:r>
      <w:r w:rsidR="00116D4D" w:rsidRPr="004E0588">
        <w:rPr>
          <w:rFonts w:ascii="Tahoma" w:hAnsi="Tahoma" w:cs="Tahoma"/>
          <w:sz w:val="20"/>
          <w:szCs w:val="20"/>
          <w:lang w:val="es-ES_tradnl"/>
        </w:rPr>
        <w:t xml:space="preserve">la </w:t>
      </w:r>
      <w:r w:rsidR="00116D4D" w:rsidRPr="004E0588">
        <w:rPr>
          <w:rFonts w:ascii="Tahoma" w:hAnsi="Tahoma" w:cs="Tahoma"/>
          <w:sz w:val="20"/>
          <w:szCs w:val="20"/>
        </w:rPr>
        <w:t>empresa Representaciones Química Europea S.A.C.</w:t>
      </w:r>
      <w:r w:rsidRPr="004E0588">
        <w:rPr>
          <w:rFonts w:ascii="Tahoma" w:hAnsi="Tahoma" w:cs="Tahoma"/>
          <w:color w:val="000000"/>
          <w:sz w:val="20"/>
          <w:szCs w:val="20"/>
        </w:rPr>
        <w:t xml:space="preserve"> por supuesta responsabilidad</w:t>
      </w:r>
      <w:r w:rsidR="00B53DE6" w:rsidRPr="004E0588">
        <w:rPr>
          <w:rFonts w:ascii="Tahoma" w:hAnsi="Tahoma" w:cs="Tahoma"/>
          <w:color w:val="000000"/>
          <w:sz w:val="20"/>
          <w:szCs w:val="20"/>
        </w:rPr>
        <w:t xml:space="preserve"> en la </w:t>
      </w:r>
      <w:r w:rsidR="00EF052B" w:rsidRPr="004E0588">
        <w:rPr>
          <w:rFonts w:ascii="Tahoma" w:hAnsi="Tahoma" w:cs="Tahoma"/>
          <w:color w:val="000000"/>
          <w:sz w:val="20"/>
          <w:szCs w:val="20"/>
        </w:rPr>
        <w:t xml:space="preserve">presentación de documentos falsos o inexactos ante la Entidad, </w:t>
      </w:r>
      <w:r w:rsidR="00922E58" w:rsidRPr="004E0588">
        <w:rPr>
          <w:rFonts w:ascii="Tahoma" w:hAnsi="Tahoma" w:cs="Tahoma"/>
          <w:sz w:val="20"/>
          <w:szCs w:val="20"/>
        </w:rPr>
        <w:t xml:space="preserve">materia de la </w:t>
      </w:r>
      <w:r w:rsidR="00116D4D" w:rsidRPr="004E0588">
        <w:rPr>
          <w:rFonts w:ascii="Tahoma" w:hAnsi="Tahoma" w:cs="Tahoma"/>
          <w:sz w:val="20"/>
          <w:szCs w:val="20"/>
        </w:rPr>
        <w:t>Adjudicación de Menor Cuantía N.° 0505M00441 para la adquisición de material médico</w:t>
      </w:r>
      <w:r w:rsidRPr="004E0588">
        <w:rPr>
          <w:rFonts w:ascii="Tahoma" w:hAnsi="Tahoma" w:cs="Tahoma"/>
          <w:color w:val="000000"/>
          <w:sz w:val="20"/>
          <w:szCs w:val="20"/>
        </w:rPr>
        <w:t>,</w:t>
      </w:r>
      <w:r w:rsidR="00955B15" w:rsidRPr="004E0588">
        <w:rPr>
          <w:rFonts w:ascii="Tahoma" w:hAnsi="Tahoma" w:cs="Tahoma"/>
          <w:color w:val="000000"/>
          <w:sz w:val="20"/>
          <w:szCs w:val="20"/>
        </w:rPr>
        <w:t xml:space="preserve"> oídos los informes orales</w:t>
      </w:r>
      <w:r w:rsidR="000636A1" w:rsidRPr="004E0588">
        <w:rPr>
          <w:rFonts w:ascii="Tahoma" w:hAnsi="Tahoma" w:cs="Tahoma"/>
          <w:color w:val="000000"/>
          <w:sz w:val="20"/>
          <w:szCs w:val="20"/>
        </w:rPr>
        <w:t xml:space="preserve"> y;</w:t>
      </w:r>
      <w:r w:rsidRPr="004E0588">
        <w:rPr>
          <w:rFonts w:ascii="Tahoma" w:hAnsi="Tahoma" w:cs="Tahoma"/>
          <w:color w:val="000000"/>
          <w:sz w:val="20"/>
          <w:szCs w:val="20"/>
        </w:rPr>
        <w:t xml:space="preserve"> atendiendo a los siguientes:  </w:t>
      </w:r>
    </w:p>
    <w:p w:rsidR="00116635" w:rsidRPr="004E0588" w:rsidRDefault="00116635" w:rsidP="0013362C">
      <w:pPr>
        <w:ind w:firstLine="708"/>
        <w:jc w:val="both"/>
        <w:rPr>
          <w:rFonts w:ascii="Tahoma" w:hAnsi="Tahoma" w:cs="Tahoma"/>
          <w:color w:val="000000"/>
          <w:sz w:val="20"/>
          <w:szCs w:val="20"/>
        </w:rPr>
      </w:pPr>
    </w:p>
    <w:p w:rsidR="008F5E4C" w:rsidRPr="004E0588" w:rsidRDefault="008F5E4C" w:rsidP="0013362C">
      <w:pPr>
        <w:jc w:val="both"/>
        <w:rPr>
          <w:rFonts w:ascii="Tahoma" w:hAnsi="Tahoma" w:cs="Tahoma"/>
          <w:b/>
          <w:shadow/>
          <w:sz w:val="20"/>
          <w:szCs w:val="20"/>
        </w:rPr>
      </w:pPr>
      <w:r w:rsidRPr="004E0588">
        <w:rPr>
          <w:rFonts w:ascii="Tahoma" w:hAnsi="Tahoma" w:cs="Tahoma"/>
          <w:b/>
          <w:shadow/>
          <w:sz w:val="20"/>
          <w:szCs w:val="20"/>
        </w:rPr>
        <w:t>ANTECEDENTES:</w:t>
      </w:r>
    </w:p>
    <w:p w:rsidR="00034EA2" w:rsidRPr="004E0588" w:rsidRDefault="00034EA2" w:rsidP="00034EA2">
      <w:pPr>
        <w:ind w:left="360"/>
        <w:jc w:val="both"/>
        <w:rPr>
          <w:rFonts w:ascii="Tahoma" w:hAnsi="Tahoma" w:cs="Tahoma"/>
          <w:b/>
          <w:sz w:val="20"/>
          <w:szCs w:val="20"/>
        </w:rPr>
      </w:pP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8 de marzo de 2005, el Seguro Social de Salud (ESSALUD), en lo sucesivo ESSALUD, convocó a la Adjudicación de Menor Cuantía N.° 0505M00441 para la adquisición de material médico.</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10 de marzo de 2005, para el ítem N.° 6 (Catéter Venoso Ctral. 12FR x 15CM Dob. Lumen) se presentaron los postores NOVO LAB. S.A.C., FERROSA S.A., SURGEMID y REPRESENTACIONES QUIMICA EUROPEA S.A.C, habiéndose otorgado la Buena Pro del referido ítem a la empresa REPRESENTACIONES QUIMICA EUROPEA S.A.C., en lo sucesivo QUIMICA EUROPEA.</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17 de marzo de 2005, la empresa NOVO LAB. S.A.C. interpuso recurso de apelación ante ESSALUD contra el otorgamiento de la Buena Pro a favor de QUIMICA EUROPEA; sin embargo, al no haberse resuelto dentro del plazo de Ley el mencionado recurso de apelación por parte de EESALUD, se produjo la denegatoria ficta.</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18 de abril de 2005, ESSALUD emitió a favor de QUIMICA EUROPEA la Orden de Compra N.° 4500517921.</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 xml:space="preserve">El 28 de abril de 2005, la empresa NOVO LAB. S.A.C. denunció ante ESSALUD que QUIMICA EUROPEA, en el decurso del citado proceso de selección, habría presentado documentación supuestamente adulterada referida al registro sanitario </w:t>
      </w:r>
      <w:r w:rsidRPr="004E0588">
        <w:rPr>
          <w:rFonts w:ascii="Tahoma" w:hAnsi="Tahoma" w:cs="Tahoma"/>
          <w:b/>
          <w:sz w:val="20"/>
          <w:szCs w:val="20"/>
        </w:rPr>
        <w:t>E-10778-IMM</w:t>
      </w:r>
      <w:r w:rsidRPr="004E0588">
        <w:rPr>
          <w:rFonts w:ascii="Tahoma" w:hAnsi="Tahoma" w:cs="Tahoma"/>
          <w:sz w:val="20"/>
          <w:szCs w:val="20"/>
        </w:rPr>
        <w:t xml:space="preserve">, que utilizó para ofertar su producto: </w:t>
      </w:r>
      <w:r w:rsidRPr="004E0588">
        <w:rPr>
          <w:rFonts w:ascii="Tahoma" w:hAnsi="Tahoma" w:cs="Tahoma"/>
          <w:i/>
          <w:sz w:val="20"/>
          <w:szCs w:val="20"/>
        </w:rPr>
        <w:t>KIT DE CATETER DOBLE LUMEN 12FR X 15CM MARCA MEDCOMP USA</w:t>
      </w:r>
      <w:r w:rsidRPr="004E0588">
        <w:rPr>
          <w:rFonts w:ascii="Tahoma" w:hAnsi="Tahoma" w:cs="Tahoma"/>
          <w:sz w:val="20"/>
          <w:szCs w:val="20"/>
        </w:rPr>
        <w:t xml:space="preserve"> para el ítem N.° 6 (el resaltado es nuestro).</w:t>
      </w:r>
    </w:p>
    <w:p w:rsidR="00034EA2" w:rsidRPr="004E0588" w:rsidRDefault="00034EA2" w:rsidP="00034EA2">
      <w:pPr>
        <w:tabs>
          <w:tab w:val="num" w:pos="720"/>
        </w:tabs>
        <w:ind w:left="720"/>
        <w:jc w:val="both"/>
        <w:rPr>
          <w:rFonts w:ascii="Tahoma" w:hAnsi="Tahoma" w:cs="Tahoma"/>
          <w:sz w:val="20"/>
          <w:szCs w:val="20"/>
        </w:rPr>
      </w:pPr>
      <w:r w:rsidRPr="004E0588">
        <w:rPr>
          <w:rFonts w:ascii="Tahoma" w:hAnsi="Tahoma" w:cs="Tahoma"/>
          <w:sz w:val="20"/>
          <w:szCs w:val="20"/>
        </w:rPr>
        <w:t xml:space="preserve">Como sustento de su denuncia, adjuntó el Oficio N.° 4253-2005-DERD-DR-DIGEMID/MINSA emitido por la Dirección General de Medicamentos, Insumos y Drogas de Ministerio de Salud (DIGEMID), en el cual comunica que el Registro Sanitario </w:t>
      </w:r>
      <w:r w:rsidRPr="004E0588">
        <w:rPr>
          <w:rFonts w:ascii="Tahoma" w:hAnsi="Tahoma" w:cs="Tahoma"/>
          <w:b/>
          <w:sz w:val="20"/>
          <w:szCs w:val="20"/>
        </w:rPr>
        <w:t>E-10778-IMM</w:t>
      </w:r>
      <w:r w:rsidRPr="004E0588">
        <w:rPr>
          <w:rFonts w:ascii="Tahoma" w:hAnsi="Tahoma" w:cs="Tahoma"/>
          <w:sz w:val="20"/>
          <w:szCs w:val="20"/>
        </w:rPr>
        <w:t xml:space="preserve"> se encuentra registrado el </w:t>
      </w:r>
      <w:r w:rsidRPr="004E0588">
        <w:rPr>
          <w:rFonts w:ascii="Tahoma" w:hAnsi="Tahoma" w:cs="Tahoma"/>
          <w:i/>
          <w:sz w:val="20"/>
          <w:szCs w:val="20"/>
        </w:rPr>
        <w:t xml:space="preserve">CATÉTER DOBLE LUMEN 11.5 fr x 15cm, código: XTP116MT </w:t>
      </w:r>
      <w:r w:rsidRPr="004E0588">
        <w:rPr>
          <w:rFonts w:ascii="Tahoma" w:hAnsi="Tahoma" w:cs="Tahoma"/>
          <w:sz w:val="20"/>
          <w:szCs w:val="20"/>
        </w:rPr>
        <w:t>(el resaltado es nuestro), cuyas dimensiones son distintas del producto ofertado por QUIMICA EUROPEA en el ítem acotado.</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 xml:space="preserve">Mediante Carta N.° 796-OA-GA-RAS-ESSALUD-2005 de fecha 19 de mayo de 2005, ESSALUD informó al Tribunal de Contrataciones y Adquisiciones del Estado, en lo </w:t>
      </w:r>
      <w:r w:rsidRPr="004E0588">
        <w:rPr>
          <w:rFonts w:ascii="Tahoma" w:hAnsi="Tahoma" w:cs="Tahoma"/>
          <w:sz w:val="20"/>
          <w:szCs w:val="20"/>
        </w:rPr>
        <w:lastRenderedPageBreak/>
        <w:t>sucesivo el Tribunal, la supuesta responsabilidad de QUIMICA EUROPEA sobre los hechos señalados en el párrafo precedente a fin que se le inicie procedimiento administrativo sancionador.</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 xml:space="preserve">Mediante decreto de fecha 20 de mayo de 2005, el Tribunal dispuso el inicio del procedimiento administrativo sancionador contra QUIMICA EUROPEA por supuesta responsabilidad en la presentación de documentos falsos o inexactos, durante la Adjudicación de Menor Cuantía N.° 0505M00441 para la adquisición de material médico (ítem N.° 6: </w:t>
      </w:r>
      <w:r w:rsidRPr="004E0588">
        <w:rPr>
          <w:rFonts w:ascii="Tahoma" w:hAnsi="Tahoma" w:cs="Tahoma"/>
          <w:i/>
          <w:sz w:val="20"/>
          <w:szCs w:val="20"/>
        </w:rPr>
        <w:t>CATETER VENOSO CTRAL 12FR X 15CM  DOB: LUMEN)</w:t>
      </w:r>
      <w:r w:rsidRPr="004E0588">
        <w:rPr>
          <w:rFonts w:ascii="Tahoma" w:hAnsi="Tahoma" w:cs="Tahoma"/>
          <w:sz w:val="20"/>
          <w:szCs w:val="20"/>
        </w:rPr>
        <w:t>, causal de sanción tipificada en el numeral 9) del artículo 294° del Reglamento de la Ley de Contrataciones y Adquisiciones del Estado, aprobado por Decreto Supremo N.° 084-2004-PCM, en lo sucesivo el Reglamento.</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13 de junio de 2005, QUIMICA EUROPEA formuló sus descargos en los siguientes términos:</w:t>
      </w:r>
    </w:p>
    <w:p w:rsidR="00034EA2" w:rsidRPr="004E0588" w:rsidRDefault="00034EA2" w:rsidP="00034EA2">
      <w:pPr>
        <w:numPr>
          <w:ilvl w:val="1"/>
          <w:numId w:val="13"/>
        </w:numPr>
        <w:ind w:hanging="1080"/>
        <w:jc w:val="both"/>
        <w:rPr>
          <w:rFonts w:ascii="Tahoma" w:hAnsi="Tahoma" w:cs="Tahoma"/>
          <w:sz w:val="20"/>
          <w:szCs w:val="20"/>
        </w:rPr>
      </w:pPr>
      <w:r w:rsidRPr="004E0588">
        <w:rPr>
          <w:rFonts w:ascii="Tahoma" w:hAnsi="Tahoma" w:cs="Tahoma"/>
          <w:sz w:val="20"/>
          <w:szCs w:val="20"/>
        </w:rPr>
        <w:t>Que, QUIMICA EUROPEA en ningún momento de manera intencional pretendió engañar, sorprender o dañar a ESSALUD, vendiendo un producto que no fuera idóneo para el uso que se le destina.</w:t>
      </w:r>
    </w:p>
    <w:p w:rsidR="00034EA2" w:rsidRPr="004E0588" w:rsidRDefault="00034EA2" w:rsidP="00034EA2">
      <w:pPr>
        <w:numPr>
          <w:ilvl w:val="1"/>
          <w:numId w:val="13"/>
        </w:numPr>
        <w:ind w:hanging="1080"/>
        <w:jc w:val="both"/>
        <w:rPr>
          <w:rFonts w:ascii="Tahoma" w:hAnsi="Tahoma" w:cs="Tahoma"/>
          <w:b/>
          <w:sz w:val="20"/>
          <w:szCs w:val="20"/>
        </w:rPr>
      </w:pPr>
      <w:r w:rsidRPr="004E0588">
        <w:rPr>
          <w:rFonts w:ascii="Tahoma" w:hAnsi="Tahoma" w:cs="Tahoma"/>
          <w:sz w:val="20"/>
          <w:szCs w:val="20"/>
        </w:rPr>
        <w:t xml:space="preserve"> Que, el registro sanitario E-10778-IMM existe y corresponde a un producto similar al producto requerido por ESSALUD, el cual se encontraba obsoleto (en desuso); </w:t>
      </w:r>
      <w:r w:rsidRPr="004E0588">
        <w:rPr>
          <w:rFonts w:ascii="Tahoma" w:hAnsi="Tahoma" w:cs="Tahoma"/>
          <w:sz w:val="20"/>
          <w:szCs w:val="20"/>
          <w:u w:val="single"/>
        </w:rPr>
        <w:t>pero que, por error de uno de sus trabajadores, se incluyó dicho registro en la propuesta técnica</w:t>
      </w:r>
      <w:r w:rsidRPr="004E0588">
        <w:rPr>
          <w:rFonts w:ascii="Tahoma" w:hAnsi="Tahoma" w:cs="Tahoma"/>
          <w:sz w:val="20"/>
          <w:szCs w:val="20"/>
        </w:rPr>
        <w:t>, al creer que la ampliación que DIGEMID otorgaría correspondería al mismo numero de autorización.</w:t>
      </w:r>
    </w:p>
    <w:p w:rsidR="00034EA2" w:rsidRPr="004E0588" w:rsidRDefault="00034EA2" w:rsidP="00034EA2">
      <w:pPr>
        <w:numPr>
          <w:ilvl w:val="1"/>
          <w:numId w:val="13"/>
        </w:numPr>
        <w:tabs>
          <w:tab w:val="num" w:pos="1980"/>
        </w:tabs>
        <w:ind w:hanging="1080"/>
        <w:jc w:val="both"/>
        <w:rPr>
          <w:rFonts w:ascii="Tahoma" w:hAnsi="Tahoma" w:cs="Tahoma"/>
          <w:b/>
          <w:sz w:val="20"/>
          <w:szCs w:val="20"/>
        </w:rPr>
      </w:pPr>
      <w:r w:rsidRPr="004E0588">
        <w:rPr>
          <w:rFonts w:ascii="Tahoma" w:hAnsi="Tahoma" w:cs="Tahoma"/>
          <w:sz w:val="20"/>
          <w:szCs w:val="20"/>
        </w:rPr>
        <w:t xml:space="preserve">En fecha anterior al citado proceso de selección, el 8 de setiembre de 2004, se solicitó a DIGEMID ampliar y dar mayor detalle al registro sanitario de los productos que fabrica MEDCOMP Inc. USA, en los cuales se encontraba el producto </w:t>
      </w:r>
      <w:r w:rsidRPr="004E0588">
        <w:rPr>
          <w:rFonts w:ascii="Tahoma" w:hAnsi="Tahoma" w:cs="Tahoma"/>
          <w:i/>
          <w:sz w:val="20"/>
          <w:szCs w:val="20"/>
        </w:rPr>
        <w:t>DUO FLOW CATHETERS: 12FR X 15CM DOUBLE LUMEN CATÉTER</w:t>
      </w:r>
      <w:r w:rsidRPr="004E0588">
        <w:rPr>
          <w:rFonts w:ascii="Tahoma" w:hAnsi="Tahoma" w:cs="Tahoma"/>
          <w:sz w:val="20"/>
          <w:szCs w:val="20"/>
        </w:rPr>
        <w:t xml:space="preserve">, siendo que mediante Resolución Directoral N.° 11490-SS-DIGEMID-DERD-DR de fecha 26 de octubre de 2004, DIGEMID autorizó la inscripción de nuestros productos en  nuevo registro sanitario N.° E-12723-IMM con las modificaciones solicitadas. </w:t>
      </w:r>
    </w:p>
    <w:p w:rsidR="00034EA2" w:rsidRPr="004E0588" w:rsidRDefault="00034EA2" w:rsidP="00034EA2">
      <w:pPr>
        <w:numPr>
          <w:ilvl w:val="1"/>
          <w:numId w:val="13"/>
        </w:numPr>
        <w:ind w:hanging="1080"/>
        <w:jc w:val="both"/>
        <w:rPr>
          <w:rFonts w:ascii="Tahoma" w:hAnsi="Tahoma" w:cs="Tahoma"/>
          <w:b/>
          <w:sz w:val="20"/>
          <w:szCs w:val="20"/>
        </w:rPr>
      </w:pPr>
      <w:r w:rsidRPr="004E0588">
        <w:rPr>
          <w:rFonts w:ascii="Tahoma" w:hAnsi="Tahoma" w:cs="Tahoma"/>
          <w:sz w:val="20"/>
          <w:szCs w:val="20"/>
        </w:rPr>
        <w:t>Que, el producto ofertado para el ítem N.° 6 (</w:t>
      </w:r>
      <w:r w:rsidRPr="004E0588">
        <w:rPr>
          <w:rFonts w:ascii="Tahoma" w:hAnsi="Tahoma" w:cs="Tahoma"/>
          <w:i/>
          <w:sz w:val="20"/>
          <w:szCs w:val="20"/>
        </w:rPr>
        <w:t>CATETER VENOSO CTRAL 12FR X 15CM  DOB: LUMEN)</w:t>
      </w:r>
      <w:r w:rsidRPr="004E0588">
        <w:rPr>
          <w:rFonts w:ascii="Tahoma" w:hAnsi="Tahoma" w:cs="Tahoma"/>
          <w:sz w:val="20"/>
          <w:szCs w:val="20"/>
        </w:rPr>
        <w:t>, conforme a lo requerido, ha sido entregado a ESSALUD en su totalidad y posteriormente cancelada mediante cheque del Banco Continental N.° 00003555-0 de fecha 1 de junio de 2005, con lo que se demuestra que el producto ofertado por nuestra empresa ha sido abastecido satisfactoriamente a ESSALUD.</w:t>
      </w:r>
    </w:p>
    <w:p w:rsidR="00034EA2" w:rsidRPr="004E0588" w:rsidRDefault="00034EA2" w:rsidP="00034EA2">
      <w:pPr>
        <w:tabs>
          <w:tab w:val="num" w:pos="720"/>
        </w:tabs>
        <w:ind w:left="720"/>
        <w:jc w:val="both"/>
        <w:rPr>
          <w:rFonts w:ascii="Tahoma" w:hAnsi="Tahoma" w:cs="Tahoma"/>
          <w:sz w:val="20"/>
          <w:szCs w:val="20"/>
        </w:rPr>
      </w:pPr>
      <w:r w:rsidRPr="004E0588">
        <w:rPr>
          <w:rFonts w:ascii="Tahoma" w:hAnsi="Tahoma" w:cs="Tahoma"/>
          <w:sz w:val="20"/>
          <w:szCs w:val="20"/>
        </w:rPr>
        <w:t>Finalmente, reitera cometieron un error al adjuntar un registro obsoleto en lugar del registro vigente para los productos ofertados.</w:t>
      </w:r>
    </w:p>
    <w:p w:rsidR="00034EA2" w:rsidRPr="004E0588" w:rsidRDefault="00034EA2" w:rsidP="00034EA2">
      <w:pPr>
        <w:numPr>
          <w:ilvl w:val="0"/>
          <w:numId w:val="13"/>
        </w:numPr>
        <w:jc w:val="both"/>
        <w:rPr>
          <w:rFonts w:ascii="Tahoma" w:hAnsi="Tahoma" w:cs="Tahoma"/>
          <w:b/>
          <w:sz w:val="20"/>
          <w:szCs w:val="20"/>
        </w:rPr>
      </w:pPr>
      <w:r w:rsidRPr="004E0588">
        <w:rPr>
          <w:rFonts w:ascii="Tahoma" w:hAnsi="Tahoma" w:cs="Tahoma"/>
          <w:sz w:val="20"/>
          <w:szCs w:val="20"/>
        </w:rPr>
        <w:t>Mediante decreto de fecha 14 de junio de 2005, se remitió el expediente a la sala Única del Tribunal para que resuelva.</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23 de junio de 2005, QUIMICA EUROPEA solicitó el uso de la palabra.</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11 de julio de 2005, ESSALUD señala que QUIMICA EUROPEA en su escrito de descargos ha reconocido que ha incurrido en las faltas denunciadas en el citado proceso de selección.</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3 de agosto de 2005, QUIMICA EUROPEA refuta lo expresado por ESSALUD en el párrafo precedente, argumentando que no actuó con dolo, sino se trato de un error involuntario y que en ningún momento del proceso de selección se generado algún perjuicio a EESALUD.</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lastRenderedPageBreak/>
        <w:t>El 6 de octubre de 2005, se llevo a cabo la Audiencia Pública en presencia de los señores vocales de la Sala Única del Tribunal y la participación de los representantes de cada una de las partes del presente procedimiento.</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11 de octubre de 2005, ESSALUD señala que la autorización del registro sanitario para la comercialización del CATÉTER DOBLE LUMEN 12FR X 15CM, por parte de QUIMICA EUROPEA, recién la obtuvo en el mes de mayo del 2005, fecha posterior al otorgamiento de la Buena Pro, es decir, a juicio de ESSALUD, al momento de la convocatoria del proceso de selección QUIMICA EUROPEA no contaba con los requisitos mínimos para ser admitido como postor.</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20 de octubre de 2005, QUIMICA EUROPEA ratificó sus descargos, señalando que no actuó con dolo durante el proceso de selección.</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17 de noviembre de 2005, la Entidad afirmó que al momento de la convocatoria, apertura de sobre y otorgamiento de la Buena Pro no existía registro sanitario del producto en mención, de manera que no es entendible que se haya cometido un error de presentar un registro por otro.</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 xml:space="preserve">Mediante decreto de fecha 4 de junio de 2007, conforme lo dispuesto en la Resolución N.° 279-2007-CONSUCODE/PRE, se remitió el expediente a la Tercera Sala del Tribunal. </w:t>
      </w:r>
    </w:p>
    <w:p w:rsidR="00034EA2" w:rsidRPr="004E0588" w:rsidRDefault="00034EA2" w:rsidP="00034EA2">
      <w:pPr>
        <w:numPr>
          <w:ilvl w:val="0"/>
          <w:numId w:val="13"/>
        </w:numPr>
        <w:jc w:val="both"/>
        <w:rPr>
          <w:rFonts w:ascii="Tahoma" w:hAnsi="Tahoma" w:cs="Tahoma"/>
          <w:sz w:val="20"/>
          <w:szCs w:val="20"/>
        </w:rPr>
      </w:pPr>
      <w:r w:rsidRPr="004E0588">
        <w:rPr>
          <w:rFonts w:ascii="Tahoma" w:hAnsi="Tahoma" w:cs="Tahoma"/>
          <w:sz w:val="20"/>
          <w:szCs w:val="20"/>
        </w:rPr>
        <w:t>El 2 de agosto de 2007 se llevo a cabo la Audiencia Pública en presencia de la Tercera Sala del Tribunal y la participación del Postor.</w:t>
      </w:r>
    </w:p>
    <w:p w:rsidR="0013362C" w:rsidRPr="004E0588" w:rsidRDefault="0013362C" w:rsidP="0013362C">
      <w:pPr>
        <w:jc w:val="both"/>
        <w:rPr>
          <w:rFonts w:ascii="Tahoma" w:hAnsi="Tahoma" w:cs="Tahoma"/>
          <w:b/>
          <w:shadow/>
          <w:sz w:val="20"/>
          <w:szCs w:val="20"/>
        </w:rPr>
      </w:pPr>
    </w:p>
    <w:p w:rsidR="008F5E4C" w:rsidRPr="004E0588" w:rsidRDefault="008F5E4C" w:rsidP="0013362C">
      <w:pPr>
        <w:jc w:val="both"/>
        <w:rPr>
          <w:rFonts w:ascii="Tahoma" w:hAnsi="Tahoma" w:cs="Tahoma"/>
          <w:shadow/>
          <w:sz w:val="20"/>
          <w:szCs w:val="20"/>
        </w:rPr>
      </w:pPr>
      <w:r w:rsidRPr="004E0588">
        <w:rPr>
          <w:rFonts w:ascii="Tahoma" w:hAnsi="Tahoma" w:cs="Tahoma"/>
          <w:b/>
          <w:shadow/>
          <w:sz w:val="20"/>
          <w:szCs w:val="20"/>
        </w:rPr>
        <w:t>FUNDAMENT</w:t>
      </w:r>
      <w:r w:rsidR="00170F01" w:rsidRPr="004E0588">
        <w:rPr>
          <w:rFonts w:ascii="Tahoma" w:hAnsi="Tahoma" w:cs="Tahoma"/>
          <w:b/>
          <w:shadow/>
          <w:sz w:val="20"/>
          <w:szCs w:val="20"/>
        </w:rPr>
        <w:t>ACION</w:t>
      </w:r>
    </w:p>
    <w:p w:rsidR="004E0588" w:rsidRPr="004E0588" w:rsidRDefault="004E0588" w:rsidP="004E0588">
      <w:pPr>
        <w:tabs>
          <w:tab w:val="num" w:pos="720"/>
        </w:tabs>
        <w:ind w:left="360"/>
        <w:jc w:val="both"/>
        <w:rPr>
          <w:rFonts w:ascii="Tahoma" w:hAnsi="Tahoma" w:cs="Tahoma"/>
          <w:sz w:val="20"/>
          <w:szCs w:val="20"/>
        </w:rPr>
      </w:pPr>
    </w:p>
    <w:p w:rsidR="004E0588" w:rsidRPr="004E0588" w:rsidRDefault="004E0588" w:rsidP="004E0588">
      <w:pPr>
        <w:numPr>
          <w:ilvl w:val="0"/>
          <w:numId w:val="14"/>
        </w:numPr>
        <w:autoSpaceDE w:val="0"/>
        <w:autoSpaceDN w:val="0"/>
        <w:adjustRightInd w:val="0"/>
        <w:jc w:val="both"/>
        <w:rPr>
          <w:rFonts w:ascii="Tahoma" w:hAnsi="Tahoma" w:cs="Tahoma"/>
          <w:sz w:val="20"/>
          <w:szCs w:val="20"/>
        </w:rPr>
      </w:pPr>
      <w:r w:rsidRPr="004E0588">
        <w:rPr>
          <w:rFonts w:ascii="Tahoma" w:hAnsi="Tahoma" w:cs="Tahoma"/>
          <w:sz w:val="20"/>
          <w:szCs w:val="20"/>
        </w:rPr>
        <w:t>El presente procedimiento se refiere a la solicitud de imposición de sanción formulada por la Entidad contra QUIMICA EUROPEA, por supuesta responsabilidad en la presentación de documentos falsos o inexactos, infracción que se encuentra tipificada en el numeral 9) del artículo 294 del Reglamento</w:t>
      </w:r>
      <w:r w:rsidRPr="004E0588">
        <w:rPr>
          <w:rStyle w:val="Refdenotaalpie"/>
          <w:rFonts w:ascii="Tahoma" w:hAnsi="Tahoma" w:cs="Tahoma"/>
          <w:sz w:val="20"/>
          <w:szCs w:val="20"/>
        </w:rPr>
        <w:footnoteReference w:id="2"/>
      </w:r>
      <w:r w:rsidRPr="004E0588">
        <w:rPr>
          <w:rFonts w:ascii="Tahoma" w:hAnsi="Tahoma" w:cs="Tahoma"/>
          <w:sz w:val="20"/>
          <w:szCs w:val="20"/>
        </w:rPr>
        <w:t>, norma aplicable al presente procedimiento, al encontrarse vigente en el momento de la supuesta comisión de la infracción acotada.</w:t>
      </w:r>
    </w:p>
    <w:p w:rsidR="004E0588" w:rsidRPr="004E0588" w:rsidRDefault="004E0588" w:rsidP="004E0588">
      <w:pPr>
        <w:numPr>
          <w:ilvl w:val="0"/>
          <w:numId w:val="14"/>
        </w:numPr>
        <w:autoSpaceDE w:val="0"/>
        <w:autoSpaceDN w:val="0"/>
        <w:adjustRightInd w:val="0"/>
        <w:jc w:val="both"/>
        <w:rPr>
          <w:rFonts w:ascii="Tahoma" w:hAnsi="Tahoma" w:cs="Tahoma"/>
          <w:sz w:val="20"/>
          <w:szCs w:val="20"/>
        </w:rPr>
      </w:pPr>
      <w:r w:rsidRPr="004E0588">
        <w:rPr>
          <w:rFonts w:ascii="Tahoma" w:hAnsi="Tahoma" w:cs="Tahoma"/>
          <w:sz w:val="20"/>
          <w:szCs w:val="20"/>
        </w:rPr>
        <w:t xml:space="preserve">El artículo 52 del Texto Único Ordenado de </w:t>
      </w:r>
      <w:smartTag w:uri="urn:schemas-microsoft-com:office:smarttags" w:element="PersonName">
        <w:smartTagPr>
          <w:attr w:name="ProductID" w:val="la Ley"/>
        </w:smartTagPr>
        <w:r w:rsidRPr="004E0588">
          <w:rPr>
            <w:rFonts w:ascii="Tahoma" w:hAnsi="Tahoma" w:cs="Tahoma"/>
            <w:sz w:val="20"/>
            <w:szCs w:val="20"/>
          </w:rPr>
          <w:t>la Ley</w:t>
        </w:r>
      </w:smartTag>
      <w:r w:rsidRPr="004E0588">
        <w:rPr>
          <w:rFonts w:ascii="Tahoma" w:hAnsi="Tahoma" w:cs="Tahoma"/>
          <w:sz w:val="20"/>
          <w:szCs w:val="20"/>
        </w:rPr>
        <w:t xml:space="preserve"> de Contrataciones y Adquisiciones del Estado, aprobado mediante Decreto Supremo N.° 083-2004-PCM, en lo sucesivo </w:t>
      </w:r>
      <w:smartTag w:uri="urn:schemas-microsoft-com:office:smarttags" w:element="PersonName">
        <w:smartTagPr>
          <w:attr w:name="ProductID" w:val="la Ley"/>
        </w:smartTagPr>
        <w:r w:rsidRPr="004E0588">
          <w:rPr>
            <w:rFonts w:ascii="Tahoma" w:hAnsi="Tahoma" w:cs="Tahoma"/>
            <w:sz w:val="20"/>
            <w:szCs w:val="20"/>
          </w:rPr>
          <w:t>la Ley</w:t>
        </w:r>
      </w:smartTag>
      <w:r w:rsidRPr="004E0588">
        <w:rPr>
          <w:rFonts w:ascii="Tahoma" w:hAnsi="Tahoma" w:cs="Tahoma"/>
          <w:sz w:val="20"/>
          <w:szCs w:val="20"/>
        </w:rPr>
        <w:t xml:space="preserve">, establece que corresponde al Consejo Superior de Contrataciones y Adquisiciones del Estado imponer sanciones en los casos previstos por Ley y su Reglamento. </w:t>
      </w:r>
    </w:p>
    <w:p w:rsidR="004E0588" w:rsidRPr="004E0588" w:rsidRDefault="004E0588" w:rsidP="004E0588">
      <w:pPr>
        <w:pStyle w:val="Textoindependiente"/>
        <w:tabs>
          <w:tab w:val="left" w:pos="540"/>
          <w:tab w:val="num" w:pos="720"/>
        </w:tabs>
        <w:ind w:left="720"/>
        <w:rPr>
          <w:rFonts w:ascii="Tahoma" w:hAnsi="Tahoma" w:cs="Tahoma"/>
          <w:sz w:val="20"/>
          <w:szCs w:val="20"/>
        </w:rPr>
      </w:pPr>
      <w:r w:rsidRPr="004E0588">
        <w:rPr>
          <w:rFonts w:ascii="Tahoma" w:hAnsi="Tahoma" w:cs="Tahoma"/>
          <w:sz w:val="20"/>
          <w:szCs w:val="20"/>
        </w:rPr>
        <w:t>El artículo 293 del Reglamento prevé que la facultad de imponer sanción administrativa temporal o definitiva, que se contrae los incisos a) y b) del artículo 52 de la Ley, a proveedores, participantes, postores y contratistas le corresponde al Tribunal.</w:t>
      </w:r>
    </w:p>
    <w:p w:rsidR="004E0588" w:rsidRPr="004E0588" w:rsidRDefault="004E0588" w:rsidP="004E0588">
      <w:pPr>
        <w:numPr>
          <w:ilvl w:val="0"/>
          <w:numId w:val="14"/>
        </w:numPr>
        <w:autoSpaceDE w:val="0"/>
        <w:autoSpaceDN w:val="0"/>
        <w:adjustRightInd w:val="0"/>
        <w:jc w:val="both"/>
        <w:rPr>
          <w:rFonts w:ascii="Tahoma" w:hAnsi="Tahoma" w:cs="Tahoma"/>
          <w:sz w:val="20"/>
          <w:szCs w:val="20"/>
        </w:rPr>
      </w:pPr>
      <w:r w:rsidRPr="004E0588">
        <w:rPr>
          <w:rFonts w:ascii="Tahoma" w:hAnsi="Tahoma" w:cs="Tahoma"/>
          <w:sz w:val="20"/>
          <w:szCs w:val="20"/>
          <w:lang w:val="es-MX"/>
        </w:rPr>
        <w:t xml:space="preserve">Para </w:t>
      </w:r>
      <w:r w:rsidRPr="004E0588">
        <w:rPr>
          <w:rFonts w:ascii="Tahoma" w:hAnsi="Tahoma" w:cs="Tahoma"/>
          <w:sz w:val="20"/>
          <w:szCs w:val="20"/>
        </w:rPr>
        <w:t xml:space="preserve">la configuración del supuesto de hecho de la norma que contiene la infracción señalada se requiere, previamente,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la misma, a través del quebrantamiento del </w:t>
      </w:r>
      <w:r w:rsidRPr="004E0588">
        <w:rPr>
          <w:rFonts w:ascii="Tahoma" w:hAnsi="Tahoma" w:cs="Tahoma"/>
          <w:i/>
          <w:sz w:val="20"/>
          <w:szCs w:val="20"/>
        </w:rPr>
        <w:t xml:space="preserve">Principio de Moralidad </w:t>
      </w:r>
      <w:r w:rsidRPr="004E0588">
        <w:rPr>
          <w:rFonts w:ascii="Tahoma" w:hAnsi="Tahoma" w:cs="Tahoma"/>
          <w:sz w:val="20"/>
          <w:szCs w:val="20"/>
        </w:rPr>
        <w:t xml:space="preserve">y </w:t>
      </w:r>
      <w:r w:rsidRPr="004E0588">
        <w:rPr>
          <w:rFonts w:ascii="Tahoma" w:hAnsi="Tahoma" w:cs="Tahoma"/>
          <w:i/>
          <w:sz w:val="20"/>
          <w:szCs w:val="20"/>
        </w:rPr>
        <w:t xml:space="preserve">Presunción de </w:t>
      </w:r>
      <w:r w:rsidRPr="004E0588">
        <w:rPr>
          <w:rFonts w:ascii="Tahoma" w:hAnsi="Tahoma" w:cs="Tahoma"/>
          <w:i/>
          <w:sz w:val="20"/>
          <w:szCs w:val="20"/>
        </w:rPr>
        <w:lastRenderedPageBreak/>
        <w:t>Veracidad</w:t>
      </w:r>
      <w:r w:rsidRPr="004E0588">
        <w:rPr>
          <w:rStyle w:val="Refdenotaalpie"/>
          <w:rFonts w:ascii="Tahoma" w:hAnsi="Tahoma" w:cs="Tahoma"/>
          <w:sz w:val="20"/>
          <w:szCs w:val="20"/>
        </w:rPr>
        <w:footnoteReference w:id="3"/>
      </w:r>
      <w:r w:rsidRPr="004E0588">
        <w:rPr>
          <w:rFonts w:ascii="Tahoma" w:hAnsi="Tahoma" w:cs="Tahoma"/>
          <w:sz w:val="20"/>
          <w:szCs w:val="20"/>
        </w:rPr>
        <w:t xml:space="preserve">, conforme lo establece el inciso 1) del artículo 3° del Texto Único Ordenado de </w:t>
      </w:r>
      <w:smartTag w:uri="urn:schemas-microsoft-com:office:smarttags" w:element="PersonName">
        <w:smartTagPr>
          <w:attr w:name="ProductID" w:val="la Ley"/>
        </w:smartTagPr>
        <w:r w:rsidRPr="004E0588">
          <w:rPr>
            <w:rFonts w:ascii="Tahoma" w:hAnsi="Tahoma" w:cs="Tahoma"/>
            <w:sz w:val="20"/>
            <w:szCs w:val="20"/>
          </w:rPr>
          <w:t>la Ley</w:t>
        </w:r>
      </w:smartTag>
      <w:r w:rsidRPr="004E0588">
        <w:rPr>
          <w:rFonts w:ascii="Tahoma" w:hAnsi="Tahoma" w:cs="Tahoma"/>
          <w:sz w:val="20"/>
          <w:szCs w:val="20"/>
        </w:rPr>
        <w:t xml:space="preserve">, en concordancia con lo dispuesto en el numeral 1.7 del Artículo IV del Titulo Preliminar y el numeral 42.1 del artículo 42° de </w:t>
      </w:r>
      <w:smartTag w:uri="urn:schemas-microsoft-com:office:smarttags" w:element="PersonName">
        <w:smartTagPr>
          <w:attr w:name="ProductID" w:val="la Ley N.ﾰ"/>
        </w:smartTagPr>
        <w:r w:rsidRPr="004E0588">
          <w:rPr>
            <w:rFonts w:ascii="Tahoma" w:hAnsi="Tahoma" w:cs="Tahoma"/>
            <w:sz w:val="20"/>
            <w:szCs w:val="20"/>
          </w:rPr>
          <w:t>la Ley N.°</w:t>
        </w:r>
      </w:smartTag>
      <w:r w:rsidRPr="004E0588">
        <w:rPr>
          <w:rFonts w:ascii="Tahoma" w:hAnsi="Tahoma" w:cs="Tahoma"/>
          <w:sz w:val="20"/>
          <w:szCs w:val="20"/>
        </w:rPr>
        <w:t xml:space="preserve"> 27444 - Ley del Procedimiento Administrativo General.</w:t>
      </w:r>
    </w:p>
    <w:p w:rsidR="004E0588" w:rsidRPr="004E0588" w:rsidRDefault="004E0588" w:rsidP="004E0588">
      <w:pPr>
        <w:numPr>
          <w:ilvl w:val="0"/>
          <w:numId w:val="14"/>
        </w:numPr>
        <w:autoSpaceDE w:val="0"/>
        <w:autoSpaceDN w:val="0"/>
        <w:adjustRightInd w:val="0"/>
        <w:jc w:val="both"/>
        <w:rPr>
          <w:rFonts w:ascii="Tahoma" w:hAnsi="Tahoma" w:cs="Tahoma"/>
          <w:sz w:val="20"/>
          <w:szCs w:val="20"/>
        </w:rPr>
      </w:pPr>
      <w:r w:rsidRPr="004E0588">
        <w:rPr>
          <w:rFonts w:ascii="Tahoma" w:hAnsi="Tahoma" w:cs="Tahoma"/>
          <w:sz w:val="20"/>
          <w:szCs w:val="20"/>
        </w:rPr>
        <w:t>En ese sentido, el documento materia de controversia está referido a la Resolución Directoral N.º 17894 SS/DIGEMID/DERN/DR</w:t>
      </w:r>
      <w:r w:rsidRPr="004E0588">
        <w:rPr>
          <w:rStyle w:val="Refdenotaalpie"/>
          <w:rFonts w:ascii="Tahoma" w:hAnsi="Tahoma" w:cs="Tahoma"/>
          <w:sz w:val="20"/>
          <w:szCs w:val="20"/>
        </w:rPr>
        <w:footnoteReference w:id="4"/>
      </w:r>
      <w:r w:rsidRPr="004E0588">
        <w:rPr>
          <w:rFonts w:ascii="Tahoma" w:hAnsi="Tahoma" w:cs="Tahoma"/>
          <w:sz w:val="20"/>
          <w:szCs w:val="20"/>
        </w:rPr>
        <w:t xml:space="preserve"> que autorizó la inscripción del instrumental y material medico extranjero: Catéteres usados en el Registro Sanitario N.º </w:t>
      </w:r>
      <w:r w:rsidRPr="004E0588">
        <w:rPr>
          <w:rFonts w:ascii="Tahoma" w:hAnsi="Tahoma" w:cs="Tahoma"/>
          <w:b/>
          <w:sz w:val="20"/>
          <w:szCs w:val="20"/>
        </w:rPr>
        <w:t>E-10778-IMM</w:t>
      </w:r>
      <w:r w:rsidRPr="004E0588">
        <w:rPr>
          <w:rFonts w:ascii="Tahoma" w:hAnsi="Tahoma" w:cs="Tahoma"/>
          <w:sz w:val="20"/>
          <w:szCs w:val="20"/>
        </w:rPr>
        <w:t xml:space="preserve">, en cuyo anexo (listado de productos) figura el producto </w:t>
      </w:r>
      <w:r w:rsidRPr="004E0588">
        <w:rPr>
          <w:rFonts w:ascii="Tahoma" w:hAnsi="Tahoma" w:cs="Tahoma"/>
          <w:i/>
          <w:sz w:val="20"/>
          <w:szCs w:val="20"/>
        </w:rPr>
        <w:t xml:space="preserve">Catéter Doble Lumen 12fr x 15cm; </w:t>
      </w:r>
      <w:r w:rsidRPr="004E0588">
        <w:rPr>
          <w:rFonts w:ascii="Tahoma" w:hAnsi="Tahoma" w:cs="Tahoma"/>
          <w:sz w:val="20"/>
          <w:szCs w:val="20"/>
        </w:rPr>
        <w:t xml:space="preserve">sin embargo, DIGEMID ha señalado que el Registro Sanitario N.º </w:t>
      </w:r>
      <w:r w:rsidRPr="004E0588">
        <w:rPr>
          <w:rFonts w:ascii="Tahoma" w:hAnsi="Tahoma" w:cs="Tahoma"/>
          <w:b/>
          <w:sz w:val="20"/>
          <w:szCs w:val="20"/>
        </w:rPr>
        <w:t>E-10778-IMM</w:t>
      </w:r>
      <w:r w:rsidRPr="004E0588">
        <w:rPr>
          <w:rFonts w:ascii="Tahoma" w:hAnsi="Tahoma" w:cs="Tahoma"/>
          <w:sz w:val="20"/>
          <w:szCs w:val="20"/>
        </w:rPr>
        <w:t xml:space="preserve"> corresponde al producto </w:t>
      </w:r>
      <w:r w:rsidRPr="004E0588">
        <w:rPr>
          <w:rFonts w:ascii="Tahoma" w:hAnsi="Tahoma" w:cs="Tahoma"/>
          <w:i/>
          <w:sz w:val="20"/>
          <w:szCs w:val="20"/>
        </w:rPr>
        <w:t xml:space="preserve">Catéter Doble Lumen 11.5 FR x 15CM, código: XTP116MT </w:t>
      </w:r>
      <w:r w:rsidRPr="004E0588">
        <w:rPr>
          <w:rFonts w:ascii="Tahoma" w:hAnsi="Tahoma" w:cs="Tahoma"/>
          <w:sz w:val="20"/>
          <w:szCs w:val="20"/>
        </w:rPr>
        <w:t xml:space="preserve">y no al producto </w:t>
      </w:r>
      <w:r w:rsidRPr="004E0588">
        <w:rPr>
          <w:rFonts w:ascii="Tahoma" w:hAnsi="Tahoma" w:cs="Tahoma"/>
          <w:i/>
          <w:sz w:val="20"/>
          <w:szCs w:val="20"/>
        </w:rPr>
        <w:t>Catéter Doble Lumen 12fr x 15cm</w:t>
      </w:r>
      <w:r w:rsidRPr="004E0588">
        <w:rPr>
          <w:rFonts w:ascii="Tahoma" w:hAnsi="Tahoma" w:cs="Tahoma"/>
          <w:sz w:val="20"/>
          <w:szCs w:val="20"/>
        </w:rPr>
        <w:t>. En relación a ello, se verifica que la información contenida en el citado documento presentado QUIMICA EUROPEA para el ítem 6 ha sido adulterada, a fin de acreditar que su producto ofertado (</w:t>
      </w:r>
      <w:r w:rsidRPr="004E0588">
        <w:rPr>
          <w:rFonts w:ascii="Tahoma" w:hAnsi="Tahoma" w:cs="Tahoma"/>
          <w:i/>
          <w:sz w:val="20"/>
          <w:szCs w:val="20"/>
        </w:rPr>
        <w:t>Kit de Catéter Doble Lumen 12f x 15cm marca MEDCOMP U.S.A.</w:t>
      </w:r>
      <w:r w:rsidRPr="004E0588">
        <w:rPr>
          <w:rFonts w:ascii="Tahoma" w:hAnsi="Tahoma" w:cs="Tahoma"/>
          <w:sz w:val="20"/>
          <w:szCs w:val="20"/>
        </w:rPr>
        <w:t xml:space="preserve">) contaba con registro sanitario. </w:t>
      </w:r>
    </w:p>
    <w:p w:rsidR="004E0588" w:rsidRPr="004E0588" w:rsidRDefault="004E0588" w:rsidP="004E0588">
      <w:pPr>
        <w:autoSpaceDE w:val="0"/>
        <w:autoSpaceDN w:val="0"/>
        <w:adjustRightInd w:val="0"/>
        <w:ind w:left="720"/>
        <w:jc w:val="both"/>
        <w:rPr>
          <w:rFonts w:ascii="Tahoma" w:hAnsi="Tahoma" w:cs="Tahoma"/>
          <w:sz w:val="20"/>
          <w:szCs w:val="20"/>
        </w:rPr>
      </w:pPr>
      <w:r w:rsidRPr="004E0588">
        <w:rPr>
          <w:rFonts w:ascii="Tahoma" w:hAnsi="Tahoma" w:cs="Tahoma"/>
          <w:sz w:val="20"/>
          <w:szCs w:val="20"/>
        </w:rPr>
        <w:t xml:space="preserve">Asimismo, de la documentación obrante en autos, se verifica que en el folio ciento trece (113) se señala que el </w:t>
      </w:r>
      <w:r w:rsidRPr="004E0588">
        <w:rPr>
          <w:rFonts w:ascii="Tahoma" w:hAnsi="Tahoma" w:cs="Tahoma"/>
          <w:b/>
          <w:sz w:val="20"/>
          <w:szCs w:val="20"/>
        </w:rPr>
        <w:t xml:space="preserve">producto </w:t>
      </w:r>
      <w:r w:rsidRPr="004E0588">
        <w:rPr>
          <w:rFonts w:ascii="Tahoma" w:hAnsi="Tahoma" w:cs="Tahoma"/>
          <w:b/>
          <w:i/>
          <w:sz w:val="20"/>
          <w:szCs w:val="20"/>
        </w:rPr>
        <w:t>12F x 15cm Double Lumen catéter</w:t>
      </w:r>
      <w:r w:rsidRPr="004E0588">
        <w:rPr>
          <w:rFonts w:ascii="Tahoma" w:hAnsi="Tahoma" w:cs="Tahoma"/>
          <w:b/>
          <w:sz w:val="20"/>
          <w:szCs w:val="20"/>
        </w:rPr>
        <w:t>,</w:t>
      </w:r>
      <w:r w:rsidRPr="004E0588">
        <w:rPr>
          <w:rFonts w:ascii="Tahoma" w:hAnsi="Tahoma" w:cs="Tahoma"/>
          <w:b/>
          <w:i/>
          <w:sz w:val="20"/>
          <w:szCs w:val="20"/>
        </w:rPr>
        <w:t xml:space="preserve"> </w:t>
      </w:r>
      <w:r w:rsidRPr="004E0588">
        <w:rPr>
          <w:rFonts w:ascii="Tahoma" w:hAnsi="Tahoma" w:cs="Tahoma"/>
          <w:sz w:val="20"/>
          <w:szCs w:val="20"/>
        </w:rPr>
        <w:t xml:space="preserve">producto ofertado por el Postor, </w:t>
      </w:r>
      <w:r w:rsidRPr="004E0588">
        <w:rPr>
          <w:rFonts w:ascii="Tahoma" w:hAnsi="Tahoma" w:cs="Tahoma"/>
          <w:b/>
          <w:sz w:val="20"/>
          <w:szCs w:val="20"/>
        </w:rPr>
        <w:t>corresponde al Registro Sanitario N.º E-12723-IMM, el cual fue autorizado por Resolución Directoral N.º 5986 SS/DIGEMID/DERD/DR de fecha 31 de mayo de 2005</w:t>
      </w:r>
      <w:r w:rsidRPr="004E0588">
        <w:rPr>
          <w:rFonts w:ascii="Tahoma" w:hAnsi="Tahoma" w:cs="Tahoma"/>
          <w:sz w:val="20"/>
          <w:szCs w:val="20"/>
        </w:rPr>
        <w:t>, posterior a la fecha de convocatoria y presentación de propuesta técnica del referido proceso de selección.</w:t>
      </w:r>
    </w:p>
    <w:p w:rsidR="004E0588" w:rsidRPr="004E0588" w:rsidRDefault="004E0588" w:rsidP="004E0588">
      <w:pPr>
        <w:numPr>
          <w:ilvl w:val="0"/>
          <w:numId w:val="14"/>
        </w:numPr>
        <w:autoSpaceDE w:val="0"/>
        <w:autoSpaceDN w:val="0"/>
        <w:adjustRightInd w:val="0"/>
        <w:jc w:val="both"/>
        <w:rPr>
          <w:rFonts w:ascii="Tahoma" w:hAnsi="Tahoma" w:cs="Tahoma"/>
          <w:sz w:val="20"/>
          <w:szCs w:val="20"/>
        </w:rPr>
      </w:pPr>
      <w:r w:rsidRPr="004E0588">
        <w:rPr>
          <w:rFonts w:ascii="Tahoma" w:hAnsi="Tahoma" w:cs="Tahoma"/>
          <w:sz w:val="20"/>
          <w:szCs w:val="20"/>
        </w:rPr>
        <w:t>Asimismo, QUIMICA EUROPEA en su escrito de descargos ha reconocido que el Registro Sanitario N.º E-10778-IMM corresponde a un producto similar al producto ofertado, el cual se encuentra obsoleto, en desuso; pero que, por error de uno de sus trabajadores, adjuntó el referido documento como parte de su propuesta técnica.</w:t>
      </w:r>
    </w:p>
    <w:p w:rsidR="004E0588" w:rsidRPr="004E0588" w:rsidRDefault="004E0588" w:rsidP="004E0588">
      <w:pPr>
        <w:numPr>
          <w:ilvl w:val="0"/>
          <w:numId w:val="14"/>
        </w:numPr>
        <w:autoSpaceDE w:val="0"/>
        <w:autoSpaceDN w:val="0"/>
        <w:adjustRightInd w:val="0"/>
        <w:jc w:val="both"/>
        <w:rPr>
          <w:rFonts w:ascii="Tahoma" w:hAnsi="Tahoma" w:cs="Tahoma"/>
          <w:i/>
          <w:sz w:val="20"/>
          <w:szCs w:val="20"/>
        </w:rPr>
      </w:pPr>
      <w:r w:rsidRPr="004E0588">
        <w:rPr>
          <w:rFonts w:ascii="Tahoma" w:hAnsi="Tahoma" w:cs="Tahoma"/>
          <w:sz w:val="20"/>
          <w:szCs w:val="20"/>
        </w:rPr>
        <w:t xml:space="preserve">Por otro lado, es importante señalar que si bien es cierto el producto Kit de Catéter Doble Lumen 12f X 15cm marca MEDCOMP U.S.A., ofertado por el Postor, ganador de la Buena Pro del ítem 6, fue entregado en su totalidad a la Entidad, según Guía de Remisión N.º 001-001222, siendo posteriormente cancelada mediante cheque del Banco Continental N.º 00003555-0, esto no es óbice para que este Colegiado determine la responsabilidad del accionar del Postor en el proceso de selección. Más aún, cuando el documento materia de cuestionamiento tenía la calidad de </w:t>
      </w:r>
      <w:r w:rsidRPr="004E0588">
        <w:rPr>
          <w:rFonts w:ascii="Tahoma" w:hAnsi="Tahoma" w:cs="Tahoma"/>
          <w:i/>
          <w:sz w:val="20"/>
          <w:szCs w:val="20"/>
        </w:rPr>
        <w:t>Requerimiento Técnico Mínimo</w:t>
      </w:r>
      <w:r w:rsidRPr="004E0588">
        <w:rPr>
          <w:rFonts w:ascii="Tahoma" w:hAnsi="Tahoma" w:cs="Tahoma"/>
          <w:sz w:val="20"/>
          <w:szCs w:val="20"/>
        </w:rPr>
        <w:t xml:space="preserve"> que las Bases de la Adjudicación de Menor Cuantía N.° 0505M00441</w:t>
      </w:r>
      <w:r w:rsidRPr="004E0588">
        <w:rPr>
          <w:rStyle w:val="Refdenotaalpie"/>
          <w:rFonts w:ascii="Tahoma" w:hAnsi="Tahoma" w:cs="Tahoma"/>
          <w:sz w:val="20"/>
          <w:szCs w:val="20"/>
        </w:rPr>
        <w:footnoteReference w:id="5"/>
      </w:r>
      <w:r w:rsidRPr="004E0588">
        <w:rPr>
          <w:rFonts w:ascii="Tahoma" w:hAnsi="Tahoma" w:cs="Tahoma"/>
          <w:sz w:val="20"/>
          <w:szCs w:val="20"/>
        </w:rPr>
        <w:t xml:space="preserve"> señalaban como obligatorio (requisito de admisibilidad). </w:t>
      </w:r>
    </w:p>
    <w:p w:rsidR="004E0588" w:rsidRPr="004E0588" w:rsidRDefault="004E0588" w:rsidP="004E0588">
      <w:pPr>
        <w:numPr>
          <w:ilvl w:val="0"/>
          <w:numId w:val="14"/>
        </w:numPr>
        <w:autoSpaceDE w:val="0"/>
        <w:autoSpaceDN w:val="0"/>
        <w:adjustRightInd w:val="0"/>
        <w:jc w:val="both"/>
        <w:rPr>
          <w:rFonts w:ascii="Tahoma" w:hAnsi="Tahoma" w:cs="Tahoma"/>
          <w:b/>
          <w:sz w:val="20"/>
          <w:szCs w:val="20"/>
        </w:rPr>
      </w:pPr>
      <w:r w:rsidRPr="004E0588">
        <w:rPr>
          <w:rFonts w:ascii="Tahoma" w:hAnsi="Tahoma" w:cs="Tahoma"/>
          <w:sz w:val="20"/>
          <w:szCs w:val="20"/>
        </w:rPr>
        <w:t xml:space="preserve">En consecuencia, al existir pruebas que acreditan la adulteración del referido documento y habiendo escuchado al Postor en la audiencia pública el reconocimiento de la falta, este Colegiado concluye que se ha </w:t>
      </w:r>
      <w:r w:rsidRPr="004E0588">
        <w:rPr>
          <w:rFonts w:ascii="Tahoma" w:hAnsi="Tahoma" w:cs="Tahoma"/>
          <w:sz w:val="20"/>
          <w:szCs w:val="20"/>
          <w:lang w:val="es-MX"/>
        </w:rPr>
        <w:t>configurado el supuesto de hecho contenido en la causal de sanción tipificada en el numeral 9) del artículo 294 del Reglamento.</w:t>
      </w:r>
    </w:p>
    <w:p w:rsidR="004E0588" w:rsidRPr="004E0588" w:rsidRDefault="004E0588" w:rsidP="004E0588">
      <w:pPr>
        <w:numPr>
          <w:ilvl w:val="0"/>
          <w:numId w:val="14"/>
        </w:numPr>
        <w:autoSpaceDE w:val="0"/>
        <w:autoSpaceDN w:val="0"/>
        <w:adjustRightInd w:val="0"/>
        <w:jc w:val="both"/>
        <w:rPr>
          <w:rFonts w:ascii="Tahoma" w:hAnsi="Tahoma" w:cs="Tahoma"/>
          <w:b/>
          <w:sz w:val="20"/>
          <w:szCs w:val="20"/>
        </w:rPr>
      </w:pPr>
      <w:r w:rsidRPr="004E0588">
        <w:rPr>
          <w:rFonts w:ascii="Tahoma" w:hAnsi="Tahoma" w:cs="Tahoma"/>
          <w:sz w:val="20"/>
          <w:szCs w:val="20"/>
        </w:rPr>
        <w:t xml:space="preserve">El artículo 294 del Reglamento prevé que los postores o contratistas que incurran en la causal de sanción establecida en el numeral 9) del citado artículo serán sancionados </w:t>
      </w:r>
      <w:r w:rsidRPr="004E0588">
        <w:rPr>
          <w:rFonts w:ascii="Tahoma" w:hAnsi="Tahoma" w:cs="Tahoma"/>
          <w:sz w:val="20"/>
          <w:szCs w:val="20"/>
        </w:rPr>
        <w:lastRenderedPageBreak/>
        <w:t>con inhabilitación temporal para contratar con el estado por un periodo no menor de tres (3) no mayor de un (1) año. Asimismo, a efectos de gradua</w:t>
      </w:r>
      <w:r w:rsidRPr="004E0588">
        <w:rPr>
          <w:rStyle w:val="TextoindependienteCar"/>
          <w:rFonts w:ascii="Tahoma" w:hAnsi="Tahoma" w:cs="Tahoma"/>
          <w:sz w:val="20"/>
          <w:szCs w:val="20"/>
        </w:rPr>
        <w:t>r</w:t>
      </w:r>
      <w:r w:rsidRPr="004E0588">
        <w:rPr>
          <w:rFonts w:ascii="Tahoma" w:hAnsi="Tahoma" w:cs="Tahoma"/>
          <w:sz w:val="20"/>
          <w:szCs w:val="20"/>
        </w:rPr>
        <w:t xml:space="preserve"> la  sanción a imponerse al Postor,  este  Colegiado  debe tener en  consideración los criterios consignados en el artículo 302º del Reglamento, entre ellos, la intencionalidad del infractor, la naturaleza de la infracción, la reiterancia, el daño causado, el reconocimiento de la infracción cometida antes de que sea detectada, las condiciones de tiempo, lugar y modo, condiciones del infractor y la conducta procesal del mismo.</w:t>
      </w:r>
    </w:p>
    <w:p w:rsidR="004E0588" w:rsidRPr="004E0588" w:rsidRDefault="004E0588" w:rsidP="004E0588">
      <w:pPr>
        <w:numPr>
          <w:ilvl w:val="0"/>
          <w:numId w:val="14"/>
        </w:numPr>
        <w:autoSpaceDE w:val="0"/>
        <w:autoSpaceDN w:val="0"/>
        <w:adjustRightInd w:val="0"/>
        <w:jc w:val="both"/>
        <w:rPr>
          <w:rFonts w:ascii="Tahoma" w:hAnsi="Tahoma" w:cs="Tahoma"/>
          <w:b/>
          <w:sz w:val="20"/>
          <w:szCs w:val="20"/>
        </w:rPr>
      </w:pPr>
      <w:r w:rsidRPr="004E0588">
        <w:rPr>
          <w:rFonts w:ascii="Tahoma" w:hAnsi="Tahoma" w:cs="Tahoma"/>
          <w:sz w:val="20"/>
          <w:szCs w:val="20"/>
        </w:rPr>
        <w:t>En relación a ello, el Postor ha inducido a error a la Entidad, al presentar un registro sanitario que no correspondía al producto ofertado, lo cual le permitió que le admitieran su propuesta y por ende obtener la Buena Pro del ítem 6, accionar que este Colegiado no puede pasar por desapercibido. Asimismo, el Postor ha reconocido su falta, aunque a juicio de él, por negligencia de un trabajador; sin embargo, no ha acreditado tal argumento de defensa, ni las acciones adoptadas en salvaguarda de sus intereses, lo que no constituye justificación de su accionar.</w:t>
      </w:r>
    </w:p>
    <w:p w:rsidR="004E0588" w:rsidRPr="004E0588" w:rsidRDefault="004E0588" w:rsidP="004E0588">
      <w:pPr>
        <w:autoSpaceDE w:val="0"/>
        <w:autoSpaceDN w:val="0"/>
        <w:adjustRightInd w:val="0"/>
        <w:ind w:left="708"/>
        <w:jc w:val="both"/>
        <w:rPr>
          <w:rFonts w:ascii="Tahoma" w:hAnsi="Tahoma" w:cs="Tahoma"/>
          <w:b/>
          <w:sz w:val="20"/>
          <w:szCs w:val="20"/>
        </w:rPr>
      </w:pPr>
      <w:r w:rsidRPr="004E0588">
        <w:rPr>
          <w:rFonts w:ascii="Tahoma" w:hAnsi="Tahoma" w:cs="Tahoma"/>
          <w:sz w:val="20"/>
          <w:szCs w:val="20"/>
        </w:rPr>
        <w:t xml:space="preserve">Por otro lado, se debe tener en cuenta que, pese a lo antes señalado, el Postor ha cumplido en su totalidad con la obligación contractual, recibiendo la conformidad del mismo. </w:t>
      </w:r>
    </w:p>
    <w:p w:rsidR="004E0588" w:rsidRPr="004E0588" w:rsidRDefault="004E0588" w:rsidP="004E0588">
      <w:pPr>
        <w:numPr>
          <w:ilvl w:val="0"/>
          <w:numId w:val="14"/>
        </w:numPr>
        <w:autoSpaceDE w:val="0"/>
        <w:autoSpaceDN w:val="0"/>
        <w:adjustRightInd w:val="0"/>
        <w:jc w:val="both"/>
        <w:rPr>
          <w:rFonts w:ascii="Tahoma" w:hAnsi="Tahoma" w:cs="Tahoma"/>
          <w:b/>
          <w:sz w:val="20"/>
          <w:szCs w:val="20"/>
        </w:rPr>
      </w:pPr>
      <w:r w:rsidRPr="004E0588">
        <w:rPr>
          <w:rFonts w:ascii="Tahoma" w:hAnsi="Tahoma" w:cs="Tahoma"/>
          <w:sz w:val="20"/>
          <w:szCs w:val="20"/>
        </w:rPr>
        <w:t xml:space="preserve">Finalmente, cabe </w:t>
      </w:r>
      <w:r w:rsidRPr="004E0588">
        <w:rPr>
          <w:rStyle w:val="TextoindependienteCar"/>
          <w:rFonts w:ascii="Tahoma" w:hAnsi="Tahoma" w:cs="Tahoma"/>
          <w:sz w:val="20"/>
          <w:szCs w:val="20"/>
        </w:rPr>
        <w:t>indicar que la presentación de documentos falsos constituye un ilícito penal, previsto y sancionado en el artículo 427º</w:t>
      </w:r>
      <w:r w:rsidRPr="004E0588">
        <w:rPr>
          <w:rFonts w:ascii="Tahoma" w:hAnsi="Tahoma" w:cs="Tahoma"/>
          <w:sz w:val="20"/>
          <w:szCs w:val="20"/>
        </w:rPr>
        <w:t xml:space="preserve"> </w:t>
      </w:r>
      <w:r w:rsidRPr="004E0588">
        <w:rPr>
          <w:rStyle w:val="TextoindependienteCar"/>
          <w:rFonts w:ascii="Tahoma" w:hAnsi="Tahoma" w:cs="Tahoma"/>
          <w:sz w:val="20"/>
          <w:szCs w:val="20"/>
        </w:rPr>
        <w:t xml:space="preserve">del Código Penal, el cual tutela como bien jurídico la fe pública y la funcionalidad del documento en el tráfico jurídico y trata de evitar perjuicios que afecten la confiabilidad especialmente en las adquisiciones que realiza el Estado, motivo por el cual se considera </w:t>
      </w:r>
      <w:r w:rsidRPr="004E0588">
        <w:rPr>
          <w:rFonts w:ascii="Tahoma" w:hAnsi="Tahoma" w:cs="Tahoma"/>
          <w:sz w:val="20"/>
          <w:szCs w:val="20"/>
        </w:rPr>
        <w:t xml:space="preserve">pertinente remitir los actuados a </w:t>
      </w:r>
      <w:smartTag w:uri="urn:schemas-microsoft-com:office:smarttags" w:element="PersonName">
        <w:smartTagPr>
          <w:attr w:name="ProductID" w:val="la Presidencia"/>
        </w:smartTagPr>
        <w:r w:rsidRPr="004E0588">
          <w:rPr>
            <w:rFonts w:ascii="Tahoma" w:hAnsi="Tahoma" w:cs="Tahoma"/>
            <w:sz w:val="20"/>
            <w:szCs w:val="20"/>
          </w:rPr>
          <w:t>la Presidencia</w:t>
        </w:r>
      </w:smartTag>
      <w:r w:rsidRPr="004E0588">
        <w:rPr>
          <w:rFonts w:ascii="Tahoma" w:hAnsi="Tahoma" w:cs="Tahoma"/>
          <w:sz w:val="20"/>
          <w:szCs w:val="20"/>
        </w:rPr>
        <w:t xml:space="preserve"> del Consejo Superior de Contrataciones y Adquisiciones del Estado (CONSUCODE), para que en uso de sus atribuciones, adopte las medidas legales correspondientes    </w:t>
      </w:r>
    </w:p>
    <w:p w:rsidR="00A34FB0" w:rsidRPr="004E0588" w:rsidRDefault="00A34FB0" w:rsidP="004E0588">
      <w:pPr>
        <w:jc w:val="both"/>
        <w:rPr>
          <w:rFonts w:ascii="Tahoma" w:hAnsi="Tahoma" w:cs="Tahoma"/>
          <w:sz w:val="20"/>
          <w:szCs w:val="20"/>
          <w:lang w:val="es-PE"/>
        </w:rPr>
      </w:pPr>
    </w:p>
    <w:p w:rsidR="00E51D05" w:rsidRPr="004E0588" w:rsidRDefault="00E51D05" w:rsidP="0013362C">
      <w:pPr>
        <w:tabs>
          <w:tab w:val="num" w:pos="360"/>
        </w:tabs>
        <w:ind w:left="-180" w:firstLine="180"/>
        <w:jc w:val="both"/>
        <w:rPr>
          <w:rFonts w:ascii="Tahoma" w:hAnsi="Tahoma" w:cs="Tahoma"/>
          <w:sz w:val="20"/>
          <w:szCs w:val="20"/>
        </w:rPr>
      </w:pPr>
    </w:p>
    <w:p w:rsidR="00DE2548" w:rsidRPr="004E0588" w:rsidRDefault="00E51D05" w:rsidP="0013362C">
      <w:pPr>
        <w:tabs>
          <w:tab w:val="num" w:pos="360"/>
        </w:tabs>
        <w:jc w:val="both"/>
        <w:rPr>
          <w:rFonts w:ascii="Tahoma" w:hAnsi="Tahoma" w:cs="Tahoma"/>
          <w:sz w:val="20"/>
          <w:szCs w:val="20"/>
        </w:rPr>
      </w:pPr>
      <w:r w:rsidRPr="004E0588">
        <w:rPr>
          <w:rFonts w:ascii="Tahoma" w:hAnsi="Tahoma" w:cs="Tahoma"/>
          <w:sz w:val="20"/>
          <w:szCs w:val="20"/>
        </w:rPr>
        <w:t>Por estos fundamentos, de conformidad con el informe del Vocal Ponente doctor</w:t>
      </w:r>
      <w:r w:rsidR="00792C05" w:rsidRPr="004E0588">
        <w:rPr>
          <w:rFonts w:ascii="Tahoma" w:hAnsi="Tahoma" w:cs="Tahoma"/>
          <w:sz w:val="20"/>
          <w:szCs w:val="20"/>
        </w:rPr>
        <w:t xml:space="preserve"> Carlos Vicente Navas Rondón</w:t>
      </w:r>
      <w:r w:rsidRPr="004E0588">
        <w:rPr>
          <w:rFonts w:ascii="Tahoma" w:hAnsi="Tahoma" w:cs="Tahoma"/>
          <w:sz w:val="20"/>
          <w:szCs w:val="20"/>
        </w:rPr>
        <w:t>, con la intervención de los doctores Juan Carlos Valdivia Huaringa y</w:t>
      </w:r>
      <w:r w:rsidR="00CE1EFF" w:rsidRPr="004E0588">
        <w:rPr>
          <w:rFonts w:ascii="Tahoma" w:hAnsi="Tahoma" w:cs="Tahoma"/>
          <w:sz w:val="20"/>
          <w:szCs w:val="20"/>
        </w:rPr>
        <w:t xml:space="preserve"> Janette Elke Ramírez Maynetto,</w:t>
      </w:r>
      <w:r w:rsidR="006C3A87" w:rsidRPr="004E0588">
        <w:rPr>
          <w:rFonts w:ascii="Tahoma" w:hAnsi="Tahoma" w:cs="Tahoma"/>
          <w:sz w:val="20"/>
          <w:szCs w:val="20"/>
        </w:rPr>
        <w:t xml:space="preserve"> </w:t>
      </w:r>
      <w:r w:rsidRPr="004E0588">
        <w:rPr>
          <w:rFonts w:ascii="Tahoma" w:hAnsi="Tahoma" w:cs="Tahoma"/>
          <w:sz w:val="20"/>
          <w:szCs w:val="20"/>
        </w:rPr>
        <w:t>atendiendo a la reconformación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r w:rsidR="006C3A87" w:rsidRPr="004E0588">
        <w:rPr>
          <w:rFonts w:ascii="Tahoma" w:hAnsi="Tahoma" w:cs="Tahoma"/>
          <w:sz w:val="20"/>
          <w:szCs w:val="20"/>
        </w:rPr>
        <w:t>;</w:t>
      </w:r>
    </w:p>
    <w:p w:rsidR="006C3A87" w:rsidRPr="004E0588" w:rsidRDefault="006C3A87" w:rsidP="0013362C">
      <w:pPr>
        <w:tabs>
          <w:tab w:val="num" w:pos="360"/>
        </w:tabs>
        <w:jc w:val="both"/>
        <w:rPr>
          <w:rFonts w:ascii="Tahoma" w:hAnsi="Tahoma" w:cs="Tahoma"/>
          <w:b/>
          <w:shadow/>
          <w:sz w:val="20"/>
          <w:szCs w:val="20"/>
        </w:rPr>
      </w:pPr>
    </w:p>
    <w:p w:rsidR="00FD5D55" w:rsidRPr="004E0588" w:rsidRDefault="00FD5D55" w:rsidP="0013362C">
      <w:pPr>
        <w:tabs>
          <w:tab w:val="num" w:pos="360"/>
        </w:tabs>
        <w:ind w:left="-180" w:firstLine="180"/>
        <w:jc w:val="both"/>
        <w:rPr>
          <w:rFonts w:ascii="Tahoma" w:hAnsi="Tahoma" w:cs="Tahoma"/>
          <w:b/>
          <w:shadow/>
          <w:sz w:val="20"/>
          <w:szCs w:val="20"/>
        </w:rPr>
      </w:pPr>
      <w:r w:rsidRPr="004E0588">
        <w:rPr>
          <w:rFonts w:ascii="Tahoma" w:hAnsi="Tahoma" w:cs="Tahoma"/>
          <w:b/>
          <w:shadow/>
          <w:sz w:val="20"/>
          <w:szCs w:val="20"/>
        </w:rPr>
        <w:t>LA SALA RESUELVE:</w:t>
      </w:r>
    </w:p>
    <w:p w:rsidR="008F5E4C" w:rsidRPr="004E0588" w:rsidRDefault="008F5E4C" w:rsidP="0013362C">
      <w:pPr>
        <w:autoSpaceDE w:val="0"/>
        <w:autoSpaceDN w:val="0"/>
        <w:adjustRightInd w:val="0"/>
        <w:jc w:val="both"/>
        <w:rPr>
          <w:rFonts w:ascii="Tahoma" w:hAnsi="Tahoma" w:cs="Tahoma"/>
          <w:b/>
          <w:sz w:val="20"/>
          <w:szCs w:val="20"/>
        </w:rPr>
      </w:pPr>
    </w:p>
    <w:p w:rsidR="004E0588" w:rsidRPr="004E0588" w:rsidRDefault="004E0588" w:rsidP="004E0588">
      <w:pPr>
        <w:numPr>
          <w:ilvl w:val="0"/>
          <w:numId w:val="8"/>
        </w:numPr>
        <w:jc w:val="both"/>
        <w:rPr>
          <w:rFonts w:ascii="Tahoma" w:hAnsi="Tahoma" w:cs="Tahoma"/>
          <w:sz w:val="20"/>
          <w:szCs w:val="20"/>
        </w:rPr>
      </w:pPr>
      <w:r w:rsidRPr="004E0588">
        <w:rPr>
          <w:rFonts w:ascii="Tahoma" w:hAnsi="Tahoma" w:cs="Tahoma"/>
          <w:b/>
          <w:sz w:val="20"/>
          <w:szCs w:val="20"/>
        </w:rPr>
        <w:t>SANCIONAR</w:t>
      </w:r>
      <w:r w:rsidRPr="004E0588">
        <w:rPr>
          <w:rFonts w:ascii="Tahoma" w:hAnsi="Tahoma" w:cs="Tahoma"/>
          <w:sz w:val="20"/>
          <w:szCs w:val="20"/>
        </w:rPr>
        <w:t xml:space="preserve"> a la empresa REPRESENTACIONES QUIMICA EUROPEA S.A.C. por un periodo de ocho (8) meses de inhabilitación temporal para participar en procesos de selección y contratar con el Estado, por la presentación de documentación con información falsa, infracción prevista en el numeral 9) del artículo 294 del Reglamento, sanción que entrará en vigencia a partir del cuarto día hábil siguiente de notificada la Resolución.</w:t>
      </w:r>
    </w:p>
    <w:p w:rsidR="004E0588" w:rsidRPr="004E0588" w:rsidRDefault="004E0588" w:rsidP="004E0588">
      <w:pPr>
        <w:ind w:left="360"/>
        <w:jc w:val="both"/>
        <w:rPr>
          <w:rFonts w:ascii="Tahoma" w:hAnsi="Tahoma" w:cs="Tahoma"/>
          <w:sz w:val="20"/>
          <w:szCs w:val="20"/>
        </w:rPr>
      </w:pPr>
    </w:p>
    <w:p w:rsidR="004E0588" w:rsidRPr="004E0588" w:rsidRDefault="004E0588" w:rsidP="004E0588">
      <w:pPr>
        <w:numPr>
          <w:ilvl w:val="0"/>
          <w:numId w:val="8"/>
        </w:numPr>
        <w:jc w:val="both"/>
        <w:rPr>
          <w:rFonts w:ascii="Tahoma" w:hAnsi="Tahoma" w:cs="Tahoma"/>
          <w:sz w:val="20"/>
          <w:szCs w:val="20"/>
        </w:rPr>
      </w:pPr>
      <w:r w:rsidRPr="004E0588">
        <w:rPr>
          <w:rFonts w:ascii="Tahoma" w:hAnsi="Tahoma" w:cs="Tahoma"/>
          <w:sz w:val="20"/>
          <w:szCs w:val="20"/>
        </w:rPr>
        <w:lastRenderedPageBreak/>
        <w:t>Poner la presente Resolución en conocimiento de la Subdirección del Registro Nacional de Proveedores, para las anotaciones de Ley.</w:t>
      </w:r>
    </w:p>
    <w:p w:rsidR="004E0588" w:rsidRPr="004E0588" w:rsidRDefault="004E0588" w:rsidP="004E0588">
      <w:pPr>
        <w:jc w:val="both"/>
        <w:rPr>
          <w:rFonts w:ascii="Tahoma" w:hAnsi="Tahoma" w:cs="Tahoma"/>
          <w:sz w:val="20"/>
          <w:szCs w:val="20"/>
        </w:rPr>
      </w:pPr>
    </w:p>
    <w:p w:rsidR="004E0588" w:rsidRPr="004E0588" w:rsidRDefault="004E0588" w:rsidP="004E0588">
      <w:pPr>
        <w:numPr>
          <w:ilvl w:val="0"/>
          <w:numId w:val="8"/>
        </w:numPr>
        <w:jc w:val="both"/>
        <w:rPr>
          <w:rFonts w:ascii="Tahoma" w:hAnsi="Tahoma" w:cs="Tahoma"/>
          <w:sz w:val="20"/>
          <w:szCs w:val="20"/>
        </w:rPr>
      </w:pPr>
      <w:r w:rsidRPr="004E0588">
        <w:rPr>
          <w:rFonts w:ascii="Tahoma" w:hAnsi="Tahoma" w:cs="Tahoma"/>
          <w:sz w:val="20"/>
          <w:szCs w:val="20"/>
        </w:rPr>
        <w:t xml:space="preserve">Poner la presente Resolución en conocimiento de la Presidencia del Consejo Superior de Contrataciones y Adquisiciones del Estado (CONSUCODE), para que en uso de sus atribuciones, adopte las medidas legales correspondientes. </w:t>
      </w:r>
    </w:p>
    <w:p w:rsidR="00E74AF3" w:rsidRPr="004E0588" w:rsidRDefault="00E74AF3" w:rsidP="0013362C">
      <w:pPr>
        <w:pStyle w:val="Textoindependiente"/>
        <w:tabs>
          <w:tab w:val="num" w:pos="540"/>
          <w:tab w:val="left" w:pos="2410"/>
        </w:tabs>
        <w:ind w:left="540" w:hanging="540"/>
        <w:jc w:val="both"/>
        <w:rPr>
          <w:rFonts w:ascii="Tahoma" w:hAnsi="Tahoma" w:cs="Tahoma"/>
          <w:sz w:val="20"/>
          <w:szCs w:val="20"/>
        </w:rPr>
      </w:pPr>
    </w:p>
    <w:p w:rsidR="008F5E4C" w:rsidRPr="004E0588" w:rsidRDefault="008F5E4C" w:rsidP="0013362C">
      <w:pPr>
        <w:pStyle w:val="Textoindependiente"/>
        <w:tabs>
          <w:tab w:val="num" w:pos="540"/>
          <w:tab w:val="left" w:pos="2410"/>
        </w:tabs>
        <w:ind w:left="540" w:hanging="540"/>
        <w:jc w:val="both"/>
        <w:rPr>
          <w:rFonts w:ascii="Tahoma" w:hAnsi="Tahoma" w:cs="Tahoma"/>
          <w:sz w:val="20"/>
          <w:szCs w:val="20"/>
        </w:rPr>
      </w:pPr>
      <w:r w:rsidRPr="004E0588">
        <w:rPr>
          <w:rFonts w:ascii="Tahoma" w:hAnsi="Tahoma" w:cs="Tahoma"/>
          <w:sz w:val="20"/>
          <w:szCs w:val="20"/>
        </w:rPr>
        <w:t>Regístrese, comuníquese y publíquese.</w:t>
      </w:r>
    </w:p>
    <w:p w:rsidR="00FD5D55" w:rsidRPr="004E0588" w:rsidRDefault="00FD5D55" w:rsidP="0013362C">
      <w:pPr>
        <w:autoSpaceDE w:val="0"/>
        <w:autoSpaceDN w:val="0"/>
        <w:adjustRightInd w:val="0"/>
        <w:ind w:left="1080"/>
        <w:jc w:val="both"/>
        <w:rPr>
          <w:rFonts w:ascii="Tahoma" w:hAnsi="Tahoma" w:cs="Tahoma"/>
          <w:sz w:val="20"/>
          <w:szCs w:val="20"/>
        </w:rPr>
      </w:pPr>
    </w:p>
    <w:p w:rsidR="00116635" w:rsidRPr="004E0588" w:rsidRDefault="00116635" w:rsidP="0013362C">
      <w:pPr>
        <w:autoSpaceDE w:val="0"/>
        <w:autoSpaceDN w:val="0"/>
        <w:adjustRightInd w:val="0"/>
        <w:ind w:left="1080"/>
        <w:jc w:val="both"/>
        <w:rPr>
          <w:rFonts w:ascii="Tahoma" w:hAnsi="Tahoma" w:cs="Tahoma"/>
          <w:sz w:val="20"/>
          <w:szCs w:val="20"/>
        </w:rPr>
      </w:pPr>
    </w:p>
    <w:p w:rsidR="00F8312D" w:rsidRPr="004E0588" w:rsidRDefault="00F8312D" w:rsidP="0013362C">
      <w:pPr>
        <w:autoSpaceDE w:val="0"/>
        <w:autoSpaceDN w:val="0"/>
        <w:adjustRightInd w:val="0"/>
        <w:ind w:left="1080"/>
        <w:jc w:val="both"/>
        <w:rPr>
          <w:rFonts w:ascii="Tahoma" w:hAnsi="Tahoma" w:cs="Tahoma"/>
          <w:sz w:val="20"/>
          <w:szCs w:val="20"/>
        </w:rPr>
      </w:pPr>
    </w:p>
    <w:p w:rsidR="00F8312D" w:rsidRPr="004E0588" w:rsidRDefault="00F8312D" w:rsidP="0013362C">
      <w:pPr>
        <w:autoSpaceDE w:val="0"/>
        <w:autoSpaceDN w:val="0"/>
        <w:adjustRightInd w:val="0"/>
        <w:ind w:left="1080"/>
        <w:jc w:val="both"/>
        <w:rPr>
          <w:rFonts w:ascii="Tahoma" w:hAnsi="Tahoma" w:cs="Tahoma"/>
          <w:sz w:val="20"/>
          <w:szCs w:val="20"/>
        </w:rPr>
      </w:pPr>
    </w:p>
    <w:p w:rsidR="00FD5D55" w:rsidRPr="004E0588" w:rsidRDefault="00FD5D55" w:rsidP="0013362C">
      <w:pPr>
        <w:jc w:val="center"/>
        <w:rPr>
          <w:rFonts w:ascii="Tahoma" w:hAnsi="Tahoma" w:cs="Tahoma"/>
          <w:b/>
          <w:shadow/>
          <w:sz w:val="20"/>
          <w:szCs w:val="20"/>
          <w:lang w:val="pt-BR"/>
        </w:rPr>
      </w:pPr>
      <w:r w:rsidRPr="004E0588">
        <w:rPr>
          <w:rFonts w:ascii="Tahoma" w:hAnsi="Tahoma" w:cs="Tahoma"/>
          <w:b/>
          <w:shadow/>
          <w:sz w:val="20"/>
          <w:szCs w:val="20"/>
          <w:lang w:val="pt-BR"/>
        </w:rPr>
        <w:t>PRESIDENTE</w:t>
      </w:r>
    </w:p>
    <w:p w:rsidR="00FD5D55" w:rsidRPr="004E0588" w:rsidRDefault="00FD5D55" w:rsidP="0013362C">
      <w:pPr>
        <w:jc w:val="center"/>
        <w:rPr>
          <w:rFonts w:ascii="Tahoma" w:hAnsi="Tahoma" w:cs="Tahoma"/>
          <w:b/>
          <w:shadow/>
          <w:sz w:val="20"/>
          <w:szCs w:val="20"/>
          <w:lang w:val="pt-BR"/>
        </w:rPr>
      </w:pPr>
    </w:p>
    <w:p w:rsidR="00116635" w:rsidRPr="004E0588" w:rsidRDefault="00116635" w:rsidP="0013362C">
      <w:pPr>
        <w:rPr>
          <w:rFonts w:ascii="Tahoma" w:hAnsi="Tahoma" w:cs="Tahoma"/>
          <w:b/>
          <w:shadow/>
          <w:sz w:val="20"/>
          <w:szCs w:val="20"/>
          <w:lang w:val="pt-BR"/>
        </w:rPr>
      </w:pPr>
    </w:p>
    <w:p w:rsidR="00E209EB" w:rsidRPr="004E0588" w:rsidRDefault="005E123E" w:rsidP="0013362C">
      <w:pPr>
        <w:rPr>
          <w:rFonts w:ascii="Tahoma" w:hAnsi="Tahoma" w:cs="Tahoma"/>
          <w:b/>
          <w:shadow/>
          <w:sz w:val="20"/>
          <w:szCs w:val="20"/>
          <w:lang w:val="pt-BR"/>
        </w:rPr>
      </w:pPr>
      <w:r w:rsidRPr="004E0588">
        <w:rPr>
          <w:rFonts w:ascii="Tahoma" w:hAnsi="Tahoma" w:cs="Tahoma"/>
          <w:b/>
          <w:shadow/>
          <w:sz w:val="20"/>
          <w:szCs w:val="20"/>
          <w:lang w:val="pt-BR"/>
        </w:rPr>
        <w:t xml:space="preserve">      </w:t>
      </w:r>
    </w:p>
    <w:p w:rsidR="00116635" w:rsidRPr="004E0588" w:rsidRDefault="00116635" w:rsidP="0013362C">
      <w:pPr>
        <w:rPr>
          <w:rFonts w:ascii="Tahoma" w:hAnsi="Tahoma" w:cs="Tahoma"/>
          <w:b/>
          <w:shadow/>
          <w:sz w:val="20"/>
          <w:szCs w:val="20"/>
          <w:lang w:val="pt-BR"/>
        </w:rPr>
      </w:pPr>
    </w:p>
    <w:p w:rsidR="00FD5D55" w:rsidRPr="004E0588" w:rsidRDefault="00116635" w:rsidP="0013362C">
      <w:pPr>
        <w:rPr>
          <w:rFonts w:ascii="Tahoma" w:hAnsi="Tahoma" w:cs="Tahoma"/>
          <w:shadow/>
          <w:sz w:val="20"/>
          <w:szCs w:val="20"/>
          <w:lang w:val="pt-BR"/>
        </w:rPr>
      </w:pPr>
      <w:r w:rsidRPr="004E0588">
        <w:rPr>
          <w:rFonts w:ascii="Tahoma" w:hAnsi="Tahoma" w:cs="Tahoma"/>
          <w:b/>
          <w:shadow/>
          <w:sz w:val="20"/>
          <w:szCs w:val="20"/>
          <w:lang w:val="pt-BR"/>
        </w:rPr>
        <w:t xml:space="preserve">  </w:t>
      </w:r>
      <w:r w:rsidR="005E123E" w:rsidRPr="004E0588">
        <w:rPr>
          <w:rFonts w:ascii="Tahoma" w:hAnsi="Tahoma" w:cs="Tahoma"/>
          <w:b/>
          <w:shadow/>
          <w:sz w:val="20"/>
          <w:szCs w:val="20"/>
          <w:lang w:val="pt-BR"/>
        </w:rPr>
        <w:t xml:space="preserve">                           </w:t>
      </w:r>
      <w:r w:rsidR="00FD5D55" w:rsidRPr="004E0588">
        <w:rPr>
          <w:rFonts w:ascii="Tahoma" w:hAnsi="Tahoma" w:cs="Tahoma"/>
          <w:b/>
          <w:shadow/>
          <w:sz w:val="20"/>
          <w:szCs w:val="20"/>
          <w:lang w:val="pt-BR"/>
        </w:rPr>
        <w:t>VOCAL                                                                   VO</w:t>
      </w:r>
      <w:r w:rsidR="005E123E" w:rsidRPr="004E0588">
        <w:rPr>
          <w:rFonts w:ascii="Tahoma" w:hAnsi="Tahoma" w:cs="Tahoma"/>
          <w:b/>
          <w:shadow/>
          <w:sz w:val="20"/>
          <w:szCs w:val="20"/>
          <w:lang w:val="pt-BR"/>
        </w:rPr>
        <w:t>CAL</w:t>
      </w:r>
    </w:p>
    <w:p w:rsidR="00116635" w:rsidRPr="004E0588" w:rsidRDefault="00116635" w:rsidP="0013362C">
      <w:pPr>
        <w:jc w:val="both"/>
        <w:rPr>
          <w:rFonts w:ascii="Tahoma" w:hAnsi="Tahoma" w:cs="Tahoma"/>
          <w:sz w:val="20"/>
          <w:szCs w:val="20"/>
          <w:lang w:val="pt-BR"/>
        </w:rPr>
      </w:pPr>
    </w:p>
    <w:p w:rsidR="00FD5D55" w:rsidRPr="004E0588" w:rsidRDefault="00FD5D55" w:rsidP="0013362C">
      <w:pPr>
        <w:jc w:val="both"/>
        <w:rPr>
          <w:rFonts w:ascii="Tahoma" w:hAnsi="Tahoma" w:cs="Tahoma"/>
          <w:sz w:val="20"/>
          <w:szCs w:val="20"/>
          <w:lang w:val="pt-BR"/>
        </w:rPr>
      </w:pPr>
      <w:r w:rsidRPr="004E0588">
        <w:rPr>
          <w:rFonts w:ascii="Tahoma" w:hAnsi="Tahoma" w:cs="Tahoma"/>
          <w:sz w:val="20"/>
          <w:szCs w:val="20"/>
          <w:lang w:val="pt-BR"/>
        </w:rPr>
        <w:t>ss.</w:t>
      </w:r>
    </w:p>
    <w:p w:rsidR="00FD5D55" w:rsidRPr="004E0588" w:rsidRDefault="00FD5D55" w:rsidP="0013362C">
      <w:pPr>
        <w:pStyle w:val="Textoindependiente21"/>
        <w:rPr>
          <w:rFonts w:cs="Tahoma"/>
          <w:sz w:val="20"/>
          <w:lang w:val="pt-BR"/>
        </w:rPr>
      </w:pPr>
      <w:r w:rsidRPr="004E0588">
        <w:rPr>
          <w:rFonts w:cs="Tahoma"/>
          <w:sz w:val="20"/>
          <w:lang w:val="pt-BR"/>
        </w:rPr>
        <w:t>Valdivia Huaringa.</w:t>
      </w:r>
    </w:p>
    <w:p w:rsidR="00FD5D55" w:rsidRPr="004E0588" w:rsidRDefault="00FD5D55" w:rsidP="0013362C">
      <w:pPr>
        <w:pStyle w:val="Textoindependiente21"/>
        <w:rPr>
          <w:rFonts w:cs="Tahoma"/>
          <w:sz w:val="20"/>
        </w:rPr>
      </w:pPr>
      <w:r w:rsidRPr="004E0588">
        <w:rPr>
          <w:rFonts w:cs="Tahoma"/>
          <w:sz w:val="20"/>
        </w:rPr>
        <w:t>Navas Rondón.</w:t>
      </w:r>
    </w:p>
    <w:p w:rsidR="008F5E4C" w:rsidRPr="004E0588" w:rsidRDefault="00FD5D55" w:rsidP="0013362C">
      <w:pPr>
        <w:pStyle w:val="Textoindependiente21"/>
        <w:rPr>
          <w:rFonts w:cs="Tahoma"/>
          <w:sz w:val="20"/>
        </w:rPr>
      </w:pPr>
      <w:r w:rsidRPr="004E0588">
        <w:rPr>
          <w:rFonts w:cs="Tahoma"/>
          <w:sz w:val="20"/>
        </w:rPr>
        <w:t>Ramírez Maynetto.</w:t>
      </w:r>
    </w:p>
    <w:sectPr w:rsidR="008F5E4C" w:rsidRPr="004E0588" w:rsidSect="004F01D3">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E5D" w:rsidRDefault="00BD0E5D">
      <w:r>
        <w:separator/>
      </w:r>
    </w:p>
  </w:endnote>
  <w:endnote w:type="continuationSeparator" w:id="1">
    <w:p w:rsidR="00BD0E5D" w:rsidRDefault="00BD0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82" w:rsidRDefault="00CF7656" w:rsidP="001776F2">
    <w:pPr>
      <w:pStyle w:val="Piedepgina"/>
      <w:framePr w:wrap="around" w:vAnchor="text" w:hAnchor="margin" w:xAlign="right" w:y="1"/>
      <w:rPr>
        <w:rStyle w:val="Nmerodepgina"/>
      </w:rPr>
    </w:pPr>
    <w:r>
      <w:rPr>
        <w:rStyle w:val="Nmerodepgina"/>
      </w:rPr>
      <w:fldChar w:fldCharType="begin"/>
    </w:r>
    <w:r w:rsidR="000A5082">
      <w:rPr>
        <w:rStyle w:val="Nmerodepgina"/>
      </w:rPr>
      <w:instrText xml:space="preserve">PAGE  </w:instrText>
    </w:r>
    <w:r>
      <w:rPr>
        <w:rStyle w:val="Nmerodepgina"/>
      </w:rPr>
      <w:fldChar w:fldCharType="end"/>
    </w:r>
  </w:p>
  <w:p w:rsidR="000A5082" w:rsidRDefault="000A5082" w:rsidP="005E123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82" w:rsidRDefault="000A5082" w:rsidP="001776F2">
    <w:pPr>
      <w:pStyle w:val="Piedepgina"/>
      <w:framePr w:wrap="around" w:vAnchor="text" w:hAnchor="margin" w:xAlign="right" w:y="1"/>
      <w:rPr>
        <w:rStyle w:val="Nmerodepgina"/>
      </w:rPr>
    </w:pPr>
  </w:p>
  <w:p w:rsidR="000A5082" w:rsidRDefault="000A5082" w:rsidP="002623FE">
    <w:pPr>
      <w:pStyle w:val="Piedepgina"/>
      <w:ind w:right="360"/>
      <w:jc w:val="center"/>
    </w:pPr>
    <w:r>
      <w:t xml:space="preserve">Página </w:t>
    </w:r>
    <w:fldSimple w:instr=" PAGE ">
      <w:r w:rsidR="0012527A">
        <w:rPr>
          <w:noProof/>
        </w:rPr>
        <w:t>1</w:t>
      </w:r>
    </w:fldSimple>
    <w:r>
      <w:t xml:space="preserve"> de </w:t>
    </w:r>
    <w:fldSimple w:instr=" NUMPAGES ">
      <w:r w:rsidR="0012527A">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E5D" w:rsidRDefault="00BD0E5D">
      <w:r>
        <w:separator/>
      </w:r>
    </w:p>
  </w:footnote>
  <w:footnote w:type="continuationSeparator" w:id="1">
    <w:p w:rsidR="00BD0E5D" w:rsidRDefault="00BD0E5D">
      <w:r>
        <w:continuationSeparator/>
      </w:r>
    </w:p>
  </w:footnote>
  <w:footnote w:id="2">
    <w:p w:rsidR="000A5082" w:rsidRPr="00A21DC5" w:rsidRDefault="000A5082" w:rsidP="004E0588">
      <w:pPr>
        <w:pStyle w:val="Textonotapie"/>
        <w:ind w:left="180" w:hanging="180"/>
        <w:jc w:val="both"/>
        <w:rPr>
          <w:rFonts w:ascii="Tahoma" w:hAnsi="Tahoma" w:cs="Tahoma"/>
          <w:sz w:val="16"/>
          <w:szCs w:val="16"/>
        </w:rPr>
      </w:pPr>
      <w:r>
        <w:rPr>
          <w:rStyle w:val="Refdenotaalpie"/>
        </w:rPr>
        <w:footnoteRef/>
      </w:r>
      <w:r>
        <w:t xml:space="preserve"> “</w:t>
      </w:r>
      <w:r w:rsidRPr="00A21DC5">
        <w:rPr>
          <w:rFonts w:ascii="Tahoma" w:hAnsi="Tahoma" w:cs="Tahoma"/>
          <w:b/>
          <w:sz w:val="16"/>
          <w:szCs w:val="16"/>
        </w:rPr>
        <w:t>Artículo 294.- Causales de imposición de sanción a los proveedores, postores y contratistas.-</w:t>
      </w:r>
      <w:r w:rsidRPr="00A21DC5">
        <w:rPr>
          <w:rFonts w:ascii="Tahoma" w:hAnsi="Tahoma" w:cs="Tahoma"/>
          <w:sz w:val="16"/>
          <w:szCs w:val="16"/>
        </w:rPr>
        <w:t xml:space="preserve"> El Tribunal impondrá la sanción administrativa de inhabilitación temporal o definitiva a los proveedores, postores y/o contratistas que:</w:t>
      </w:r>
    </w:p>
    <w:p w:rsidR="000A5082" w:rsidRPr="00A21DC5" w:rsidRDefault="000A5082" w:rsidP="004E0588">
      <w:pPr>
        <w:pStyle w:val="Textonotapie"/>
        <w:ind w:left="180" w:hanging="180"/>
        <w:jc w:val="both"/>
        <w:rPr>
          <w:rFonts w:ascii="Tahoma" w:hAnsi="Tahoma" w:cs="Tahoma"/>
          <w:sz w:val="16"/>
          <w:szCs w:val="16"/>
        </w:rPr>
      </w:pPr>
      <w:r>
        <w:rPr>
          <w:rFonts w:ascii="Tahoma" w:hAnsi="Tahoma" w:cs="Tahoma"/>
          <w:sz w:val="16"/>
          <w:szCs w:val="16"/>
        </w:rPr>
        <w:t xml:space="preserve">    </w:t>
      </w:r>
      <w:r w:rsidRPr="00A21DC5">
        <w:rPr>
          <w:rFonts w:ascii="Tahoma" w:hAnsi="Tahoma" w:cs="Tahoma"/>
          <w:sz w:val="16"/>
          <w:szCs w:val="16"/>
        </w:rPr>
        <w:t>(…)</w:t>
      </w:r>
    </w:p>
    <w:p w:rsidR="000A5082" w:rsidRPr="00041AC4" w:rsidRDefault="000A5082" w:rsidP="004E0588">
      <w:pPr>
        <w:pStyle w:val="Textonotapie"/>
      </w:pPr>
      <w:r>
        <w:rPr>
          <w:rFonts w:ascii="Tahoma" w:hAnsi="Tahoma" w:cs="Tahoma"/>
          <w:sz w:val="16"/>
          <w:szCs w:val="16"/>
        </w:rPr>
        <w:t xml:space="preserve">    </w:t>
      </w:r>
      <w:r w:rsidRPr="00A21DC5">
        <w:rPr>
          <w:rFonts w:ascii="Tahoma" w:hAnsi="Tahoma" w:cs="Tahoma"/>
          <w:sz w:val="16"/>
          <w:szCs w:val="16"/>
        </w:rPr>
        <w:t>9) Presenten documentos falsos o inexactos a las Entidades o al CONSUCODE</w:t>
      </w:r>
      <w:r>
        <w:rPr>
          <w:rFonts w:ascii="Tahoma" w:hAnsi="Tahoma" w:cs="Tahoma"/>
          <w:sz w:val="16"/>
          <w:szCs w:val="16"/>
        </w:rPr>
        <w:t>”</w:t>
      </w:r>
    </w:p>
  </w:footnote>
  <w:footnote w:id="3">
    <w:p w:rsidR="000A5082" w:rsidRPr="00BF6462" w:rsidRDefault="000A5082" w:rsidP="004E0588">
      <w:pPr>
        <w:pStyle w:val="Piedepgina"/>
        <w:jc w:val="both"/>
        <w:rPr>
          <w:rFonts w:ascii="Tahoma" w:hAnsi="Tahoma" w:cs="Tahoma"/>
          <w:sz w:val="16"/>
          <w:szCs w:val="16"/>
        </w:rPr>
      </w:pPr>
      <w:r w:rsidRPr="0071268C">
        <w:rPr>
          <w:rStyle w:val="Refdenotaalpie"/>
          <w:rFonts w:ascii="Tahoma" w:hAnsi="Tahoma" w:cs="Tahoma"/>
          <w:i/>
          <w:sz w:val="16"/>
          <w:szCs w:val="16"/>
        </w:rPr>
        <w:footnoteRef/>
      </w:r>
      <w:r w:rsidRPr="0071268C">
        <w:rPr>
          <w:rFonts w:ascii="Tahoma" w:hAnsi="Tahoma" w:cs="Tahoma"/>
          <w:i/>
          <w:sz w:val="16"/>
          <w:szCs w:val="16"/>
        </w:rPr>
        <w:t xml:space="preserve"> </w:t>
      </w:r>
      <w:r w:rsidRPr="00BF6462">
        <w:rPr>
          <w:rFonts w:ascii="Tahoma" w:hAnsi="Tahoma" w:cs="Tahoma"/>
          <w:b/>
          <w:sz w:val="16"/>
          <w:szCs w:val="16"/>
        </w:rPr>
        <w:t>El Principio de Presunción de Veracidad</w:t>
      </w:r>
      <w:r w:rsidRPr="00BF6462">
        <w:rPr>
          <w:rFonts w:ascii="Tahoma" w:hAnsi="Tahoma" w:cs="Tahoma"/>
          <w:sz w:val="16"/>
          <w:szCs w:val="16"/>
        </w:rPr>
        <w:t xml:space="preserve"> consiste en “el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sidRPr="00BF6462">
          <w:rPr>
            <w:rFonts w:ascii="Tahoma" w:hAnsi="Tahoma" w:cs="Tahoma"/>
            <w:sz w:val="16"/>
            <w:szCs w:val="16"/>
          </w:rPr>
          <w:t>la Administración Pública</w:t>
        </w:r>
      </w:smartTag>
      <w:r w:rsidRPr="00BF6462">
        <w:rPr>
          <w:rFonts w:ascii="Tahoma" w:hAnsi="Tahoma" w:cs="Tahoma"/>
          <w:sz w:val="16"/>
          <w:szCs w:val="16"/>
        </w:rPr>
        <w:t xml:space="preserve"> con sus agentes como con el público). Sustituye la tradicional duda o escepticismo de la autoridad sobre los administrados”. MORÓN URBINA, Juan Carlos. Comentarios a </w:t>
      </w:r>
      <w:smartTag w:uri="urn:schemas-microsoft-com:office:smarttags" w:element="PersonName">
        <w:smartTagPr>
          <w:attr w:name="ProductID" w:val="la Ley"/>
        </w:smartTagPr>
        <w:r w:rsidRPr="00BF6462">
          <w:rPr>
            <w:rFonts w:ascii="Tahoma" w:hAnsi="Tahoma" w:cs="Tahoma"/>
            <w:sz w:val="16"/>
            <w:szCs w:val="16"/>
          </w:rPr>
          <w:t>la Ley</w:t>
        </w:r>
      </w:smartTag>
      <w:r w:rsidRPr="00BF6462">
        <w:rPr>
          <w:rFonts w:ascii="Tahoma" w:hAnsi="Tahoma" w:cs="Tahoma"/>
          <w:sz w:val="16"/>
          <w:szCs w:val="16"/>
        </w:rPr>
        <w:t xml:space="preserve"> del Procedimiento Administrativo General. Cuarta Edición. Lima: Gaceta Jurídica, 2005; pp. 74 -75</w:t>
      </w:r>
    </w:p>
  </w:footnote>
  <w:footnote w:id="4">
    <w:p w:rsidR="000A5082" w:rsidRPr="009F121B" w:rsidRDefault="000A5082" w:rsidP="004E0588">
      <w:pPr>
        <w:pStyle w:val="Textonotapie"/>
        <w:rPr>
          <w:rFonts w:ascii="Tahoma" w:hAnsi="Tahoma" w:cs="Tahoma"/>
          <w:sz w:val="16"/>
          <w:szCs w:val="16"/>
        </w:rPr>
      </w:pPr>
      <w:r>
        <w:rPr>
          <w:rStyle w:val="Refdenotaalpie"/>
        </w:rPr>
        <w:footnoteRef/>
      </w:r>
      <w:r>
        <w:t xml:space="preserve"> D</w:t>
      </w:r>
      <w:r>
        <w:rPr>
          <w:rFonts w:ascii="Tahoma" w:hAnsi="Tahoma" w:cs="Tahoma"/>
          <w:sz w:val="16"/>
          <w:szCs w:val="16"/>
        </w:rPr>
        <w:t xml:space="preserve">ocumento </w:t>
      </w:r>
      <w:r w:rsidRPr="009F121B">
        <w:rPr>
          <w:rFonts w:ascii="Tahoma" w:hAnsi="Tahoma" w:cs="Tahoma"/>
          <w:sz w:val="16"/>
          <w:szCs w:val="16"/>
        </w:rPr>
        <w:t>supuestamente emitido por la Dirección General de Medicamentos, Insumos y Drogas (DIGEMID)</w:t>
      </w:r>
      <w:r>
        <w:rPr>
          <w:rFonts w:ascii="Tahoma" w:hAnsi="Tahoma" w:cs="Tahoma"/>
          <w:sz w:val="16"/>
          <w:szCs w:val="16"/>
        </w:rPr>
        <w:t xml:space="preserve"> </w:t>
      </w:r>
      <w:r w:rsidRPr="009F121B">
        <w:rPr>
          <w:rFonts w:ascii="Tahoma" w:hAnsi="Tahoma" w:cs="Tahoma"/>
          <w:sz w:val="16"/>
          <w:szCs w:val="16"/>
        </w:rPr>
        <w:t>que obra a fojas cincuenta y siete (57) y cincuenta y ocho (58) del expediente administrativo.</w:t>
      </w:r>
    </w:p>
  </w:footnote>
  <w:footnote w:id="5">
    <w:p w:rsidR="000A5082" w:rsidRPr="00A3697C" w:rsidRDefault="000A5082" w:rsidP="004E0588">
      <w:pPr>
        <w:pStyle w:val="Textonotapie"/>
      </w:pPr>
      <w:r w:rsidRPr="006019E7">
        <w:rPr>
          <w:rStyle w:val="Refdenotaalpie"/>
          <w:rFonts w:ascii="Tahoma" w:hAnsi="Tahoma" w:cs="Tahoma"/>
          <w:sz w:val="16"/>
          <w:szCs w:val="16"/>
        </w:rPr>
        <w:footnoteRef/>
      </w:r>
      <w:r w:rsidRPr="006019E7">
        <w:rPr>
          <w:rFonts w:ascii="Tahoma" w:hAnsi="Tahoma" w:cs="Tahoma"/>
          <w:sz w:val="16"/>
          <w:szCs w:val="16"/>
        </w:rPr>
        <w:t xml:space="preserve"> Documento que obra a fojas veinte (20) del presente expediente administrativo</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EE90106"/>
    <w:multiLevelType w:val="hybridMultilevel"/>
    <w:tmpl w:val="07F20F68"/>
    <w:lvl w:ilvl="0" w:tplc="6E6C9C20">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MX"/>
      </w:rPr>
    </w:lvl>
    <w:lvl w:ilvl="1" w:tplc="727A41EE">
      <w:start w:val="1"/>
      <w:numFmt w:val="lowerLetter"/>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29A5685B"/>
    <w:multiLevelType w:val="hybridMultilevel"/>
    <w:tmpl w:val="A11A0358"/>
    <w:lvl w:ilvl="0" w:tplc="5F4669B8">
      <w:start w:val="1"/>
      <w:numFmt w:val="decimal"/>
      <w:lvlText w:val="%1."/>
      <w:lvlJc w:val="left"/>
      <w:pPr>
        <w:tabs>
          <w:tab w:val="num" w:pos="720"/>
        </w:tabs>
        <w:ind w:left="720" w:hanging="360"/>
      </w:pPr>
      <w:rPr>
        <w:b/>
      </w:rPr>
    </w:lvl>
    <w:lvl w:ilvl="1" w:tplc="8844257E">
      <w:start w:val="1"/>
      <w:numFmt w:val="lowerRoman"/>
      <w:lvlText w:val="(%2)"/>
      <w:lvlJc w:val="left"/>
      <w:pPr>
        <w:tabs>
          <w:tab w:val="num" w:pos="1800"/>
        </w:tabs>
        <w:ind w:left="1800" w:hanging="720"/>
      </w:pPr>
      <w:rPr>
        <w:rFonts w:hint="default"/>
        <w:b w:val="0"/>
      </w:r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6">
    <w:nsid w:val="3BF602E7"/>
    <w:multiLevelType w:val="hybridMultilevel"/>
    <w:tmpl w:val="2C8EBBE8"/>
    <w:lvl w:ilvl="0" w:tplc="4E1A92FA">
      <w:start w:val="1"/>
      <w:numFmt w:val="decimal"/>
      <w:lvlText w:val="%1."/>
      <w:lvlJc w:val="left"/>
      <w:pPr>
        <w:tabs>
          <w:tab w:val="num" w:pos="720"/>
        </w:tabs>
        <w:ind w:left="720" w:hanging="360"/>
      </w:pPr>
      <w:rPr>
        <w:rFonts w:ascii="Tahoma" w:hAnsi="Tahoma" w:cs="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3DD25EE"/>
    <w:multiLevelType w:val="singleLevel"/>
    <w:tmpl w:val="2ECCD630"/>
    <w:lvl w:ilvl="0">
      <w:start w:val="1"/>
      <w:numFmt w:val="decimal"/>
      <w:lvlText w:val="%1."/>
      <w:lvlJc w:val="left"/>
      <w:pPr>
        <w:tabs>
          <w:tab w:val="num" w:pos="2520"/>
        </w:tabs>
        <w:ind w:left="2520" w:hanging="360"/>
      </w:pPr>
      <w:rPr>
        <w:rFonts w:ascii="Tahoma" w:hAnsi="Tahoma" w:cs="Tahoma" w:hint="default"/>
        <w:b/>
        <w:shadow/>
        <w:sz w:val="20"/>
        <w:szCs w:val="20"/>
      </w:rPr>
    </w:lvl>
  </w:abstractNum>
  <w:abstractNum w:abstractNumId="9">
    <w:nsid w:val="490628FE"/>
    <w:multiLevelType w:val="hybridMultilevel"/>
    <w:tmpl w:val="C01A48BA"/>
    <w:lvl w:ilvl="0" w:tplc="9594D94E">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0">
    <w:nsid w:val="54A5757A"/>
    <w:multiLevelType w:val="multilevel"/>
    <w:tmpl w:val="492A51C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CC52F6E"/>
    <w:multiLevelType w:val="hybridMultilevel"/>
    <w:tmpl w:val="12D84112"/>
    <w:lvl w:ilvl="0" w:tplc="A224D342">
      <w:start w:val="1"/>
      <w:numFmt w:val="decimal"/>
      <w:lvlText w:val="%1."/>
      <w:lvlJc w:val="left"/>
      <w:pPr>
        <w:tabs>
          <w:tab w:val="num" w:pos="720"/>
        </w:tabs>
        <w:ind w:left="720" w:hanging="360"/>
      </w:pPr>
      <w:rPr>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DB66B45"/>
    <w:multiLevelType w:val="hybridMultilevel"/>
    <w:tmpl w:val="FD0A21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9"/>
  </w:num>
  <w:num w:numId="4">
    <w:abstractNumId w:val="8"/>
  </w:num>
  <w:num w:numId="5">
    <w:abstractNumId w:val="2"/>
  </w:num>
  <w:num w:numId="6">
    <w:abstractNumId w:val="13"/>
  </w:num>
  <w:num w:numId="7">
    <w:abstractNumId w:val="12"/>
  </w:num>
  <w:num w:numId="8">
    <w:abstractNumId w:val="4"/>
  </w:num>
  <w:num w:numId="9">
    <w:abstractNumId w:val="10"/>
  </w:num>
  <w:num w:numId="10">
    <w:abstractNumId w:val="0"/>
  </w:num>
  <w:num w:numId="11">
    <w:abstractNumId w:val="1"/>
  </w:num>
  <w:num w:numId="12">
    <w:abstractNumId w:val="3"/>
  </w:num>
  <w:num w:numId="13">
    <w:abstractNumId w:val="5"/>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8F5E4C"/>
    <w:rsid w:val="000018DC"/>
    <w:rsid w:val="00032504"/>
    <w:rsid w:val="00034EA2"/>
    <w:rsid w:val="000502EB"/>
    <w:rsid w:val="000636A1"/>
    <w:rsid w:val="00077C99"/>
    <w:rsid w:val="000812A9"/>
    <w:rsid w:val="000A5082"/>
    <w:rsid w:val="000A6987"/>
    <w:rsid w:val="000D1ED9"/>
    <w:rsid w:val="00116635"/>
    <w:rsid w:val="00116D4D"/>
    <w:rsid w:val="0012527A"/>
    <w:rsid w:val="001301C0"/>
    <w:rsid w:val="0013362C"/>
    <w:rsid w:val="0014366D"/>
    <w:rsid w:val="001444D7"/>
    <w:rsid w:val="001551A8"/>
    <w:rsid w:val="00170F01"/>
    <w:rsid w:val="001776F2"/>
    <w:rsid w:val="001A442A"/>
    <w:rsid w:val="001B24FC"/>
    <w:rsid w:val="001E058A"/>
    <w:rsid w:val="001E41EA"/>
    <w:rsid w:val="001F294D"/>
    <w:rsid w:val="00216D87"/>
    <w:rsid w:val="002363C5"/>
    <w:rsid w:val="002623FE"/>
    <w:rsid w:val="002A05E3"/>
    <w:rsid w:val="002B78B7"/>
    <w:rsid w:val="002D1C73"/>
    <w:rsid w:val="002E70D6"/>
    <w:rsid w:val="002F0305"/>
    <w:rsid w:val="002F4AE9"/>
    <w:rsid w:val="002F684E"/>
    <w:rsid w:val="00303107"/>
    <w:rsid w:val="003274FD"/>
    <w:rsid w:val="003562A8"/>
    <w:rsid w:val="00376C4D"/>
    <w:rsid w:val="003A2B60"/>
    <w:rsid w:val="003B4460"/>
    <w:rsid w:val="003C0BEA"/>
    <w:rsid w:val="003C6854"/>
    <w:rsid w:val="003D54D9"/>
    <w:rsid w:val="004300AF"/>
    <w:rsid w:val="004508D5"/>
    <w:rsid w:val="0045717C"/>
    <w:rsid w:val="004654F1"/>
    <w:rsid w:val="004A2A71"/>
    <w:rsid w:val="004B736A"/>
    <w:rsid w:val="004D200A"/>
    <w:rsid w:val="004E0588"/>
    <w:rsid w:val="004E2769"/>
    <w:rsid w:val="004E5CDC"/>
    <w:rsid w:val="004F01D3"/>
    <w:rsid w:val="005159F8"/>
    <w:rsid w:val="00516BC9"/>
    <w:rsid w:val="00525EFA"/>
    <w:rsid w:val="00535F9C"/>
    <w:rsid w:val="00544434"/>
    <w:rsid w:val="00571DBA"/>
    <w:rsid w:val="005772D2"/>
    <w:rsid w:val="005B34C3"/>
    <w:rsid w:val="005C334A"/>
    <w:rsid w:val="005E123E"/>
    <w:rsid w:val="00633F34"/>
    <w:rsid w:val="00694FD0"/>
    <w:rsid w:val="006B5A8E"/>
    <w:rsid w:val="006C3A87"/>
    <w:rsid w:val="006E322D"/>
    <w:rsid w:val="00703E5F"/>
    <w:rsid w:val="00715605"/>
    <w:rsid w:val="00733133"/>
    <w:rsid w:val="00770C56"/>
    <w:rsid w:val="00791E2C"/>
    <w:rsid w:val="00792C05"/>
    <w:rsid w:val="007A2293"/>
    <w:rsid w:val="007C3C58"/>
    <w:rsid w:val="007D053F"/>
    <w:rsid w:val="007D0A87"/>
    <w:rsid w:val="007E166B"/>
    <w:rsid w:val="007E63C6"/>
    <w:rsid w:val="007F5C08"/>
    <w:rsid w:val="008C2FF0"/>
    <w:rsid w:val="008E0D8E"/>
    <w:rsid w:val="008F5E4C"/>
    <w:rsid w:val="00922E58"/>
    <w:rsid w:val="0093781E"/>
    <w:rsid w:val="00941FB9"/>
    <w:rsid w:val="00955493"/>
    <w:rsid w:val="00955B15"/>
    <w:rsid w:val="0097565A"/>
    <w:rsid w:val="009B1773"/>
    <w:rsid w:val="009B531B"/>
    <w:rsid w:val="009B7FD4"/>
    <w:rsid w:val="009F7F0E"/>
    <w:rsid w:val="00A34FB0"/>
    <w:rsid w:val="00A46AE5"/>
    <w:rsid w:val="00B30ADD"/>
    <w:rsid w:val="00B53DE6"/>
    <w:rsid w:val="00B8052E"/>
    <w:rsid w:val="00B927E5"/>
    <w:rsid w:val="00BB76FA"/>
    <w:rsid w:val="00BC15A0"/>
    <w:rsid w:val="00BC5B02"/>
    <w:rsid w:val="00BD0E5D"/>
    <w:rsid w:val="00BD7007"/>
    <w:rsid w:val="00BD7CF8"/>
    <w:rsid w:val="00BF3ADF"/>
    <w:rsid w:val="00C22FAB"/>
    <w:rsid w:val="00C3321F"/>
    <w:rsid w:val="00C72874"/>
    <w:rsid w:val="00C831E6"/>
    <w:rsid w:val="00CD54BF"/>
    <w:rsid w:val="00CE1EFF"/>
    <w:rsid w:val="00CE7064"/>
    <w:rsid w:val="00CF3B71"/>
    <w:rsid w:val="00CF7656"/>
    <w:rsid w:val="00D034DD"/>
    <w:rsid w:val="00D21B71"/>
    <w:rsid w:val="00D34555"/>
    <w:rsid w:val="00D67566"/>
    <w:rsid w:val="00DB774B"/>
    <w:rsid w:val="00DE2548"/>
    <w:rsid w:val="00DF29B7"/>
    <w:rsid w:val="00E000EA"/>
    <w:rsid w:val="00E209EB"/>
    <w:rsid w:val="00E510F6"/>
    <w:rsid w:val="00E51D05"/>
    <w:rsid w:val="00E6035D"/>
    <w:rsid w:val="00E74AF3"/>
    <w:rsid w:val="00E935C0"/>
    <w:rsid w:val="00E9425E"/>
    <w:rsid w:val="00EC2743"/>
    <w:rsid w:val="00EE612D"/>
    <w:rsid w:val="00EF052B"/>
    <w:rsid w:val="00F45372"/>
    <w:rsid w:val="00F72F72"/>
    <w:rsid w:val="00F824DD"/>
    <w:rsid w:val="00F8312D"/>
    <w:rsid w:val="00F91B1F"/>
    <w:rsid w:val="00F93DDD"/>
    <w:rsid w:val="00F97E1A"/>
    <w:rsid w:val="00FA23E8"/>
    <w:rsid w:val="00FB4EF6"/>
    <w:rsid w:val="00FC37F3"/>
    <w:rsid w:val="00FD5D55"/>
    <w:rsid w:val="00FF4AB9"/>
    <w:rsid w:val="00FF52D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4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8F5E4C"/>
    <w:pPr>
      <w:spacing w:after="120"/>
    </w:pPr>
    <w:rPr>
      <w:sz w:val="16"/>
      <w:szCs w:val="16"/>
      <w:lang w:val="es-PE"/>
    </w:rPr>
  </w:style>
  <w:style w:type="paragraph" w:styleId="Textoindependiente">
    <w:name w:val="Body Text"/>
    <w:basedOn w:val="Normal"/>
    <w:link w:val="TextoindependienteCar"/>
    <w:rsid w:val="008F5E4C"/>
    <w:pPr>
      <w:spacing w:after="120"/>
    </w:pPr>
  </w:style>
  <w:style w:type="paragraph" w:styleId="Textonotapie">
    <w:name w:val="footnote text"/>
    <w:basedOn w:val="Normal"/>
    <w:link w:val="TextonotapieCar"/>
    <w:semiHidden/>
    <w:rsid w:val="008F5E4C"/>
    <w:rPr>
      <w:sz w:val="20"/>
      <w:szCs w:val="20"/>
    </w:rPr>
  </w:style>
  <w:style w:type="character" w:styleId="Refdenotaalpie">
    <w:name w:val="footnote reference"/>
    <w:basedOn w:val="Fuentedeprrafopredeter"/>
    <w:semiHidden/>
    <w:rsid w:val="008F5E4C"/>
    <w:rPr>
      <w:vertAlign w:val="superscript"/>
    </w:rPr>
  </w:style>
  <w:style w:type="paragraph" w:customStyle="1" w:styleId="Textoindependiente21">
    <w:name w:val="Texto independiente 21"/>
    <w:basedOn w:val="Normal"/>
    <w:rsid w:val="008F5E4C"/>
    <w:pPr>
      <w:jc w:val="both"/>
    </w:pPr>
    <w:rPr>
      <w:rFonts w:ascii="Tahoma" w:hAnsi="Tahoma"/>
      <w:sz w:val="22"/>
      <w:szCs w:val="20"/>
    </w:rPr>
  </w:style>
  <w:style w:type="paragraph" w:styleId="Piedepgina">
    <w:name w:val="footer"/>
    <w:basedOn w:val="Normal"/>
    <w:rsid w:val="005E123E"/>
    <w:pPr>
      <w:tabs>
        <w:tab w:val="center" w:pos="4252"/>
        <w:tab w:val="right" w:pos="8504"/>
      </w:tabs>
    </w:pPr>
  </w:style>
  <w:style w:type="character" w:styleId="Nmerodepgina">
    <w:name w:val="page number"/>
    <w:basedOn w:val="Fuentedeprrafopredeter"/>
    <w:rsid w:val="005E123E"/>
  </w:style>
  <w:style w:type="character" w:styleId="Textoennegrita">
    <w:name w:val="Strong"/>
    <w:basedOn w:val="Fuentedeprrafopredeter"/>
    <w:qFormat/>
    <w:rsid w:val="00CE7064"/>
    <w:rPr>
      <w:b/>
      <w:bCs/>
    </w:rPr>
  </w:style>
  <w:style w:type="paragraph" w:styleId="Encabezado">
    <w:name w:val="header"/>
    <w:basedOn w:val="Normal"/>
    <w:rsid w:val="002623FE"/>
    <w:pPr>
      <w:tabs>
        <w:tab w:val="center" w:pos="4252"/>
        <w:tab w:val="right" w:pos="8504"/>
      </w:tabs>
    </w:pPr>
  </w:style>
  <w:style w:type="character" w:customStyle="1" w:styleId="TextonotapieCar">
    <w:name w:val="Texto nota pie Car"/>
    <w:basedOn w:val="Fuentedeprrafopredeter"/>
    <w:link w:val="Textonotapie"/>
    <w:rsid w:val="00733133"/>
    <w:rPr>
      <w:lang w:val="es-ES" w:eastAsia="es-ES" w:bidi="ar-SA"/>
    </w:rPr>
  </w:style>
  <w:style w:type="character" w:customStyle="1" w:styleId="TextoindependienteCar">
    <w:name w:val="Texto independiente Car"/>
    <w:basedOn w:val="Fuentedeprrafopredeter"/>
    <w:link w:val="Textoindependiente"/>
    <w:rsid w:val="00F824DD"/>
    <w:rPr>
      <w:sz w:val="24"/>
      <w:szCs w:val="24"/>
      <w:lang w:val="es-ES" w:eastAsia="es-ES" w:bidi="ar-SA"/>
    </w:rPr>
  </w:style>
  <w:style w:type="table" w:styleId="Tablaconcuadrcula">
    <w:name w:val="Table Grid"/>
    <w:basedOn w:val="Tablanormal"/>
    <w:rsid w:val="00A34F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2490</Words>
  <Characters>13215</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Sumilla: Corresponde sancionar a la empresa “Abastecimiento y Servicios Generales”</vt:lpstr>
    </vt:vector>
  </TitlesOfParts>
  <Company/>
  <LinksUpToDate>false</LinksUpToDate>
  <CharactersWithSpaces>15674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1718-2007-TC-S3</dc:title>
  <dc:subject>PROCEDIMIENTO ADMINISTRATIVO SANCIONADOR</dc:subject>
  <dc:creator>TRIBUNAL</dc:creator>
  <cp:keywords>SANCIONAR POR PRESENTACION DE DOCUMENTOS FALSOS</cp:keywords>
  <dc:description/>
  <cp:lastModifiedBy>gllano</cp:lastModifiedBy>
  <cp:revision>2</cp:revision>
  <cp:lastPrinted>2007-10-24T22:43:00Z</cp:lastPrinted>
  <dcterms:created xsi:type="dcterms:W3CDTF">2007-12-13T20:21:00Z</dcterms:created>
  <dcterms:modified xsi:type="dcterms:W3CDTF">2007-12-13T20:21:00Z</dcterms:modified>
  <cp:category>RESOLUCION-TRIBUNAL</cp:category>
</cp:coreProperties>
</file>