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DD" w:rsidRPr="00186D81" w:rsidRDefault="00186D81" w:rsidP="00186D81">
      <w:pPr>
        <w:ind w:left="2700" w:right="764" w:hanging="900"/>
        <w:jc w:val="center"/>
        <w:rPr>
          <w:rFonts w:ascii="Tahoma" w:hAnsi="Tahoma" w:cs="Tahoma"/>
          <w:b/>
          <w:i/>
          <w:sz w:val="36"/>
          <w:szCs w:val="36"/>
        </w:rPr>
      </w:pPr>
      <w:r w:rsidRPr="00665C49">
        <w:rPr>
          <w:rFonts w:ascii="Tahoma" w:hAnsi="Tahoma" w:cs="Tahoma"/>
          <w:b/>
          <w:sz w:val="36"/>
          <w:szCs w:val="36"/>
        </w:rPr>
        <w:t>1717-2007-TC-S3</w:t>
      </w:r>
    </w:p>
    <w:p w:rsidR="00186D81" w:rsidRDefault="00186D81" w:rsidP="0013362C">
      <w:pPr>
        <w:ind w:left="2700" w:right="764" w:hanging="900"/>
        <w:jc w:val="both"/>
        <w:rPr>
          <w:rFonts w:ascii="Tahoma" w:hAnsi="Tahoma" w:cs="Tahoma"/>
          <w:b/>
          <w:i/>
          <w:sz w:val="20"/>
          <w:szCs w:val="20"/>
        </w:rPr>
      </w:pPr>
    </w:p>
    <w:p w:rsidR="009F7F0E" w:rsidRPr="0013362C" w:rsidRDefault="009F7F0E" w:rsidP="0013362C">
      <w:pPr>
        <w:ind w:left="2700" w:right="764" w:hanging="900"/>
        <w:jc w:val="both"/>
        <w:rPr>
          <w:rFonts w:ascii="Tahoma" w:hAnsi="Tahoma" w:cs="Tahoma"/>
          <w:i/>
          <w:sz w:val="20"/>
          <w:szCs w:val="20"/>
        </w:rPr>
      </w:pPr>
      <w:r w:rsidRPr="0013362C">
        <w:rPr>
          <w:rFonts w:ascii="Tahoma" w:hAnsi="Tahoma" w:cs="Tahoma"/>
          <w:b/>
          <w:i/>
          <w:sz w:val="20"/>
          <w:szCs w:val="20"/>
        </w:rPr>
        <w:t xml:space="preserve">Sumilla: </w:t>
      </w:r>
      <w:r w:rsidR="00EF052B" w:rsidRPr="0013362C">
        <w:rPr>
          <w:rFonts w:ascii="Tahoma" w:hAnsi="Tahoma" w:cs="Tahoma"/>
          <w:i/>
          <w:sz w:val="20"/>
          <w:szCs w:val="20"/>
          <w:lang w:val="es-ES_tradnl"/>
        </w:rPr>
        <w:t>Corresponde sancionar al</w:t>
      </w:r>
      <w:r w:rsidR="00955493" w:rsidRPr="0013362C">
        <w:rPr>
          <w:rFonts w:ascii="Tahoma" w:hAnsi="Tahoma" w:cs="Tahoma"/>
          <w:i/>
          <w:sz w:val="20"/>
          <w:szCs w:val="20"/>
          <w:lang w:val="es-ES_tradnl"/>
        </w:rPr>
        <w:t xml:space="preserve"> </w:t>
      </w:r>
      <w:r w:rsidR="00955493" w:rsidRPr="0013362C">
        <w:rPr>
          <w:rFonts w:ascii="Tahoma" w:hAnsi="Tahoma" w:cs="Tahoma"/>
          <w:i/>
          <w:sz w:val="20"/>
          <w:szCs w:val="20"/>
          <w:lang w:val="es-PE"/>
        </w:rPr>
        <w:t>Miguel Augusto Ruiz Correa</w:t>
      </w:r>
      <w:r w:rsidR="00EF052B" w:rsidRPr="0013362C">
        <w:rPr>
          <w:rFonts w:ascii="Tahoma" w:hAnsi="Tahoma" w:cs="Tahoma"/>
          <w:i/>
          <w:sz w:val="20"/>
          <w:szCs w:val="20"/>
          <w:lang w:val="es-ES_tradnl"/>
        </w:rPr>
        <w:t xml:space="preserve"> al  haberse configurado el supuesto previsto en el numeral 9) del artículo 294 del Reglamento de la Ley de Contrataciones y Adquisiciones del Estado</w:t>
      </w:r>
      <w:r w:rsidRPr="0013362C">
        <w:rPr>
          <w:rFonts w:ascii="Tahoma" w:hAnsi="Tahoma" w:cs="Tahoma"/>
          <w:sz w:val="20"/>
          <w:szCs w:val="20"/>
        </w:rPr>
        <w:t>.</w:t>
      </w:r>
    </w:p>
    <w:p w:rsidR="00EF052B" w:rsidRDefault="00EF052B" w:rsidP="0013362C">
      <w:pPr>
        <w:tabs>
          <w:tab w:val="left" w:pos="7200"/>
        </w:tabs>
        <w:ind w:right="1818"/>
        <w:jc w:val="both"/>
        <w:rPr>
          <w:rFonts w:ascii="Tahoma" w:hAnsi="Tahoma" w:cs="Tahoma"/>
          <w:i/>
          <w:sz w:val="20"/>
          <w:szCs w:val="20"/>
        </w:rPr>
      </w:pPr>
    </w:p>
    <w:p w:rsidR="00B30ADD" w:rsidRPr="0013362C" w:rsidRDefault="00B30ADD" w:rsidP="0013362C">
      <w:pPr>
        <w:tabs>
          <w:tab w:val="left" w:pos="7200"/>
        </w:tabs>
        <w:ind w:right="1818"/>
        <w:jc w:val="both"/>
        <w:rPr>
          <w:rFonts w:ascii="Tahoma" w:hAnsi="Tahoma" w:cs="Tahoma"/>
          <w:i/>
          <w:sz w:val="20"/>
          <w:szCs w:val="20"/>
        </w:rPr>
      </w:pPr>
    </w:p>
    <w:p w:rsidR="00116635" w:rsidRPr="0013362C" w:rsidRDefault="00116635" w:rsidP="0013362C">
      <w:pPr>
        <w:tabs>
          <w:tab w:val="left" w:pos="7200"/>
        </w:tabs>
        <w:ind w:right="1818"/>
        <w:jc w:val="both"/>
        <w:rPr>
          <w:rFonts w:ascii="Tahoma" w:hAnsi="Tahoma" w:cs="Tahoma"/>
          <w:i/>
          <w:sz w:val="20"/>
          <w:szCs w:val="20"/>
        </w:rPr>
      </w:pPr>
    </w:p>
    <w:p w:rsidR="009F7F0E" w:rsidRPr="0013362C" w:rsidRDefault="009F7F0E" w:rsidP="0013362C">
      <w:pPr>
        <w:pStyle w:val="Textoindependiente3"/>
        <w:ind w:left="2124" w:firstLine="708"/>
        <w:jc w:val="center"/>
        <w:rPr>
          <w:rFonts w:ascii="Tahoma" w:hAnsi="Tahoma" w:cs="Tahoma"/>
          <w:b/>
          <w:sz w:val="20"/>
          <w:szCs w:val="20"/>
        </w:rPr>
      </w:pPr>
      <w:r w:rsidRPr="0013362C">
        <w:rPr>
          <w:rFonts w:ascii="Tahoma" w:hAnsi="Tahoma" w:cs="Tahoma"/>
          <w:b/>
          <w:sz w:val="20"/>
          <w:szCs w:val="20"/>
        </w:rPr>
        <w:t xml:space="preserve">     Lima, </w:t>
      </w:r>
      <w:r w:rsidR="00186D81" w:rsidRPr="00665C49">
        <w:rPr>
          <w:rFonts w:ascii="Arial" w:hAnsi="Arial" w:cs="Arial"/>
          <w:szCs w:val="22"/>
        </w:rPr>
        <w:t>25</w:t>
      </w:r>
      <w:r w:rsidR="00186D81">
        <w:rPr>
          <w:rFonts w:ascii="Arial" w:hAnsi="Arial" w:cs="Arial"/>
          <w:szCs w:val="22"/>
        </w:rPr>
        <w:t xml:space="preserve"> DE OCTUBRE DE </w:t>
      </w:r>
      <w:r w:rsidR="00186D81" w:rsidRPr="00665C49">
        <w:rPr>
          <w:rFonts w:ascii="Arial" w:hAnsi="Arial" w:cs="Arial"/>
          <w:szCs w:val="22"/>
        </w:rPr>
        <w:t>2007</w:t>
      </w:r>
    </w:p>
    <w:p w:rsidR="00116635" w:rsidRPr="0013362C" w:rsidRDefault="00116635" w:rsidP="0013362C">
      <w:pPr>
        <w:ind w:firstLine="720"/>
        <w:jc w:val="both"/>
        <w:rPr>
          <w:rFonts w:ascii="Tahoma" w:hAnsi="Tahoma" w:cs="Tahoma"/>
          <w:b/>
          <w:sz w:val="20"/>
          <w:szCs w:val="20"/>
        </w:rPr>
      </w:pPr>
    </w:p>
    <w:p w:rsidR="008F5E4C" w:rsidRPr="0013362C" w:rsidRDefault="008F5E4C" w:rsidP="0013362C">
      <w:pPr>
        <w:ind w:firstLine="720"/>
        <w:jc w:val="both"/>
        <w:rPr>
          <w:rFonts w:ascii="Tahoma" w:hAnsi="Tahoma" w:cs="Tahoma"/>
          <w:color w:val="000000"/>
          <w:sz w:val="20"/>
          <w:szCs w:val="20"/>
        </w:rPr>
      </w:pPr>
      <w:r w:rsidRPr="0013362C">
        <w:rPr>
          <w:rFonts w:ascii="Tahoma" w:hAnsi="Tahoma" w:cs="Tahoma"/>
          <w:b/>
          <w:sz w:val="20"/>
          <w:szCs w:val="20"/>
        </w:rPr>
        <w:t>Visto,</w:t>
      </w:r>
      <w:r w:rsidRPr="0013362C">
        <w:rPr>
          <w:rFonts w:ascii="Tahoma" w:hAnsi="Tahoma" w:cs="Tahoma"/>
          <w:sz w:val="20"/>
          <w:szCs w:val="20"/>
        </w:rPr>
        <w:t xml:space="preserve"> </w:t>
      </w:r>
      <w:r w:rsidR="007E63C6" w:rsidRPr="0013362C">
        <w:rPr>
          <w:rFonts w:ascii="Tahoma" w:hAnsi="Tahoma" w:cs="Tahoma"/>
          <w:color w:val="000000"/>
          <w:sz w:val="20"/>
          <w:szCs w:val="20"/>
        </w:rPr>
        <w:t xml:space="preserve">en sesión de fecha </w:t>
      </w:r>
      <w:r w:rsidR="009F7F0E" w:rsidRPr="0013362C">
        <w:rPr>
          <w:rFonts w:ascii="Tahoma" w:hAnsi="Tahoma" w:cs="Tahoma"/>
          <w:color w:val="000000"/>
          <w:sz w:val="20"/>
          <w:szCs w:val="20"/>
        </w:rPr>
        <w:t>2</w:t>
      </w:r>
      <w:r w:rsidR="00F93DDD" w:rsidRPr="0013362C">
        <w:rPr>
          <w:rFonts w:ascii="Tahoma" w:hAnsi="Tahoma" w:cs="Tahoma"/>
          <w:color w:val="000000"/>
          <w:sz w:val="20"/>
          <w:szCs w:val="20"/>
        </w:rPr>
        <w:t xml:space="preserve">4 de octubre </w:t>
      </w:r>
      <w:r w:rsidR="00F97E1A" w:rsidRPr="0013362C">
        <w:rPr>
          <w:rFonts w:ascii="Tahoma" w:hAnsi="Tahoma" w:cs="Tahoma"/>
          <w:color w:val="000000"/>
          <w:sz w:val="20"/>
          <w:szCs w:val="20"/>
        </w:rPr>
        <w:t xml:space="preserve">de </w:t>
      </w:r>
      <w:r w:rsidRPr="0013362C">
        <w:rPr>
          <w:rFonts w:ascii="Tahoma" w:hAnsi="Tahoma" w:cs="Tahoma"/>
          <w:color w:val="000000"/>
          <w:sz w:val="20"/>
          <w:szCs w:val="20"/>
        </w:rPr>
        <w:t>2007 de la Tercera Sala del Tribunal de Contrataciones y Adquisiciones del Estado el Expediente N.°</w:t>
      </w:r>
      <w:r w:rsidRPr="0013362C">
        <w:rPr>
          <w:rFonts w:ascii="Tahoma" w:hAnsi="Tahoma" w:cs="Tahoma"/>
          <w:sz w:val="20"/>
          <w:szCs w:val="20"/>
        </w:rPr>
        <w:t xml:space="preserve"> </w:t>
      </w:r>
      <w:r w:rsidR="00F93DDD" w:rsidRPr="0013362C">
        <w:rPr>
          <w:rFonts w:ascii="Tahoma" w:hAnsi="Tahoma" w:cs="Tahoma"/>
          <w:sz w:val="20"/>
          <w:szCs w:val="20"/>
        </w:rPr>
        <w:t>675</w:t>
      </w:r>
      <w:r w:rsidRPr="0013362C">
        <w:rPr>
          <w:rFonts w:ascii="Tahoma" w:hAnsi="Tahoma" w:cs="Tahoma"/>
          <w:sz w:val="20"/>
          <w:szCs w:val="20"/>
        </w:rPr>
        <w:t>/200</w:t>
      </w:r>
      <w:r w:rsidR="009F7F0E" w:rsidRPr="0013362C">
        <w:rPr>
          <w:rFonts w:ascii="Tahoma" w:hAnsi="Tahoma" w:cs="Tahoma"/>
          <w:sz w:val="20"/>
          <w:szCs w:val="20"/>
        </w:rPr>
        <w:t>7</w:t>
      </w:r>
      <w:r w:rsidRPr="0013362C">
        <w:rPr>
          <w:rFonts w:ascii="Tahoma" w:hAnsi="Tahoma" w:cs="Tahoma"/>
          <w:sz w:val="20"/>
          <w:szCs w:val="20"/>
        </w:rPr>
        <w:t>.TC</w:t>
      </w:r>
      <w:r w:rsidRPr="0013362C">
        <w:rPr>
          <w:rFonts w:ascii="Tahoma" w:hAnsi="Tahoma" w:cs="Tahoma"/>
          <w:color w:val="000000"/>
          <w:sz w:val="20"/>
          <w:szCs w:val="20"/>
        </w:rPr>
        <w:t xml:space="preserve"> sobre </w:t>
      </w:r>
      <w:r w:rsidR="004654F1" w:rsidRPr="0013362C">
        <w:rPr>
          <w:rFonts w:ascii="Tahoma" w:hAnsi="Tahoma" w:cs="Tahoma"/>
          <w:color w:val="000000"/>
          <w:sz w:val="20"/>
          <w:szCs w:val="20"/>
        </w:rPr>
        <w:t xml:space="preserve">procedimiento administrativo sancionador </w:t>
      </w:r>
      <w:r w:rsidR="001E41EA" w:rsidRPr="0013362C">
        <w:rPr>
          <w:rFonts w:ascii="Tahoma" w:hAnsi="Tahoma" w:cs="Tahoma"/>
          <w:color w:val="000000"/>
          <w:sz w:val="20"/>
          <w:szCs w:val="20"/>
        </w:rPr>
        <w:t>contra</w:t>
      </w:r>
      <w:r w:rsidR="00955B15" w:rsidRPr="0013362C">
        <w:rPr>
          <w:rFonts w:ascii="Tahoma" w:hAnsi="Tahoma" w:cs="Tahoma"/>
          <w:color w:val="000000"/>
          <w:sz w:val="20"/>
          <w:szCs w:val="20"/>
        </w:rPr>
        <w:t xml:space="preserve"> el señor </w:t>
      </w:r>
      <w:r w:rsidR="00955B15" w:rsidRPr="0013362C">
        <w:rPr>
          <w:rFonts w:ascii="Tahoma" w:hAnsi="Tahoma" w:cs="Tahoma"/>
          <w:sz w:val="20"/>
          <w:szCs w:val="20"/>
          <w:lang w:val="es-PE"/>
        </w:rPr>
        <w:t>Miguel Augusto Ruiz Correa</w:t>
      </w:r>
      <w:r w:rsidRPr="0013362C">
        <w:rPr>
          <w:rFonts w:ascii="Tahoma" w:hAnsi="Tahoma" w:cs="Tahoma"/>
          <w:color w:val="000000"/>
          <w:sz w:val="20"/>
          <w:szCs w:val="20"/>
        </w:rPr>
        <w:t xml:space="preserve"> por supuesta responsabilidad</w:t>
      </w:r>
      <w:r w:rsidR="00B53DE6" w:rsidRPr="0013362C">
        <w:rPr>
          <w:rFonts w:ascii="Tahoma" w:hAnsi="Tahoma" w:cs="Tahoma"/>
          <w:color w:val="000000"/>
          <w:sz w:val="20"/>
          <w:szCs w:val="20"/>
        </w:rPr>
        <w:t xml:space="preserve"> en la </w:t>
      </w:r>
      <w:r w:rsidR="00EF052B" w:rsidRPr="0013362C">
        <w:rPr>
          <w:rFonts w:ascii="Tahoma" w:hAnsi="Tahoma" w:cs="Tahoma"/>
          <w:color w:val="000000"/>
          <w:sz w:val="20"/>
          <w:szCs w:val="20"/>
        </w:rPr>
        <w:t xml:space="preserve">presentación de documentos falsos o inexactos ante la Entidad, </w:t>
      </w:r>
      <w:r w:rsidR="00922E58" w:rsidRPr="0013362C">
        <w:rPr>
          <w:rFonts w:ascii="Tahoma" w:hAnsi="Tahoma" w:cs="Tahoma"/>
          <w:sz w:val="20"/>
          <w:szCs w:val="20"/>
        </w:rPr>
        <w:t xml:space="preserve">materia de la </w:t>
      </w:r>
      <w:r w:rsidR="00955B15" w:rsidRPr="0013362C">
        <w:rPr>
          <w:rFonts w:ascii="Tahoma" w:hAnsi="Tahoma" w:cs="Tahoma"/>
          <w:sz w:val="20"/>
          <w:szCs w:val="20"/>
        </w:rPr>
        <w:t>Adjudicación Directa Pública Nº 009-2006-CEP/MPP Primera Convocatoria, para la adquisición de bienes y contratación de servicios para la obra: “Mejoramiento y Construcción de Juegos Infantiles en la Provincia de Piura”</w:t>
      </w:r>
      <w:r w:rsidRPr="0013362C">
        <w:rPr>
          <w:rFonts w:ascii="Tahoma" w:hAnsi="Tahoma" w:cs="Tahoma"/>
          <w:color w:val="000000"/>
          <w:sz w:val="20"/>
          <w:szCs w:val="20"/>
        </w:rPr>
        <w:t>,</w:t>
      </w:r>
      <w:r w:rsidR="00955B15" w:rsidRPr="0013362C">
        <w:rPr>
          <w:rFonts w:ascii="Tahoma" w:hAnsi="Tahoma" w:cs="Tahoma"/>
          <w:color w:val="000000"/>
          <w:sz w:val="20"/>
          <w:szCs w:val="20"/>
        </w:rPr>
        <w:t xml:space="preserve"> oídos los informes orales</w:t>
      </w:r>
      <w:r w:rsidR="000636A1" w:rsidRPr="0013362C">
        <w:rPr>
          <w:rFonts w:ascii="Tahoma" w:hAnsi="Tahoma" w:cs="Tahoma"/>
          <w:color w:val="000000"/>
          <w:sz w:val="20"/>
          <w:szCs w:val="20"/>
        </w:rPr>
        <w:t xml:space="preserve"> y;</w:t>
      </w:r>
      <w:r w:rsidRPr="0013362C">
        <w:rPr>
          <w:rFonts w:ascii="Tahoma" w:hAnsi="Tahoma" w:cs="Tahoma"/>
          <w:color w:val="000000"/>
          <w:sz w:val="20"/>
          <w:szCs w:val="20"/>
        </w:rPr>
        <w:t xml:space="preserve"> atendiendo a los siguientes:  </w:t>
      </w:r>
    </w:p>
    <w:p w:rsidR="00116635" w:rsidRPr="0013362C" w:rsidRDefault="00116635" w:rsidP="0013362C">
      <w:pPr>
        <w:ind w:firstLine="708"/>
        <w:jc w:val="both"/>
        <w:rPr>
          <w:rFonts w:ascii="Tahoma" w:hAnsi="Tahoma" w:cs="Tahoma"/>
          <w:color w:val="000000"/>
          <w:sz w:val="20"/>
          <w:szCs w:val="20"/>
        </w:rPr>
      </w:pPr>
    </w:p>
    <w:p w:rsidR="008F5E4C" w:rsidRPr="0013362C" w:rsidRDefault="008F5E4C" w:rsidP="0013362C">
      <w:pPr>
        <w:jc w:val="both"/>
        <w:rPr>
          <w:rFonts w:ascii="Tahoma" w:hAnsi="Tahoma" w:cs="Tahoma"/>
          <w:b/>
          <w:shadow/>
          <w:sz w:val="20"/>
          <w:szCs w:val="20"/>
        </w:rPr>
      </w:pPr>
      <w:r w:rsidRPr="0013362C">
        <w:rPr>
          <w:rFonts w:ascii="Tahoma" w:hAnsi="Tahoma" w:cs="Tahoma"/>
          <w:b/>
          <w:shadow/>
          <w:sz w:val="20"/>
          <w:szCs w:val="20"/>
        </w:rPr>
        <w:t>ANTECEDENTES:</w:t>
      </w:r>
    </w:p>
    <w:p w:rsidR="00A34FB0" w:rsidRPr="0013362C" w:rsidRDefault="00A34FB0" w:rsidP="0013362C">
      <w:pPr>
        <w:jc w:val="both"/>
        <w:rPr>
          <w:rFonts w:ascii="Tahoma" w:hAnsi="Tahoma" w:cs="Tahoma"/>
          <w:sz w:val="20"/>
          <w:szCs w:val="20"/>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rPr>
        <w:t xml:space="preserve">El 29 de noviembre de 2006, la Municipalidad Provincial de Piura, en adelante </w:t>
      </w:r>
      <w:smartTag w:uri="urn:schemas-microsoft-com:office:smarttags" w:element="PersonName">
        <w:smartTagPr>
          <w:attr w:name="ProductID" w:val="la Entidad"/>
        </w:smartTagPr>
        <w:r w:rsidRPr="0013362C">
          <w:rPr>
            <w:rFonts w:ascii="Tahoma" w:hAnsi="Tahoma" w:cs="Tahoma"/>
            <w:sz w:val="20"/>
            <w:szCs w:val="20"/>
          </w:rPr>
          <w:t>la Entidad</w:t>
        </w:r>
      </w:smartTag>
      <w:r w:rsidRPr="0013362C">
        <w:rPr>
          <w:rFonts w:ascii="Tahoma" w:hAnsi="Tahoma" w:cs="Tahoma"/>
          <w:sz w:val="20"/>
          <w:szCs w:val="20"/>
        </w:rPr>
        <w:t xml:space="preserve">, convocó a la Adjudicación Directa Pública Nº 009-2006-CEP/MPP Primera Convocatoria, para la adquisición de bienes y contratación de servicios para la obra: “Mejoramiento y Construcción de Juegos Infantiles en la Provincia de Piura”, según publicación efectuada en el SEACE, por un monto referenciala ascendente a S/. 160 750,95 (Ciento sesenta mil setecientos cincuenta y 95/100 nuevos soles). </w:t>
      </w:r>
    </w:p>
    <w:p w:rsidR="00B30ADD" w:rsidRDefault="00B30ADD" w:rsidP="00B30ADD">
      <w:pPr>
        <w:jc w:val="both"/>
        <w:rPr>
          <w:rFonts w:ascii="Tahoma" w:hAnsi="Tahoma" w:cs="Tahoma"/>
          <w:sz w:val="20"/>
          <w:szCs w:val="20"/>
          <w:lang w:val="es-PE"/>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lang w:val="es-PE"/>
        </w:rPr>
        <w:t xml:space="preserve">El 19 de diciembre 2006, se recibieron las propuestas técnicas de los postores: i) R&amp;RM Servicios Generales S.R.L.; ii) Miguel Augusto Ruiz Correa; iii) Estructuras Metálicas Martins E.I.R.L. y iv) J.L. Representación y Servicios Multiples E.I.R.L. Como resultado del referido proceso, se otorgó </w:t>
      </w:r>
      <w:smartTag w:uri="urn:schemas-microsoft-com:office:smarttags" w:element="PersonName">
        <w:smartTagPr>
          <w:attr w:name="ProductID" w:val="la Buena"/>
        </w:smartTagPr>
        <w:r w:rsidRPr="0013362C">
          <w:rPr>
            <w:rFonts w:ascii="Tahoma" w:hAnsi="Tahoma" w:cs="Tahoma"/>
            <w:sz w:val="20"/>
            <w:szCs w:val="20"/>
            <w:lang w:val="es-PE"/>
          </w:rPr>
          <w:t>la Buena</w:t>
        </w:r>
      </w:smartTag>
      <w:r w:rsidRPr="0013362C">
        <w:rPr>
          <w:rFonts w:ascii="Tahoma" w:hAnsi="Tahoma" w:cs="Tahoma"/>
          <w:sz w:val="20"/>
          <w:szCs w:val="20"/>
          <w:lang w:val="es-PE"/>
        </w:rPr>
        <w:t xml:space="preserve"> Pro del ítem 3 (servicios terceros: carpintería metálica) al señor Miguel Augusto Ruiz Correa, en lo sucesivo el Postor. Cabe señalar que el Postor presentó, como parte de su propuesta técnica para acreditar experiencia,  </w:t>
      </w:r>
      <w:r w:rsidRPr="0013362C">
        <w:rPr>
          <w:rFonts w:ascii="Tahoma" w:hAnsi="Tahoma" w:cs="Tahoma"/>
          <w:sz w:val="20"/>
          <w:szCs w:val="20"/>
        </w:rPr>
        <w:t>las Boletas de Ventas N.º 1105, N.º1111 y N.º 1113.</w:t>
      </w:r>
    </w:p>
    <w:p w:rsidR="00B30ADD" w:rsidRDefault="00B30ADD" w:rsidP="00B30ADD">
      <w:pPr>
        <w:jc w:val="both"/>
        <w:rPr>
          <w:rFonts w:ascii="Tahoma" w:hAnsi="Tahoma" w:cs="Tahoma"/>
          <w:sz w:val="20"/>
          <w:szCs w:val="20"/>
          <w:lang w:val="es-PE"/>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lang w:val="es-PE"/>
        </w:rPr>
        <w:t xml:space="preserve">Mediante Carta Nº 038-2006-R&amp;RM-PIURA de fecha 22 de diciembre de 2006, la empresa R&amp;RM Servicios Generales S.R.L. comunicó a </w:t>
      </w:r>
      <w:smartTag w:uri="urn:schemas-microsoft-com:office:smarttags" w:element="PersonName">
        <w:smartTagPr>
          <w:attr w:name="ProductID" w:val="la Entidad"/>
        </w:smartTagPr>
        <w:r w:rsidRPr="0013362C">
          <w:rPr>
            <w:rFonts w:ascii="Tahoma" w:hAnsi="Tahoma" w:cs="Tahoma"/>
            <w:sz w:val="20"/>
            <w:szCs w:val="20"/>
            <w:lang w:val="es-PE"/>
          </w:rPr>
          <w:t>la Entidad</w:t>
        </w:r>
      </w:smartTag>
      <w:r w:rsidRPr="0013362C">
        <w:rPr>
          <w:rFonts w:ascii="Tahoma" w:hAnsi="Tahoma" w:cs="Tahoma"/>
          <w:sz w:val="20"/>
          <w:szCs w:val="20"/>
          <w:lang w:val="es-PE"/>
        </w:rPr>
        <w:t xml:space="preserve"> que las</w:t>
      </w:r>
      <w:r w:rsidRPr="0013362C">
        <w:rPr>
          <w:rFonts w:ascii="Tahoma" w:hAnsi="Tahoma" w:cs="Tahoma"/>
          <w:sz w:val="20"/>
          <w:szCs w:val="20"/>
        </w:rPr>
        <w:t xml:space="preserve"> Boletas de Ventas N.º 1105, N.º 1111 y N.º 1113</w:t>
      </w:r>
      <w:r w:rsidRPr="0013362C">
        <w:rPr>
          <w:rFonts w:ascii="Tahoma" w:hAnsi="Tahoma" w:cs="Tahoma"/>
          <w:sz w:val="20"/>
          <w:szCs w:val="20"/>
          <w:lang w:val="es-PE"/>
        </w:rPr>
        <w:t xml:space="preserve"> de fechas 24 de mayo de 2002, 12 de julio de 2002 y 01 de agosto de 2002, respectivamente, carecen de veracidad, toda vez que, de las informaciones remitidas por FONCODES, se ha recabado que dichos proyectos realizados según las boletas no existen o el monto era menor a lo señalado por los referidos comprobantes de pago. </w:t>
      </w:r>
    </w:p>
    <w:p w:rsidR="00B30ADD" w:rsidRDefault="00B30ADD" w:rsidP="00B30ADD">
      <w:pPr>
        <w:jc w:val="both"/>
        <w:rPr>
          <w:rFonts w:ascii="Tahoma" w:hAnsi="Tahoma" w:cs="Tahoma"/>
          <w:sz w:val="20"/>
          <w:szCs w:val="20"/>
          <w:lang w:val="es-PE"/>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lang w:val="es-PE"/>
        </w:rPr>
        <w:t xml:space="preserve">Mediante Oficio N.º 0299-2006-CE-MPP de fecha 26 de diciembre de 2006, el Comité Especial Permanente de la Adjudicación Directa Publica N.º 009-2006-CEP/MPP solicitó a </w:t>
      </w:r>
      <w:r w:rsidRPr="0013362C">
        <w:rPr>
          <w:rFonts w:ascii="Tahoma" w:hAnsi="Tahoma" w:cs="Tahoma"/>
          <w:sz w:val="20"/>
          <w:szCs w:val="20"/>
          <w:lang w:val="es-PE"/>
        </w:rPr>
        <w:lastRenderedPageBreak/>
        <w:t>FONCODES, que informe sobre la veracidad de los citados comprobantes de pago presentadas por el Postor.</w:t>
      </w: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lang w:val="es-PE"/>
        </w:rPr>
        <w:t xml:space="preserve">Mediante Oficio N.º 107-2007-FONCODES/EZ-PIU de fecha 23 de enero de 2007, el FONCODES pone en conocimiento de la Entidad que los proyectos de los Núcleos Ejecutores señalados en las </w:t>
      </w:r>
      <w:r w:rsidRPr="0013362C">
        <w:rPr>
          <w:rFonts w:ascii="Tahoma" w:hAnsi="Tahoma" w:cs="Tahoma"/>
          <w:sz w:val="20"/>
          <w:szCs w:val="20"/>
        </w:rPr>
        <w:t xml:space="preserve">Boletas de Ventas N.º 1105, N.º 1111 y N.º 1113 </w:t>
      </w:r>
      <w:r w:rsidRPr="0013362C">
        <w:rPr>
          <w:rFonts w:ascii="Tahoma" w:hAnsi="Tahoma" w:cs="Tahoma"/>
          <w:sz w:val="20"/>
          <w:szCs w:val="20"/>
          <w:lang w:val="es-PE"/>
        </w:rPr>
        <w:t>no existen, por ende carecen de veracidad.</w:t>
      </w:r>
    </w:p>
    <w:p w:rsidR="00B30ADD" w:rsidRPr="00B30ADD" w:rsidRDefault="00B30ADD" w:rsidP="00B30ADD">
      <w:pPr>
        <w:jc w:val="both"/>
        <w:rPr>
          <w:rFonts w:ascii="Tahoma" w:hAnsi="Tahoma" w:cs="Tahoma"/>
          <w:sz w:val="20"/>
          <w:szCs w:val="20"/>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rPr>
      </w:pPr>
      <w:r w:rsidRPr="0013362C">
        <w:rPr>
          <w:rFonts w:ascii="Tahoma" w:hAnsi="Tahoma" w:cs="Tahoma"/>
          <w:sz w:val="20"/>
          <w:szCs w:val="20"/>
          <w:lang w:val="es-PE"/>
        </w:rPr>
        <w:t>El 11 de abril de 2007, la Entidad solicita al Tribunal de Contrataciones y Adquisiciones del Estado, en lo sucesivo el Tribunal, imposición de sanción administrativa al Postor por haber presentado documentos falsos o con información inexacta</w:t>
      </w:r>
      <w:r w:rsidRPr="0013362C">
        <w:rPr>
          <w:rFonts w:ascii="Tahoma" w:hAnsi="Tahoma" w:cs="Tahoma"/>
          <w:sz w:val="20"/>
          <w:szCs w:val="20"/>
        </w:rPr>
        <w:t>.</w:t>
      </w:r>
    </w:p>
    <w:p w:rsidR="00B30ADD" w:rsidRDefault="00B30ADD" w:rsidP="00B30ADD">
      <w:pPr>
        <w:jc w:val="both"/>
        <w:rPr>
          <w:rFonts w:ascii="Tahoma" w:hAnsi="Tahoma" w:cs="Tahoma"/>
          <w:sz w:val="20"/>
          <w:szCs w:val="20"/>
          <w:lang w:val="es-PE"/>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lang w:val="es-PE"/>
        </w:rPr>
        <w:t xml:space="preserve">Mediante decreto de fecha 16 de abril de 2007, </w:t>
      </w:r>
      <w:r w:rsidRPr="0013362C">
        <w:rPr>
          <w:rFonts w:ascii="Tahoma" w:hAnsi="Tahoma" w:cs="Tahoma"/>
          <w:sz w:val="20"/>
          <w:szCs w:val="20"/>
        </w:rPr>
        <w:t>el Tribunal dispuso el inicio del procedimiento administrativo sancionador por la supuesta comisión de la infracción prevista en el numeral 9) del artículo 294 del Reglamento de la Ley de Contrataciones y Adquisiciones del Estado</w:t>
      </w:r>
      <w:r w:rsidRPr="0013362C">
        <w:rPr>
          <w:rStyle w:val="Refdenotaalpie"/>
          <w:rFonts w:ascii="Tahoma" w:hAnsi="Tahoma" w:cs="Tahoma"/>
          <w:sz w:val="20"/>
          <w:szCs w:val="20"/>
        </w:rPr>
        <w:footnoteReference w:id="2"/>
      </w:r>
      <w:r w:rsidRPr="0013362C">
        <w:rPr>
          <w:rFonts w:ascii="Tahoma" w:hAnsi="Tahoma" w:cs="Tahoma"/>
          <w:sz w:val="20"/>
          <w:szCs w:val="20"/>
        </w:rPr>
        <w:t>, aprobado por Decreto Supremo N.º 084-2004-PCM, en adelante el Reglamento, asimismo, requirió al Postor para que, dentro del plazo de diez (10) días, presente sus descargos.</w:t>
      </w:r>
    </w:p>
    <w:p w:rsidR="00B30ADD" w:rsidRDefault="00B30ADD" w:rsidP="00B30ADD">
      <w:pPr>
        <w:jc w:val="both"/>
        <w:rPr>
          <w:rFonts w:ascii="Tahoma" w:hAnsi="Tahoma" w:cs="Tahoma"/>
          <w:sz w:val="20"/>
          <w:szCs w:val="20"/>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rPr>
      </w:pPr>
      <w:r w:rsidRPr="0013362C">
        <w:rPr>
          <w:rFonts w:ascii="Tahoma" w:hAnsi="Tahoma" w:cs="Tahoma"/>
          <w:sz w:val="20"/>
          <w:szCs w:val="20"/>
        </w:rPr>
        <w:t>Mediante decreto de fecha 1 de junio de 2007, el Tribunal hizo efectivo el apercibimiento de resolver el presente procedimiento con la documentación obrante en autos, en razón de que el Postor no cumplió con presentar sus descargos y se remitió el expediente a la Tercera Sala del Tribunal para su pronunciamiento correspondiente.</w:t>
      </w:r>
    </w:p>
    <w:p w:rsidR="00B30ADD" w:rsidRPr="00B30ADD" w:rsidRDefault="00B30ADD" w:rsidP="00B30ADD">
      <w:pPr>
        <w:jc w:val="both"/>
        <w:rPr>
          <w:rFonts w:ascii="Tahoma" w:hAnsi="Tahoma" w:cs="Tahoma"/>
          <w:sz w:val="20"/>
          <w:szCs w:val="20"/>
          <w:lang w:val="es-PE"/>
        </w:rPr>
      </w:pPr>
    </w:p>
    <w:p w:rsidR="00A34FB0" w:rsidRPr="0013362C" w:rsidRDefault="00A34FB0" w:rsidP="0013362C">
      <w:pPr>
        <w:numPr>
          <w:ilvl w:val="0"/>
          <w:numId w:val="5"/>
        </w:numPr>
        <w:tabs>
          <w:tab w:val="clear" w:pos="454"/>
          <w:tab w:val="num" w:pos="540"/>
        </w:tabs>
        <w:ind w:left="540" w:hanging="540"/>
        <w:jc w:val="both"/>
        <w:rPr>
          <w:rFonts w:ascii="Tahoma" w:hAnsi="Tahoma" w:cs="Tahoma"/>
          <w:sz w:val="20"/>
          <w:szCs w:val="20"/>
          <w:lang w:val="es-PE"/>
        </w:rPr>
      </w:pPr>
      <w:r w:rsidRPr="0013362C">
        <w:rPr>
          <w:rFonts w:ascii="Tahoma" w:hAnsi="Tahoma" w:cs="Tahoma"/>
          <w:sz w:val="20"/>
          <w:szCs w:val="20"/>
        </w:rPr>
        <w:t>El 20 de julio de 2007 se llevó a cabo la Audiencia Pública en la Oficina Desconcentrada del CONSUCODE, sede en Piura, con la participación del Postor.</w:t>
      </w:r>
    </w:p>
    <w:p w:rsidR="0013362C" w:rsidRDefault="0013362C" w:rsidP="0013362C">
      <w:pPr>
        <w:jc w:val="both"/>
        <w:rPr>
          <w:rFonts w:ascii="Tahoma" w:hAnsi="Tahoma" w:cs="Tahoma"/>
          <w:b/>
          <w:shadow/>
          <w:sz w:val="20"/>
          <w:szCs w:val="20"/>
        </w:rPr>
      </w:pPr>
    </w:p>
    <w:p w:rsidR="008F5E4C" w:rsidRPr="0013362C" w:rsidRDefault="008F5E4C" w:rsidP="0013362C">
      <w:pPr>
        <w:jc w:val="both"/>
        <w:rPr>
          <w:rFonts w:ascii="Tahoma" w:hAnsi="Tahoma" w:cs="Tahoma"/>
          <w:shadow/>
          <w:sz w:val="20"/>
          <w:szCs w:val="20"/>
        </w:rPr>
      </w:pPr>
      <w:r w:rsidRPr="0013362C">
        <w:rPr>
          <w:rFonts w:ascii="Tahoma" w:hAnsi="Tahoma" w:cs="Tahoma"/>
          <w:b/>
          <w:shadow/>
          <w:sz w:val="20"/>
          <w:szCs w:val="20"/>
        </w:rPr>
        <w:t>FUNDAMENT</w:t>
      </w:r>
      <w:r w:rsidR="00170F01" w:rsidRPr="0013362C">
        <w:rPr>
          <w:rFonts w:ascii="Tahoma" w:hAnsi="Tahoma" w:cs="Tahoma"/>
          <w:b/>
          <w:shadow/>
          <w:sz w:val="20"/>
          <w:szCs w:val="20"/>
        </w:rPr>
        <w:t>ACION</w:t>
      </w:r>
    </w:p>
    <w:p w:rsidR="00116635" w:rsidRPr="0013362C" w:rsidRDefault="00116635" w:rsidP="0013362C">
      <w:pPr>
        <w:tabs>
          <w:tab w:val="num" w:pos="720"/>
        </w:tabs>
        <w:jc w:val="both"/>
        <w:rPr>
          <w:rFonts w:ascii="Tahoma" w:hAnsi="Tahoma" w:cs="Tahoma"/>
          <w:sz w:val="20"/>
          <w:szCs w:val="20"/>
          <w:lang w:val="es-MX"/>
        </w:rPr>
      </w:pPr>
    </w:p>
    <w:p w:rsidR="00A34FB0" w:rsidRPr="0013362C" w:rsidRDefault="00A34FB0" w:rsidP="0013362C">
      <w:pPr>
        <w:numPr>
          <w:ilvl w:val="0"/>
          <w:numId w:val="12"/>
        </w:numPr>
        <w:autoSpaceDE w:val="0"/>
        <w:autoSpaceDN w:val="0"/>
        <w:adjustRightInd w:val="0"/>
        <w:jc w:val="both"/>
        <w:rPr>
          <w:rFonts w:ascii="Tahoma" w:hAnsi="Tahoma" w:cs="Tahoma"/>
          <w:sz w:val="20"/>
          <w:szCs w:val="20"/>
        </w:rPr>
      </w:pPr>
      <w:r w:rsidRPr="0013362C">
        <w:rPr>
          <w:rFonts w:ascii="Tahoma" w:hAnsi="Tahoma" w:cs="Tahoma"/>
          <w:sz w:val="20"/>
          <w:szCs w:val="20"/>
        </w:rPr>
        <w:t>El presente procedimiento está referido a la solicitud de sanción formulada por la Entidad contra el Postor, por supuesta responsabilidad en la  presentación de documentos falsos o inexactos, infracción que se encuentra tipificada en el numeral 9) del artículo 294 del Reglamento, norma vigente al momento de suscitado los hechos.</w:t>
      </w:r>
    </w:p>
    <w:p w:rsidR="00B30ADD" w:rsidRDefault="00B30ADD" w:rsidP="00B30ADD">
      <w:pPr>
        <w:pStyle w:val="Textoindependiente"/>
        <w:widowControl w:val="0"/>
        <w:tabs>
          <w:tab w:val="num" w:pos="540"/>
          <w:tab w:val="left" w:pos="2410"/>
        </w:tabs>
        <w:suppressAutoHyphens/>
        <w:spacing w:after="0"/>
        <w:jc w:val="both"/>
        <w:rPr>
          <w:rFonts w:ascii="Tahoma" w:hAnsi="Tahoma" w:cs="Tahoma"/>
          <w:sz w:val="20"/>
          <w:szCs w:val="20"/>
        </w:rPr>
      </w:pPr>
    </w:p>
    <w:p w:rsidR="00A34FB0" w:rsidRPr="0013362C" w:rsidRDefault="00A34FB0" w:rsidP="0013362C">
      <w:pPr>
        <w:pStyle w:val="Textoindependiente"/>
        <w:widowControl w:val="0"/>
        <w:numPr>
          <w:ilvl w:val="0"/>
          <w:numId w:val="12"/>
        </w:numPr>
        <w:tabs>
          <w:tab w:val="num" w:pos="540"/>
          <w:tab w:val="left" w:pos="2410"/>
        </w:tabs>
        <w:suppressAutoHyphens/>
        <w:spacing w:after="0"/>
        <w:jc w:val="both"/>
        <w:rPr>
          <w:rFonts w:ascii="Tahoma" w:hAnsi="Tahoma" w:cs="Tahoma"/>
          <w:sz w:val="20"/>
          <w:szCs w:val="20"/>
        </w:rPr>
      </w:pPr>
      <w:r w:rsidRPr="0013362C">
        <w:rPr>
          <w:rFonts w:ascii="Tahoma" w:hAnsi="Tahoma" w:cs="Tahoma"/>
          <w:sz w:val="20"/>
          <w:szCs w:val="20"/>
        </w:rPr>
        <w:t xml:space="preserve">El artículo 52 del Texto Único Ordenado de </w:t>
      </w:r>
      <w:smartTag w:uri="urn:schemas-microsoft-com:office:smarttags" w:element="PersonName">
        <w:smartTagPr>
          <w:attr w:name="ProductID" w:val="la Ley"/>
        </w:smartTagPr>
        <w:r w:rsidRPr="0013362C">
          <w:rPr>
            <w:rFonts w:ascii="Tahoma" w:hAnsi="Tahoma" w:cs="Tahoma"/>
            <w:sz w:val="20"/>
            <w:szCs w:val="20"/>
          </w:rPr>
          <w:t>la Ley</w:t>
        </w:r>
      </w:smartTag>
      <w:r w:rsidRPr="0013362C">
        <w:rPr>
          <w:rFonts w:ascii="Tahoma" w:hAnsi="Tahoma" w:cs="Tahoma"/>
          <w:sz w:val="20"/>
          <w:szCs w:val="20"/>
        </w:rPr>
        <w:t xml:space="preserve"> de Contrataciones y Adquisiciones del Estado, aprobado mediante Decreto Supremo N.° 083-2004-PCM, en lo sucesivo </w:t>
      </w:r>
      <w:smartTag w:uri="urn:schemas-microsoft-com:office:smarttags" w:element="PersonName">
        <w:smartTagPr>
          <w:attr w:name="ProductID" w:val="la Ley"/>
        </w:smartTagPr>
        <w:r w:rsidRPr="0013362C">
          <w:rPr>
            <w:rFonts w:ascii="Tahoma" w:hAnsi="Tahoma" w:cs="Tahoma"/>
            <w:sz w:val="20"/>
            <w:szCs w:val="20"/>
          </w:rPr>
          <w:t>la Ley</w:t>
        </w:r>
      </w:smartTag>
      <w:r w:rsidRPr="0013362C">
        <w:rPr>
          <w:rFonts w:ascii="Tahoma" w:hAnsi="Tahoma" w:cs="Tahoma"/>
          <w:sz w:val="20"/>
          <w:szCs w:val="20"/>
        </w:rPr>
        <w:t xml:space="preserve">, establece que corresponde al Consejo Superior de Contrataciones y Adquisiciones del Estado imponer sanciones en los casos previstos por Ley y su Reglamento. </w:t>
      </w:r>
    </w:p>
    <w:p w:rsidR="00A34FB0" w:rsidRPr="0013362C" w:rsidRDefault="00A34FB0" w:rsidP="0013362C">
      <w:pPr>
        <w:pStyle w:val="Textoindependiente"/>
        <w:tabs>
          <w:tab w:val="left" w:pos="540"/>
          <w:tab w:val="left" w:pos="2410"/>
        </w:tabs>
        <w:ind w:left="360"/>
        <w:jc w:val="both"/>
        <w:rPr>
          <w:rFonts w:ascii="Tahoma" w:hAnsi="Tahoma" w:cs="Tahoma"/>
          <w:sz w:val="20"/>
          <w:szCs w:val="20"/>
        </w:rPr>
      </w:pPr>
      <w:r w:rsidRPr="0013362C">
        <w:rPr>
          <w:rFonts w:ascii="Tahoma" w:hAnsi="Tahoma" w:cs="Tahoma"/>
          <w:sz w:val="20"/>
          <w:szCs w:val="20"/>
        </w:rPr>
        <w:t>El artículo 293 del Reglamento prevé que la facultad de imponer sanción administrativa temporal o definitiva, a que se contrae los incisos a) y b) del artículo 52 de la Ley, a proveedores, participantes, postores y contratistas le corresponde al Tribunal.</w:t>
      </w:r>
    </w:p>
    <w:p w:rsidR="00A34FB0" w:rsidRPr="0013362C" w:rsidRDefault="00A34FB0" w:rsidP="0013362C">
      <w:pPr>
        <w:numPr>
          <w:ilvl w:val="0"/>
          <w:numId w:val="12"/>
        </w:numPr>
        <w:jc w:val="both"/>
        <w:rPr>
          <w:rFonts w:ascii="Tahoma" w:hAnsi="Tahoma" w:cs="Tahoma"/>
          <w:sz w:val="20"/>
          <w:szCs w:val="20"/>
        </w:rPr>
      </w:pPr>
      <w:r w:rsidRPr="0013362C">
        <w:rPr>
          <w:rFonts w:ascii="Tahoma" w:hAnsi="Tahoma" w:cs="Tahoma"/>
          <w:sz w:val="20"/>
          <w:szCs w:val="20"/>
          <w:lang w:val="es-MX"/>
        </w:rPr>
        <w:lastRenderedPageBreak/>
        <w:t xml:space="preserve">Para </w:t>
      </w:r>
      <w:r w:rsidRPr="0013362C">
        <w:rPr>
          <w:rFonts w:ascii="Tahoma" w:hAnsi="Tahoma" w:cs="Tahoma"/>
          <w:sz w:val="20"/>
          <w:szCs w:val="20"/>
        </w:rPr>
        <w:t xml:space="preserve">la configuración del supuesto de hecho de la norma que contiene la infracción señalada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la misma, a través del quebrantamiento del </w:t>
      </w:r>
      <w:r w:rsidRPr="0013362C">
        <w:rPr>
          <w:rFonts w:ascii="Tahoma" w:hAnsi="Tahoma" w:cs="Tahoma"/>
          <w:i/>
          <w:sz w:val="20"/>
          <w:szCs w:val="20"/>
        </w:rPr>
        <w:t xml:space="preserve">Principio de Moralidad </w:t>
      </w:r>
      <w:r w:rsidRPr="0013362C">
        <w:rPr>
          <w:rFonts w:ascii="Tahoma" w:hAnsi="Tahoma" w:cs="Tahoma"/>
          <w:sz w:val="20"/>
          <w:szCs w:val="20"/>
        </w:rPr>
        <w:t xml:space="preserve">y </w:t>
      </w:r>
      <w:r w:rsidRPr="0013362C">
        <w:rPr>
          <w:rFonts w:ascii="Tahoma" w:hAnsi="Tahoma" w:cs="Tahoma"/>
          <w:i/>
          <w:sz w:val="20"/>
          <w:szCs w:val="20"/>
        </w:rPr>
        <w:t>Presunción de Veracidad</w:t>
      </w:r>
      <w:r w:rsidRPr="0013362C">
        <w:rPr>
          <w:rStyle w:val="Refdenotaalpie"/>
          <w:rFonts w:ascii="Tahoma" w:hAnsi="Tahoma" w:cs="Tahoma"/>
          <w:sz w:val="20"/>
          <w:szCs w:val="20"/>
        </w:rPr>
        <w:footnoteReference w:id="3"/>
      </w:r>
      <w:r w:rsidRPr="0013362C">
        <w:rPr>
          <w:rFonts w:ascii="Tahoma" w:hAnsi="Tahoma" w:cs="Tahoma"/>
          <w:sz w:val="20"/>
          <w:szCs w:val="20"/>
        </w:rPr>
        <w:t xml:space="preserve">, conforme lo establece el inciso 1) del artículo 3° del Texto Único Ordenado de </w:t>
      </w:r>
      <w:smartTag w:uri="urn:schemas-microsoft-com:office:smarttags" w:element="PersonName">
        <w:smartTagPr>
          <w:attr w:name="ProductID" w:val="la Ley"/>
        </w:smartTagPr>
        <w:r w:rsidRPr="0013362C">
          <w:rPr>
            <w:rFonts w:ascii="Tahoma" w:hAnsi="Tahoma" w:cs="Tahoma"/>
            <w:sz w:val="20"/>
            <w:szCs w:val="20"/>
          </w:rPr>
          <w:t>la Ley</w:t>
        </w:r>
      </w:smartTag>
      <w:r w:rsidRPr="0013362C">
        <w:rPr>
          <w:rFonts w:ascii="Tahoma" w:hAnsi="Tahoma" w:cs="Tahoma"/>
          <w:sz w:val="20"/>
          <w:szCs w:val="20"/>
        </w:rPr>
        <w:t xml:space="preserve">, en concordancia con lo dispuesto en el numeral 1.7 del Artículo IV del Titulo Preliminar y el numeral 42.1 del artículo 42° de </w:t>
      </w:r>
      <w:smartTag w:uri="urn:schemas-microsoft-com:office:smarttags" w:element="PersonName">
        <w:smartTagPr>
          <w:attr w:name="ProductID" w:val="la Ley N.ﾰ"/>
        </w:smartTagPr>
        <w:r w:rsidRPr="0013362C">
          <w:rPr>
            <w:rFonts w:ascii="Tahoma" w:hAnsi="Tahoma" w:cs="Tahoma"/>
            <w:sz w:val="20"/>
            <w:szCs w:val="20"/>
          </w:rPr>
          <w:t>la Ley N.°</w:t>
        </w:r>
      </w:smartTag>
      <w:r w:rsidRPr="0013362C">
        <w:rPr>
          <w:rFonts w:ascii="Tahoma" w:hAnsi="Tahoma" w:cs="Tahoma"/>
          <w:sz w:val="20"/>
          <w:szCs w:val="20"/>
        </w:rPr>
        <w:t xml:space="preserve"> 27444 - Ley del Procedimiento Administrativo General.</w:t>
      </w:r>
    </w:p>
    <w:p w:rsidR="00B30ADD" w:rsidRPr="00B30ADD" w:rsidRDefault="00B30ADD" w:rsidP="00B30ADD">
      <w:pPr>
        <w:jc w:val="both"/>
        <w:rPr>
          <w:rFonts w:ascii="Tahoma" w:hAnsi="Tahoma" w:cs="Tahoma"/>
          <w:b/>
          <w:sz w:val="20"/>
          <w:szCs w:val="20"/>
        </w:rPr>
      </w:pPr>
    </w:p>
    <w:p w:rsidR="00A34FB0" w:rsidRPr="0013362C" w:rsidRDefault="00A34FB0" w:rsidP="0013362C">
      <w:pPr>
        <w:numPr>
          <w:ilvl w:val="0"/>
          <w:numId w:val="12"/>
        </w:numPr>
        <w:jc w:val="both"/>
        <w:rPr>
          <w:rFonts w:ascii="Tahoma" w:hAnsi="Tahoma" w:cs="Tahoma"/>
          <w:b/>
          <w:sz w:val="20"/>
          <w:szCs w:val="20"/>
        </w:rPr>
      </w:pPr>
      <w:r w:rsidRPr="0013362C">
        <w:rPr>
          <w:rFonts w:ascii="Tahoma" w:hAnsi="Tahoma" w:cs="Tahoma"/>
          <w:sz w:val="20"/>
          <w:szCs w:val="20"/>
        </w:rPr>
        <w:t>En el caso materia de análisis, la imputación contra el Postor está referida a que éste habría presentado, como parte de su propuesta técnica, documentación con información falsa a fin obtener indebidamente puntaje en el factor de evaluación: “Experiencia del Postor”</w:t>
      </w:r>
      <w:r w:rsidRPr="0013362C">
        <w:rPr>
          <w:rStyle w:val="Refdenotaalpie"/>
          <w:rFonts w:ascii="Tahoma" w:hAnsi="Tahoma" w:cs="Tahoma"/>
          <w:sz w:val="20"/>
          <w:szCs w:val="20"/>
        </w:rPr>
        <w:footnoteReference w:id="4"/>
      </w:r>
      <w:r w:rsidRPr="0013362C">
        <w:rPr>
          <w:rFonts w:ascii="Tahoma" w:hAnsi="Tahoma" w:cs="Tahoma"/>
          <w:sz w:val="20"/>
          <w:szCs w:val="20"/>
        </w:rPr>
        <w:t>, los documentos cuestionados son lo siguientes:</w:t>
      </w:r>
    </w:p>
    <w:p w:rsidR="00A34FB0" w:rsidRPr="0013362C" w:rsidRDefault="00A34FB0" w:rsidP="0013362C">
      <w:pPr>
        <w:numPr>
          <w:ilvl w:val="1"/>
          <w:numId w:val="12"/>
        </w:numPr>
        <w:jc w:val="both"/>
        <w:rPr>
          <w:rFonts w:ascii="Tahoma" w:hAnsi="Tahoma" w:cs="Tahoma"/>
          <w:b/>
          <w:sz w:val="20"/>
          <w:szCs w:val="20"/>
        </w:rPr>
      </w:pPr>
      <w:r w:rsidRPr="0013362C">
        <w:rPr>
          <w:rFonts w:ascii="Tahoma" w:hAnsi="Tahoma" w:cs="Tahoma"/>
          <w:sz w:val="20"/>
          <w:szCs w:val="20"/>
        </w:rPr>
        <w:t xml:space="preserve">Boleta de Venta </w:t>
      </w:r>
      <w:r w:rsidRPr="0013362C">
        <w:rPr>
          <w:rFonts w:ascii="Tahoma" w:hAnsi="Tahoma" w:cs="Tahoma"/>
          <w:sz w:val="20"/>
          <w:szCs w:val="20"/>
          <w:lang w:val="es-PE"/>
        </w:rPr>
        <w:t xml:space="preserve">N.º </w:t>
      </w:r>
      <w:r w:rsidRPr="0013362C">
        <w:rPr>
          <w:rFonts w:ascii="Tahoma" w:hAnsi="Tahoma" w:cs="Tahoma"/>
          <w:sz w:val="20"/>
          <w:szCs w:val="20"/>
        </w:rPr>
        <w:t>1105 de fecha 24 de mayo de 2002 por el monto de S/. 64 800,00, emitida a favor del Núcleo Ejecutor “La Viña-Cerro Colorado-Huarmaca”.</w:t>
      </w:r>
    </w:p>
    <w:p w:rsidR="00A34FB0" w:rsidRPr="0013362C" w:rsidRDefault="00A34FB0" w:rsidP="0013362C">
      <w:pPr>
        <w:numPr>
          <w:ilvl w:val="1"/>
          <w:numId w:val="12"/>
        </w:numPr>
        <w:jc w:val="both"/>
        <w:rPr>
          <w:rFonts w:ascii="Tahoma" w:hAnsi="Tahoma" w:cs="Tahoma"/>
          <w:b/>
          <w:sz w:val="20"/>
          <w:szCs w:val="20"/>
        </w:rPr>
      </w:pPr>
      <w:r w:rsidRPr="0013362C">
        <w:rPr>
          <w:rFonts w:ascii="Tahoma" w:hAnsi="Tahoma" w:cs="Tahoma"/>
          <w:sz w:val="20"/>
          <w:szCs w:val="20"/>
        </w:rPr>
        <w:t>Boleta de Venta N.º 1111 de fecha 12 de julio de 2002, por el monto de S/. 73 260,00, emitida a favor del Núcleo Ejecutor Santa Rosa-Huancabamba.</w:t>
      </w:r>
    </w:p>
    <w:p w:rsidR="00A34FB0" w:rsidRPr="0013362C" w:rsidRDefault="00A34FB0" w:rsidP="0013362C">
      <w:pPr>
        <w:numPr>
          <w:ilvl w:val="1"/>
          <w:numId w:val="12"/>
        </w:numPr>
        <w:jc w:val="both"/>
        <w:rPr>
          <w:rFonts w:ascii="Tahoma" w:hAnsi="Tahoma" w:cs="Tahoma"/>
          <w:b/>
          <w:sz w:val="20"/>
          <w:szCs w:val="20"/>
        </w:rPr>
      </w:pPr>
      <w:r w:rsidRPr="0013362C">
        <w:rPr>
          <w:rFonts w:ascii="Tahoma" w:hAnsi="Tahoma" w:cs="Tahoma"/>
          <w:sz w:val="20"/>
          <w:szCs w:val="20"/>
        </w:rPr>
        <w:t>Boleta de Venta N.º 1113 de fecha 1 de agosto de 2002, por el monto de S/. 51 520,00, emitida a favor del Núcleo Ejecutor El Tambo-Huancabamba.</w:t>
      </w:r>
    </w:p>
    <w:p w:rsidR="00A34FB0" w:rsidRPr="0013362C" w:rsidRDefault="00A34FB0" w:rsidP="0013362C">
      <w:pPr>
        <w:pStyle w:val="Textoindependiente"/>
        <w:tabs>
          <w:tab w:val="left" w:pos="2410"/>
        </w:tabs>
        <w:ind w:left="454"/>
        <w:jc w:val="both"/>
        <w:rPr>
          <w:rFonts w:ascii="Tahoma" w:hAnsi="Tahoma" w:cs="Tahoma"/>
          <w:sz w:val="20"/>
          <w:szCs w:val="20"/>
        </w:rPr>
      </w:pPr>
      <w:r w:rsidRPr="0013362C">
        <w:rPr>
          <w:rFonts w:ascii="Tahoma" w:hAnsi="Tahoma" w:cs="Tahoma"/>
          <w:sz w:val="20"/>
          <w:szCs w:val="20"/>
        </w:rPr>
        <w:t>Asimismo, el Postor presentó, dentro de su propuesta técnica, el documento denominado Anexo 4: “Declaración Jurada” conforme lo dispuesto en el literal c del artículo 76 del Reglamento</w:t>
      </w:r>
      <w:r w:rsidRPr="0013362C">
        <w:rPr>
          <w:rStyle w:val="Refdenotaalpie"/>
          <w:rFonts w:ascii="Tahoma" w:hAnsi="Tahoma" w:cs="Tahoma"/>
          <w:sz w:val="20"/>
          <w:szCs w:val="20"/>
        </w:rPr>
        <w:footnoteReference w:id="5"/>
      </w:r>
      <w:r w:rsidRPr="0013362C">
        <w:rPr>
          <w:rFonts w:ascii="Tahoma" w:hAnsi="Tahoma" w:cs="Tahoma"/>
          <w:sz w:val="20"/>
          <w:szCs w:val="20"/>
        </w:rPr>
        <w:t xml:space="preserve">, donde se hace responsable de la veracidad de los documentos e información presentada en el mencionado proceso de selección.  </w:t>
      </w:r>
    </w:p>
    <w:p w:rsidR="00A34FB0" w:rsidRPr="0013362C" w:rsidRDefault="00A34FB0" w:rsidP="0013362C">
      <w:pPr>
        <w:numPr>
          <w:ilvl w:val="0"/>
          <w:numId w:val="12"/>
        </w:numPr>
        <w:tabs>
          <w:tab w:val="clear" w:pos="454"/>
        </w:tabs>
        <w:jc w:val="both"/>
        <w:rPr>
          <w:rFonts w:ascii="Tahoma" w:hAnsi="Tahoma" w:cs="Tahoma"/>
          <w:b/>
          <w:sz w:val="20"/>
          <w:szCs w:val="20"/>
        </w:rPr>
      </w:pPr>
      <w:r w:rsidRPr="0013362C">
        <w:rPr>
          <w:rFonts w:ascii="Tahoma" w:hAnsi="Tahoma" w:cs="Tahoma"/>
          <w:sz w:val="20"/>
          <w:szCs w:val="20"/>
        </w:rPr>
        <w:t xml:space="preserve">Sobre el particular, en aplicación del </w:t>
      </w:r>
      <w:r w:rsidRPr="0013362C">
        <w:rPr>
          <w:rFonts w:ascii="Tahoma" w:hAnsi="Tahoma" w:cs="Tahoma"/>
          <w:i/>
          <w:sz w:val="20"/>
          <w:szCs w:val="20"/>
        </w:rPr>
        <w:t xml:space="preserve">Principio de Privilegio de Controles Posteriores, </w:t>
      </w:r>
      <w:r w:rsidRPr="0013362C">
        <w:rPr>
          <w:rFonts w:ascii="Tahoma" w:hAnsi="Tahoma" w:cs="Tahoma"/>
          <w:sz w:val="20"/>
          <w:szCs w:val="20"/>
        </w:rPr>
        <w:t xml:space="preserve">contemplado en el numeral 1.16 del Artículo IV del Título Preliminar de la Ley del Procedimiento Administrativo General, Ley N.º 27444, la Entidad solicitó al Fondo Nacional de Compensación y Desarrollo Social (FONCODES) que informe sobre la autenticidad de los referidos comprobantes de pago, en virtud que el Fondo Nacional de Compensación y Desarrollo Social (FONCODES), creado por Decreto Legislativo N.º 657, es un organismo descentralizado autónomo, dependiente de la Presidencia de la República, con la facultad de desarrollar en el país todas aquellas actividades de apoyo solidario que la población requiera para superar el estado de pobreza en que se encuentra, para tal efecto, todas aquellas instituciones u organizaciones que reciban financiamiento para la ejecución de sus proyectos serán denominadas genéricamente </w:t>
      </w:r>
      <w:r w:rsidRPr="0013362C">
        <w:rPr>
          <w:rFonts w:ascii="Tahoma" w:hAnsi="Tahoma" w:cs="Tahoma"/>
          <w:b/>
          <w:sz w:val="20"/>
          <w:szCs w:val="20"/>
        </w:rPr>
        <w:t xml:space="preserve">núcleos ejecutores </w:t>
      </w:r>
      <w:r w:rsidRPr="0013362C">
        <w:rPr>
          <w:rFonts w:ascii="Tahoma" w:hAnsi="Tahoma" w:cs="Tahoma"/>
          <w:sz w:val="20"/>
          <w:szCs w:val="20"/>
        </w:rPr>
        <w:t xml:space="preserve">y para acceder al financiamiento del Fondo Nacional de Compensación y Desarrollo Social (FONCODES) </w:t>
      </w:r>
      <w:r w:rsidRPr="0013362C">
        <w:rPr>
          <w:rFonts w:ascii="Tahoma" w:hAnsi="Tahoma" w:cs="Tahoma"/>
          <w:sz w:val="20"/>
          <w:szCs w:val="20"/>
        </w:rPr>
        <w:lastRenderedPageBreak/>
        <w:t>deberán constituirse como tales ante él</w:t>
      </w:r>
      <w:r w:rsidRPr="0013362C">
        <w:rPr>
          <w:rStyle w:val="Refdenotaalpie"/>
          <w:rFonts w:ascii="Tahoma" w:hAnsi="Tahoma" w:cs="Tahoma"/>
          <w:sz w:val="20"/>
          <w:szCs w:val="20"/>
        </w:rPr>
        <w:footnoteReference w:id="6"/>
      </w:r>
      <w:r w:rsidRPr="0013362C">
        <w:rPr>
          <w:rFonts w:ascii="Tahoma" w:hAnsi="Tahoma" w:cs="Tahoma"/>
          <w:sz w:val="20"/>
          <w:szCs w:val="20"/>
        </w:rPr>
        <w:t xml:space="preserve">, ya sea para su propio beneficio o el de un grupo social para cuyo apoyo se ha constituido. </w:t>
      </w:r>
    </w:p>
    <w:p w:rsidR="00A34FB0" w:rsidRPr="0013362C" w:rsidRDefault="00A34FB0" w:rsidP="0013362C">
      <w:pPr>
        <w:numPr>
          <w:ilvl w:val="0"/>
          <w:numId w:val="12"/>
        </w:numPr>
        <w:tabs>
          <w:tab w:val="clear" w:pos="454"/>
        </w:tabs>
        <w:jc w:val="both"/>
        <w:rPr>
          <w:rFonts w:ascii="Tahoma" w:hAnsi="Tahoma" w:cs="Tahoma"/>
          <w:b/>
          <w:sz w:val="20"/>
          <w:szCs w:val="20"/>
        </w:rPr>
      </w:pPr>
      <w:r w:rsidRPr="0013362C">
        <w:rPr>
          <w:rFonts w:ascii="Tahoma" w:hAnsi="Tahoma" w:cs="Tahoma"/>
          <w:sz w:val="20"/>
          <w:szCs w:val="20"/>
        </w:rPr>
        <w:t xml:space="preserve">En ese sentido, </w:t>
      </w:r>
      <w:r w:rsidRPr="0013362C">
        <w:rPr>
          <w:rFonts w:ascii="Tahoma" w:hAnsi="Tahoma" w:cs="Tahoma"/>
          <w:sz w:val="20"/>
          <w:szCs w:val="20"/>
          <w:lang w:val="es-PE"/>
        </w:rPr>
        <w:t>FONCODES en uso de su atribuciones remitió el Oficio N.º 107-2007-FONCODES/EZ-PIU en el cual manifestó que el Postor sólo emitió a FONCODES las siguientes Boletas de Venta:</w:t>
      </w:r>
    </w:p>
    <w:tbl>
      <w:tblPr>
        <w:tblStyle w:val="Tablaconcuadrcula"/>
        <w:tblW w:w="7920" w:type="dxa"/>
        <w:tblInd w:w="648" w:type="dxa"/>
        <w:tblLook w:val="01E0"/>
      </w:tblPr>
      <w:tblGrid>
        <w:gridCol w:w="1982"/>
        <w:gridCol w:w="1979"/>
        <w:gridCol w:w="1979"/>
        <w:gridCol w:w="1980"/>
      </w:tblGrid>
      <w:tr w:rsidR="00A34FB0" w:rsidRPr="0013362C">
        <w:tc>
          <w:tcPr>
            <w:tcW w:w="1982" w:type="dxa"/>
          </w:tcPr>
          <w:p w:rsidR="00A34FB0" w:rsidRPr="0013362C" w:rsidRDefault="00A34FB0" w:rsidP="0013362C">
            <w:pPr>
              <w:jc w:val="both"/>
              <w:rPr>
                <w:rFonts w:ascii="Tahoma" w:hAnsi="Tahoma" w:cs="Tahoma"/>
                <w:b/>
                <w:sz w:val="20"/>
                <w:szCs w:val="20"/>
              </w:rPr>
            </w:pPr>
            <w:r w:rsidRPr="0013362C">
              <w:rPr>
                <w:rFonts w:ascii="Tahoma" w:hAnsi="Tahoma" w:cs="Tahoma"/>
                <w:b/>
                <w:sz w:val="20"/>
                <w:szCs w:val="20"/>
              </w:rPr>
              <w:t>CONVENIO</w:t>
            </w:r>
          </w:p>
        </w:tc>
        <w:tc>
          <w:tcPr>
            <w:tcW w:w="1979" w:type="dxa"/>
          </w:tcPr>
          <w:p w:rsidR="00A34FB0" w:rsidRPr="0013362C" w:rsidRDefault="00A34FB0" w:rsidP="0013362C">
            <w:pPr>
              <w:jc w:val="both"/>
              <w:rPr>
                <w:rFonts w:ascii="Tahoma" w:hAnsi="Tahoma" w:cs="Tahoma"/>
                <w:b/>
                <w:sz w:val="20"/>
                <w:szCs w:val="20"/>
              </w:rPr>
            </w:pPr>
            <w:r w:rsidRPr="0013362C">
              <w:rPr>
                <w:rFonts w:ascii="Tahoma" w:hAnsi="Tahoma" w:cs="Tahoma"/>
                <w:b/>
                <w:sz w:val="20"/>
                <w:szCs w:val="20"/>
              </w:rPr>
              <w:t>BOLETA DE VENTA N.º</w:t>
            </w:r>
          </w:p>
        </w:tc>
        <w:tc>
          <w:tcPr>
            <w:tcW w:w="1979" w:type="dxa"/>
          </w:tcPr>
          <w:p w:rsidR="00A34FB0" w:rsidRPr="0013362C" w:rsidRDefault="00A34FB0" w:rsidP="0013362C">
            <w:pPr>
              <w:jc w:val="both"/>
              <w:rPr>
                <w:rFonts w:ascii="Tahoma" w:hAnsi="Tahoma" w:cs="Tahoma"/>
                <w:b/>
                <w:sz w:val="20"/>
                <w:szCs w:val="20"/>
              </w:rPr>
            </w:pPr>
            <w:r w:rsidRPr="0013362C">
              <w:rPr>
                <w:rFonts w:ascii="Tahoma" w:hAnsi="Tahoma" w:cs="Tahoma"/>
                <w:b/>
                <w:sz w:val="20"/>
                <w:szCs w:val="20"/>
              </w:rPr>
              <w:t>MONTO S/.</w:t>
            </w:r>
          </w:p>
        </w:tc>
        <w:tc>
          <w:tcPr>
            <w:tcW w:w="1980" w:type="dxa"/>
          </w:tcPr>
          <w:p w:rsidR="00A34FB0" w:rsidRPr="0013362C" w:rsidRDefault="00A34FB0" w:rsidP="0013362C">
            <w:pPr>
              <w:jc w:val="both"/>
              <w:rPr>
                <w:rFonts w:ascii="Tahoma" w:hAnsi="Tahoma" w:cs="Tahoma"/>
                <w:b/>
                <w:sz w:val="20"/>
                <w:szCs w:val="20"/>
              </w:rPr>
            </w:pPr>
            <w:r w:rsidRPr="0013362C">
              <w:rPr>
                <w:rFonts w:ascii="Tahoma" w:hAnsi="Tahoma" w:cs="Tahoma"/>
                <w:b/>
                <w:sz w:val="20"/>
                <w:szCs w:val="20"/>
              </w:rPr>
              <w:t>FECHA</w:t>
            </w:r>
          </w:p>
        </w:tc>
      </w:tr>
      <w:tr w:rsidR="00A34FB0" w:rsidRPr="0013362C">
        <w:tc>
          <w:tcPr>
            <w:tcW w:w="1982" w:type="dxa"/>
          </w:tcPr>
          <w:p w:rsidR="00A34FB0" w:rsidRPr="0013362C" w:rsidRDefault="00A34FB0" w:rsidP="0013362C">
            <w:pPr>
              <w:jc w:val="both"/>
              <w:rPr>
                <w:rFonts w:ascii="Tahoma" w:hAnsi="Tahoma" w:cs="Tahoma"/>
                <w:sz w:val="20"/>
                <w:szCs w:val="20"/>
              </w:rPr>
            </w:pPr>
            <w:r w:rsidRPr="0013362C">
              <w:rPr>
                <w:rFonts w:ascii="Tahoma" w:hAnsi="Tahoma" w:cs="Tahoma"/>
                <w:sz w:val="20"/>
                <w:szCs w:val="20"/>
              </w:rPr>
              <w:t>0219980084</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0584</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0594</w:t>
            </w:r>
          </w:p>
          <w:p w:rsidR="00A34FB0" w:rsidRPr="0013362C" w:rsidRDefault="00A34FB0" w:rsidP="0013362C">
            <w:pPr>
              <w:jc w:val="center"/>
              <w:rPr>
                <w:rFonts w:ascii="Tahoma" w:hAnsi="Tahoma" w:cs="Tahoma"/>
                <w:b/>
                <w:sz w:val="20"/>
                <w:szCs w:val="20"/>
              </w:rPr>
            </w:pPr>
            <w:r w:rsidRPr="0013362C">
              <w:rPr>
                <w:rFonts w:ascii="Tahoma" w:hAnsi="Tahoma" w:cs="Tahoma"/>
                <w:sz w:val="20"/>
                <w:szCs w:val="20"/>
              </w:rPr>
              <w:t>0602</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9 600.00</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5120.00</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1280.00</w:t>
            </w:r>
          </w:p>
        </w:tc>
        <w:tc>
          <w:tcPr>
            <w:tcW w:w="1980"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14.09.1999</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02.10.1999</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30.10.1999</w:t>
            </w:r>
          </w:p>
        </w:tc>
      </w:tr>
      <w:tr w:rsidR="00A34FB0" w:rsidRPr="0013362C">
        <w:tc>
          <w:tcPr>
            <w:tcW w:w="1982" w:type="dxa"/>
          </w:tcPr>
          <w:p w:rsidR="00A34FB0" w:rsidRPr="0013362C" w:rsidRDefault="00A34FB0" w:rsidP="0013362C">
            <w:pPr>
              <w:jc w:val="both"/>
              <w:rPr>
                <w:rFonts w:ascii="Tahoma" w:hAnsi="Tahoma" w:cs="Tahoma"/>
                <w:sz w:val="20"/>
                <w:szCs w:val="20"/>
              </w:rPr>
            </w:pPr>
            <w:r w:rsidRPr="0013362C">
              <w:rPr>
                <w:rFonts w:ascii="Tahoma" w:hAnsi="Tahoma" w:cs="Tahoma"/>
                <w:sz w:val="20"/>
                <w:szCs w:val="20"/>
              </w:rPr>
              <w:t>0219990380</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1023</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0093</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1017</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3113.35</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5554.70</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150.00</w:t>
            </w:r>
          </w:p>
        </w:tc>
        <w:tc>
          <w:tcPr>
            <w:tcW w:w="1980"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15.01.2001</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14.03.2002</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19.12.2001</w:t>
            </w:r>
          </w:p>
        </w:tc>
      </w:tr>
      <w:tr w:rsidR="00A34FB0" w:rsidRPr="0013362C">
        <w:tc>
          <w:tcPr>
            <w:tcW w:w="1982" w:type="dxa"/>
          </w:tcPr>
          <w:p w:rsidR="00A34FB0" w:rsidRPr="0013362C" w:rsidRDefault="00A34FB0" w:rsidP="0013362C">
            <w:pPr>
              <w:jc w:val="both"/>
              <w:rPr>
                <w:rFonts w:ascii="Tahoma" w:hAnsi="Tahoma" w:cs="Tahoma"/>
                <w:sz w:val="20"/>
                <w:szCs w:val="20"/>
              </w:rPr>
            </w:pPr>
            <w:r w:rsidRPr="0013362C">
              <w:rPr>
                <w:rFonts w:ascii="Tahoma" w:hAnsi="Tahoma" w:cs="Tahoma"/>
                <w:sz w:val="20"/>
                <w:szCs w:val="20"/>
              </w:rPr>
              <w:t>021990064</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0608</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0616</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0607</w:t>
            </w:r>
          </w:p>
        </w:tc>
        <w:tc>
          <w:tcPr>
            <w:tcW w:w="1979"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150.00</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7206.00</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11034.00</w:t>
            </w:r>
          </w:p>
        </w:tc>
        <w:tc>
          <w:tcPr>
            <w:tcW w:w="1980" w:type="dxa"/>
          </w:tcPr>
          <w:p w:rsidR="00A34FB0" w:rsidRPr="0013362C" w:rsidRDefault="00A34FB0" w:rsidP="0013362C">
            <w:pPr>
              <w:jc w:val="center"/>
              <w:rPr>
                <w:rFonts w:ascii="Tahoma" w:hAnsi="Tahoma" w:cs="Tahoma"/>
                <w:sz w:val="20"/>
                <w:szCs w:val="20"/>
              </w:rPr>
            </w:pPr>
            <w:r w:rsidRPr="0013362C">
              <w:rPr>
                <w:rFonts w:ascii="Tahoma" w:hAnsi="Tahoma" w:cs="Tahoma"/>
                <w:sz w:val="20"/>
                <w:szCs w:val="20"/>
              </w:rPr>
              <w:t>30.10.1999</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18.11.1999</w:t>
            </w:r>
          </w:p>
          <w:p w:rsidR="00A34FB0" w:rsidRPr="0013362C" w:rsidRDefault="00A34FB0" w:rsidP="0013362C">
            <w:pPr>
              <w:jc w:val="center"/>
              <w:rPr>
                <w:rFonts w:ascii="Tahoma" w:hAnsi="Tahoma" w:cs="Tahoma"/>
                <w:sz w:val="20"/>
                <w:szCs w:val="20"/>
              </w:rPr>
            </w:pPr>
            <w:r w:rsidRPr="0013362C">
              <w:rPr>
                <w:rFonts w:ascii="Tahoma" w:hAnsi="Tahoma" w:cs="Tahoma"/>
                <w:sz w:val="20"/>
                <w:szCs w:val="20"/>
              </w:rPr>
              <w:t>30.10.1999</w:t>
            </w:r>
          </w:p>
          <w:p w:rsidR="00A34FB0" w:rsidRPr="0013362C" w:rsidRDefault="00A34FB0" w:rsidP="0013362C">
            <w:pPr>
              <w:jc w:val="center"/>
              <w:rPr>
                <w:rFonts w:ascii="Tahoma" w:hAnsi="Tahoma" w:cs="Tahoma"/>
                <w:b/>
                <w:sz w:val="20"/>
                <w:szCs w:val="20"/>
              </w:rPr>
            </w:pPr>
          </w:p>
        </w:tc>
      </w:tr>
    </w:tbl>
    <w:p w:rsidR="00A34FB0" w:rsidRPr="0013362C" w:rsidRDefault="00A34FB0" w:rsidP="0013362C">
      <w:pPr>
        <w:ind w:left="454"/>
        <w:jc w:val="both"/>
        <w:rPr>
          <w:rFonts w:ascii="Tahoma" w:hAnsi="Tahoma" w:cs="Tahoma"/>
          <w:b/>
          <w:sz w:val="20"/>
          <w:szCs w:val="20"/>
        </w:rPr>
      </w:pPr>
    </w:p>
    <w:p w:rsidR="00A34FB0" w:rsidRPr="0013362C" w:rsidRDefault="00A34FB0" w:rsidP="0013362C">
      <w:pPr>
        <w:ind w:left="454"/>
        <w:jc w:val="both"/>
        <w:rPr>
          <w:rFonts w:ascii="Tahoma" w:hAnsi="Tahoma" w:cs="Tahoma"/>
          <w:b/>
          <w:sz w:val="20"/>
          <w:szCs w:val="20"/>
        </w:rPr>
      </w:pPr>
      <w:r w:rsidRPr="0013362C">
        <w:rPr>
          <w:rFonts w:ascii="Tahoma" w:hAnsi="Tahoma" w:cs="Tahoma"/>
          <w:sz w:val="20"/>
          <w:szCs w:val="20"/>
        </w:rPr>
        <w:t xml:space="preserve">En las cuales no aparece los comprobantes cuestionados; por lo que se evidencia que </w:t>
      </w:r>
      <w:r w:rsidRPr="0013362C">
        <w:rPr>
          <w:rFonts w:ascii="Tahoma" w:hAnsi="Tahoma" w:cs="Tahoma"/>
          <w:sz w:val="20"/>
          <w:szCs w:val="20"/>
          <w:lang w:val="es-PE"/>
        </w:rPr>
        <w:t xml:space="preserve">las </w:t>
      </w:r>
      <w:r w:rsidRPr="0013362C">
        <w:rPr>
          <w:rFonts w:ascii="Tahoma" w:hAnsi="Tahoma" w:cs="Tahoma"/>
          <w:sz w:val="20"/>
          <w:szCs w:val="20"/>
        </w:rPr>
        <w:t xml:space="preserve">Boletas de Venta N.º 1105, N.º 1111 y N.º 1113 </w:t>
      </w:r>
      <w:r w:rsidRPr="0013362C">
        <w:rPr>
          <w:rFonts w:ascii="Tahoma" w:hAnsi="Tahoma" w:cs="Tahoma"/>
          <w:sz w:val="20"/>
          <w:szCs w:val="20"/>
          <w:lang w:val="es-PE"/>
        </w:rPr>
        <w:t xml:space="preserve">carecen de veracidad, al no haber ejecutado FONCODES-Piura los proyectos señalados en los referidos comprobantes de pago, debido que no existen convenios de financiamientos de tales proyectos. </w:t>
      </w:r>
    </w:p>
    <w:p w:rsidR="00B30ADD" w:rsidRDefault="00B30ADD" w:rsidP="00B30ADD">
      <w:pPr>
        <w:pStyle w:val="Textoindependiente"/>
        <w:widowControl w:val="0"/>
        <w:tabs>
          <w:tab w:val="left" w:pos="2410"/>
        </w:tabs>
        <w:suppressAutoHyphens/>
        <w:spacing w:after="0"/>
        <w:jc w:val="both"/>
        <w:rPr>
          <w:rFonts w:ascii="Tahoma" w:hAnsi="Tahoma" w:cs="Tahoma"/>
          <w:sz w:val="20"/>
          <w:szCs w:val="20"/>
        </w:rPr>
      </w:pPr>
    </w:p>
    <w:p w:rsidR="00A34FB0" w:rsidRPr="0013362C" w:rsidRDefault="00A34FB0" w:rsidP="0013362C">
      <w:pPr>
        <w:pStyle w:val="Textoindependiente"/>
        <w:widowControl w:val="0"/>
        <w:numPr>
          <w:ilvl w:val="0"/>
          <w:numId w:val="12"/>
        </w:numPr>
        <w:tabs>
          <w:tab w:val="left" w:pos="2410"/>
        </w:tabs>
        <w:suppressAutoHyphens/>
        <w:spacing w:after="0"/>
        <w:jc w:val="both"/>
        <w:rPr>
          <w:rFonts w:ascii="Tahoma" w:hAnsi="Tahoma" w:cs="Tahoma"/>
          <w:sz w:val="20"/>
          <w:szCs w:val="20"/>
        </w:rPr>
      </w:pPr>
      <w:r w:rsidRPr="0013362C">
        <w:rPr>
          <w:rFonts w:ascii="Tahoma" w:hAnsi="Tahoma" w:cs="Tahoma"/>
          <w:sz w:val="20"/>
          <w:szCs w:val="20"/>
        </w:rPr>
        <w:t xml:space="preserve">Al respecto, el artículo 42 de </w:t>
      </w:r>
      <w:smartTag w:uri="urn:schemas-microsoft-com:office:smarttags" w:element="PersonName">
        <w:smartTagPr>
          <w:attr w:name="ProductID" w:val="la Ley N"/>
        </w:smartTagPr>
        <w:r w:rsidRPr="0013362C">
          <w:rPr>
            <w:rFonts w:ascii="Tahoma" w:hAnsi="Tahoma" w:cs="Tahoma"/>
            <w:sz w:val="20"/>
            <w:szCs w:val="20"/>
          </w:rPr>
          <w:t>la Ley N</w:t>
        </w:r>
      </w:smartTag>
      <w:r w:rsidRPr="0013362C">
        <w:rPr>
          <w:rFonts w:ascii="Tahoma" w:hAnsi="Tahoma" w:cs="Tahoma"/>
          <w:sz w:val="20"/>
          <w:szCs w:val="20"/>
        </w:rPr>
        <w:t xml:space="preserve">º 27444, Ley del Procedimiento Administrativo General, establece que los documentos presentados en el trámite de un procedimiento administrativo, así como la información contenida en ellos, se presumen verificados por quien hace uso de ellos, así como de su contenido, salvo prueba en contraria. </w:t>
      </w:r>
    </w:p>
    <w:p w:rsidR="00B30ADD" w:rsidRDefault="00B30ADD" w:rsidP="00B30ADD">
      <w:pPr>
        <w:jc w:val="both"/>
        <w:rPr>
          <w:rFonts w:ascii="Tahoma" w:hAnsi="Tahoma" w:cs="Tahoma"/>
          <w:sz w:val="20"/>
          <w:szCs w:val="20"/>
        </w:rPr>
      </w:pPr>
    </w:p>
    <w:p w:rsidR="00A34FB0" w:rsidRPr="0013362C" w:rsidRDefault="00A34FB0" w:rsidP="0013362C">
      <w:pPr>
        <w:numPr>
          <w:ilvl w:val="0"/>
          <w:numId w:val="12"/>
        </w:numPr>
        <w:jc w:val="both"/>
        <w:rPr>
          <w:rFonts w:ascii="Tahoma" w:hAnsi="Tahoma" w:cs="Tahoma"/>
          <w:sz w:val="20"/>
          <w:szCs w:val="20"/>
        </w:rPr>
      </w:pPr>
      <w:r w:rsidRPr="0013362C">
        <w:rPr>
          <w:rFonts w:ascii="Tahoma" w:hAnsi="Tahoma" w:cs="Tahoma"/>
          <w:sz w:val="20"/>
          <w:szCs w:val="20"/>
        </w:rPr>
        <w:t>En ese contexto, luego de haber escuchado los argumentos de defensa del Postor en la audiencia pública, pese a no haber presentado sus descargos en su oportunidad conforme al artículo 299</w:t>
      </w:r>
      <w:r w:rsidRPr="0013362C">
        <w:rPr>
          <w:rStyle w:val="Refdenotaalpie"/>
          <w:rFonts w:ascii="Tahoma" w:hAnsi="Tahoma" w:cs="Tahoma"/>
          <w:sz w:val="20"/>
          <w:szCs w:val="20"/>
        </w:rPr>
        <w:footnoteReference w:id="7"/>
      </w:r>
      <w:r w:rsidRPr="0013362C">
        <w:rPr>
          <w:rFonts w:ascii="Tahoma" w:hAnsi="Tahoma" w:cs="Tahoma"/>
          <w:sz w:val="20"/>
          <w:szCs w:val="20"/>
        </w:rPr>
        <w:t xml:space="preserve"> del Reglamento concordante con los numerales 4 y 5 del artículo 235</w:t>
      </w:r>
      <w:r w:rsidRPr="0013362C">
        <w:rPr>
          <w:rStyle w:val="Refdenotaalpie"/>
          <w:rFonts w:ascii="Tahoma" w:hAnsi="Tahoma" w:cs="Tahoma"/>
          <w:sz w:val="20"/>
          <w:szCs w:val="20"/>
        </w:rPr>
        <w:footnoteReference w:id="8"/>
      </w:r>
      <w:r w:rsidRPr="0013362C">
        <w:rPr>
          <w:rFonts w:ascii="Tahoma" w:hAnsi="Tahoma" w:cs="Tahoma"/>
          <w:sz w:val="20"/>
          <w:szCs w:val="20"/>
        </w:rPr>
        <w:t xml:space="preserve"> de la Ley del Procedimiento Administrativo General, Ley N.º 27444, y siendo evidente las pruebas materiales contenidas en el expediente administrativo; y que no resultan enervadas por la mera versión exculpatoria del Postor de que emitió las Boletas de Venta cuestionadas a terceras personas que lo buscaron en su casa para contar con sus servicios, a quienes ni siquiera puede identificar por sus nombres y/o apellidos ni tampoco señalar las circunstancias de dicha negociación contractual, de acuerdo al análisis </w:t>
      </w:r>
      <w:r w:rsidRPr="0013362C">
        <w:rPr>
          <w:rFonts w:ascii="Tahoma" w:hAnsi="Tahoma" w:cs="Tahoma"/>
          <w:sz w:val="20"/>
          <w:szCs w:val="20"/>
        </w:rPr>
        <w:lastRenderedPageBreak/>
        <w:t xml:space="preserve">realizado, este Colegiado concluye que el Postor ha incurrido en la comisión de la infracción administrativa tipificada </w:t>
      </w:r>
      <w:r w:rsidRPr="0013362C">
        <w:rPr>
          <w:rFonts w:ascii="Tahoma" w:hAnsi="Tahoma" w:cs="Tahoma"/>
          <w:sz w:val="20"/>
          <w:szCs w:val="20"/>
          <w:lang w:val="es-MX"/>
        </w:rPr>
        <w:t>en el numeral 9) del artículo 294 del Reglamento.</w:t>
      </w:r>
    </w:p>
    <w:p w:rsidR="00A34FB0" w:rsidRPr="0013362C" w:rsidRDefault="00A34FB0" w:rsidP="0013362C">
      <w:pPr>
        <w:numPr>
          <w:ilvl w:val="0"/>
          <w:numId w:val="12"/>
        </w:numPr>
        <w:jc w:val="both"/>
        <w:rPr>
          <w:rFonts w:ascii="Tahoma" w:hAnsi="Tahoma" w:cs="Tahoma"/>
          <w:sz w:val="20"/>
          <w:szCs w:val="20"/>
          <w:lang w:val="es-PE"/>
        </w:rPr>
      </w:pPr>
      <w:r w:rsidRPr="0013362C">
        <w:rPr>
          <w:rFonts w:ascii="Tahoma" w:hAnsi="Tahoma" w:cs="Tahoma"/>
          <w:sz w:val="20"/>
          <w:szCs w:val="20"/>
        </w:rPr>
        <w:t>En cuanto a la sanción imponible, el Reglamento prevé que la sanción administrativa de inhabilitación para ser postor y contratar con el Estado por la presentación de documentos falsos o inexactos oscila entre tres (3) meses y un (1) año.</w:t>
      </w:r>
    </w:p>
    <w:p w:rsidR="00B30ADD" w:rsidRPr="00B30ADD" w:rsidRDefault="00B30ADD" w:rsidP="00B30ADD">
      <w:pPr>
        <w:tabs>
          <w:tab w:val="num" w:pos="540"/>
        </w:tabs>
        <w:jc w:val="both"/>
        <w:rPr>
          <w:rFonts w:ascii="Tahoma" w:hAnsi="Tahoma" w:cs="Tahoma"/>
          <w:b/>
          <w:sz w:val="20"/>
          <w:szCs w:val="20"/>
        </w:rPr>
      </w:pPr>
    </w:p>
    <w:p w:rsidR="00A34FB0" w:rsidRPr="0013362C" w:rsidRDefault="00A34FB0" w:rsidP="0013362C">
      <w:pPr>
        <w:numPr>
          <w:ilvl w:val="0"/>
          <w:numId w:val="12"/>
        </w:numPr>
        <w:tabs>
          <w:tab w:val="num" w:pos="540"/>
        </w:tabs>
        <w:jc w:val="both"/>
        <w:rPr>
          <w:rFonts w:ascii="Tahoma" w:hAnsi="Tahoma" w:cs="Tahoma"/>
          <w:b/>
          <w:sz w:val="20"/>
          <w:szCs w:val="20"/>
        </w:rPr>
      </w:pPr>
      <w:r w:rsidRPr="0013362C">
        <w:rPr>
          <w:rFonts w:ascii="Tahoma" w:hAnsi="Tahoma" w:cs="Tahoma"/>
          <w:sz w:val="20"/>
          <w:szCs w:val="20"/>
        </w:rPr>
        <w:t xml:space="preserve">Asimismo, se debe tener en cuenta el </w:t>
      </w:r>
      <w:r w:rsidRPr="0013362C">
        <w:rPr>
          <w:rFonts w:ascii="Tahoma" w:hAnsi="Tahoma" w:cs="Tahoma"/>
          <w:i/>
          <w:sz w:val="20"/>
          <w:szCs w:val="20"/>
        </w:rPr>
        <w:t>Principio de Razonabilidad</w:t>
      </w:r>
      <w:r w:rsidRPr="0013362C">
        <w:rPr>
          <w:rFonts w:ascii="Tahoma" w:hAnsi="Tahoma" w:cs="Tahoma"/>
          <w:sz w:val="20"/>
          <w:szCs w:val="20"/>
          <w:vertAlign w:val="superscript"/>
        </w:rPr>
        <w:footnoteReference w:id="9"/>
      </w:r>
      <w:r w:rsidRPr="0013362C">
        <w:rPr>
          <w:rFonts w:ascii="Tahoma" w:hAnsi="Tahoma" w:cs="Tahoma"/>
          <w:sz w:val="20"/>
          <w:szCs w:val="20"/>
        </w:rPr>
        <w:t xml:space="preserve"> previsto en el numeral 3 del artículo 230 de </w:t>
      </w:r>
      <w:smartTag w:uri="urn:schemas-microsoft-com:office:smarttags" w:element="PersonName">
        <w:smartTagPr>
          <w:attr w:name="ProductID" w:val="la Ley N.ﾺ"/>
        </w:smartTagPr>
        <w:r w:rsidRPr="0013362C">
          <w:rPr>
            <w:rFonts w:ascii="Tahoma" w:hAnsi="Tahoma" w:cs="Tahoma"/>
            <w:sz w:val="20"/>
            <w:szCs w:val="20"/>
          </w:rPr>
          <w:t>la Ley N.º</w:t>
        </w:r>
      </w:smartTag>
      <w:r w:rsidRPr="0013362C">
        <w:rPr>
          <w:rFonts w:ascii="Tahoma" w:hAnsi="Tahoma" w:cs="Tahoma"/>
          <w:sz w:val="20"/>
          <w:szCs w:val="20"/>
        </w:rPr>
        <w:t xml:space="preserve"> 27444, el cual establece que la determinación 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criterios que serán tomados en cuenta al momento de graduar la sanción a imponer al Postor, en concordancia con el artículo 302 del Reglamento que prevé la determinación gradual de la Sanción a imponer.</w:t>
      </w:r>
    </w:p>
    <w:p w:rsidR="00B30ADD" w:rsidRPr="00B30ADD" w:rsidRDefault="00B30ADD" w:rsidP="00B30ADD">
      <w:pPr>
        <w:jc w:val="both"/>
        <w:rPr>
          <w:rFonts w:ascii="Tahoma" w:hAnsi="Tahoma" w:cs="Tahoma"/>
          <w:sz w:val="20"/>
          <w:szCs w:val="20"/>
          <w:lang w:val="es-MX"/>
        </w:rPr>
      </w:pPr>
    </w:p>
    <w:p w:rsidR="00A34FB0" w:rsidRPr="0013362C" w:rsidRDefault="00A34FB0" w:rsidP="0013362C">
      <w:pPr>
        <w:numPr>
          <w:ilvl w:val="0"/>
          <w:numId w:val="12"/>
        </w:numPr>
        <w:jc w:val="both"/>
        <w:rPr>
          <w:rFonts w:ascii="Tahoma" w:hAnsi="Tahoma" w:cs="Tahoma"/>
          <w:sz w:val="20"/>
          <w:szCs w:val="20"/>
          <w:lang w:val="es-MX"/>
        </w:rPr>
      </w:pPr>
      <w:r w:rsidRPr="0013362C">
        <w:rPr>
          <w:rFonts w:ascii="Tahoma" w:hAnsi="Tahoma" w:cs="Tahoma"/>
          <w:sz w:val="20"/>
          <w:szCs w:val="20"/>
          <w:lang w:val="es-PE"/>
        </w:rPr>
        <w:t>En consecuencia, a</w:t>
      </w:r>
      <w:r w:rsidRPr="0013362C">
        <w:rPr>
          <w:rFonts w:ascii="Tahoma" w:hAnsi="Tahoma" w:cs="Tahoma"/>
          <w:sz w:val="20"/>
          <w:szCs w:val="20"/>
        </w:rPr>
        <w:t xml:space="preserve"> efectos de gradua</w:t>
      </w:r>
      <w:r w:rsidRPr="0013362C">
        <w:rPr>
          <w:rStyle w:val="TextoindependienteCar"/>
          <w:rFonts w:ascii="Tahoma" w:hAnsi="Tahoma" w:cs="Tahoma"/>
          <w:sz w:val="20"/>
          <w:szCs w:val="20"/>
        </w:rPr>
        <w:t xml:space="preserve">r </w:t>
      </w:r>
      <w:r w:rsidRPr="0013362C">
        <w:rPr>
          <w:rFonts w:ascii="Tahoma" w:hAnsi="Tahoma" w:cs="Tahoma"/>
          <w:sz w:val="20"/>
          <w:szCs w:val="20"/>
        </w:rPr>
        <w:t xml:space="preserve">la  sanción  a  imponer, según los criterios consignados en el artículo 302º del Reglamento, entre ellos, la intencionalidad del infractor, la naturaleza de la infracción, la reiterancia, las condiciones del infractor y la conducta procesal del mismo, se debe tener en cuenta en el presente caso el daño causado a la Entidad por ocasionar retraso en el cumplimiento de sus fines, la indiferencia en la conducta procesal del Postor; al </w:t>
      </w:r>
      <w:r w:rsidRPr="0013362C">
        <w:rPr>
          <w:rFonts w:ascii="Tahoma" w:hAnsi="Tahoma" w:cs="Tahoma"/>
          <w:bCs/>
          <w:sz w:val="20"/>
          <w:szCs w:val="20"/>
        </w:rPr>
        <w:t>no presentado sus descargos que desvirtúen lo imputado por la Entidad</w:t>
      </w:r>
      <w:r w:rsidRPr="0013362C">
        <w:rPr>
          <w:rFonts w:ascii="Tahoma" w:hAnsi="Tahoma" w:cs="Tahoma"/>
          <w:sz w:val="20"/>
          <w:szCs w:val="20"/>
        </w:rPr>
        <w:t>.</w:t>
      </w:r>
      <w:r w:rsidRPr="0013362C">
        <w:rPr>
          <w:rFonts w:ascii="Tahoma" w:hAnsi="Tahoma" w:cs="Tahoma"/>
          <w:b/>
          <w:sz w:val="20"/>
          <w:szCs w:val="20"/>
        </w:rPr>
        <w:t xml:space="preserve"> </w:t>
      </w:r>
      <w:r w:rsidRPr="0013362C">
        <w:rPr>
          <w:rFonts w:ascii="Tahoma" w:hAnsi="Tahoma" w:cs="Tahoma"/>
          <w:sz w:val="20"/>
          <w:szCs w:val="20"/>
        </w:rPr>
        <w:t>Por otro lado, también debe considerarse que el Postor no tiene antecedentes de haber sido sancionado administrativamente por alguna infracción a las normas que regulan las contrataciones públicas</w:t>
      </w:r>
      <w:r w:rsidRPr="0013362C">
        <w:rPr>
          <w:rFonts w:ascii="Tahoma" w:hAnsi="Tahoma" w:cs="Tahoma"/>
          <w:bCs/>
          <w:sz w:val="20"/>
          <w:szCs w:val="20"/>
        </w:rPr>
        <w:t>.</w:t>
      </w:r>
    </w:p>
    <w:p w:rsidR="00B30ADD" w:rsidRPr="00B30ADD" w:rsidRDefault="00B30ADD" w:rsidP="00B30ADD">
      <w:pPr>
        <w:jc w:val="both"/>
        <w:rPr>
          <w:rFonts w:ascii="Tahoma" w:hAnsi="Tahoma" w:cs="Tahoma"/>
          <w:sz w:val="20"/>
          <w:szCs w:val="20"/>
          <w:lang w:val="es-PE"/>
        </w:rPr>
      </w:pPr>
    </w:p>
    <w:p w:rsidR="00A34FB0" w:rsidRPr="0013362C" w:rsidRDefault="00A34FB0" w:rsidP="0013362C">
      <w:pPr>
        <w:numPr>
          <w:ilvl w:val="0"/>
          <w:numId w:val="12"/>
        </w:numPr>
        <w:jc w:val="both"/>
        <w:rPr>
          <w:rFonts w:ascii="Tahoma" w:hAnsi="Tahoma" w:cs="Tahoma"/>
          <w:sz w:val="20"/>
          <w:szCs w:val="20"/>
          <w:lang w:val="es-PE"/>
        </w:rPr>
      </w:pPr>
      <w:r w:rsidRPr="0013362C">
        <w:rPr>
          <w:rFonts w:ascii="Tahoma" w:hAnsi="Tahoma" w:cs="Tahoma"/>
          <w:sz w:val="20"/>
          <w:szCs w:val="20"/>
        </w:rPr>
        <w:t xml:space="preserve">Es </w:t>
      </w:r>
      <w:r w:rsidRPr="0013362C">
        <w:rPr>
          <w:rStyle w:val="TextoindependienteCar"/>
          <w:rFonts w:ascii="Tahoma" w:hAnsi="Tahoma" w:cs="Tahoma"/>
          <w:sz w:val="20"/>
          <w:szCs w:val="20"/>
        </w:rPr>
        <w:t>pertinente indicar que la presentación de documentos falsos constituye un ilícito penal, previsto y sancionado en el artículo 427º</w:t>
      </w:r>
      <w:r w:rsidRPr="0013362C">
        <w:rPr>
          <w:rFonts w:ascii="Tahoma" w:hAnsi="Tahoma" w:cs="Tahoma"/>
          <w:sz w:val="20"/>
          <w:szCs w:val="20"/>
        </w:rPr>
        <w:t xml:space="preserve"> </w:t>
      </w:r>
      <w:r w:rsidRPr="0013362C">
        <w:rPr>
          <w:rStyle w:val="TextoindependienteCar"/>
          <w:rFonts w:ascii="Tahoma" w:hAnsi="Tahoma" w:cs="Tahoma"/>
          <w:sz w:val="20"/>
          <w:szCs w:val="20"/>
        </w:rPr>
        <w:t>del Código Penal, el cual tutela como bien jurídico la fe pública y la funcionalidad del documento en el tráfico jurídico y trata de evitar perjuicios que afecten la confiabilidad especialmente en las adquisiciones que realiza el Estado, motivo por el cual</w:t>
      </w:r>
      <w:r w:rsidRPr="0013362C">
        <w:rPr>
          <w:rFonts w:ascii="Tahoma" w:hAnsi="Tahoma" w:cs="Tahoma"/>
          <w:sz w:val="20"/>
          <w:szCs w:val="20"/>
          <w:lang w:val="es-PE"/>
        </w:rPr>
        <w:t xml:space="preserve"> este Colegiado considera pertinente remitir los actuados a </w:t>
      </w:r>
      <w:smartTag w:uri="urn:schemas-microsoft-com:office:smarttags" w:element="PersonName">
        <w:smartTagPr>
          <w:attr w:name="ProductID" w:val="la Presidencia"/>
        </w:smartTagPr>
        <w:r w:rsidRPr="0013362C">
          <w:rPr>
            <w:rFonts w:ascii="Tahoma" w:hAnsi="Tahoma" w:cs="Tahoma"/>
            <w:sz w:val="20"/>
            <w:szCs w:val="20"/>
            <w:lang w:val="es-PE"/>
          </w:rPr>
          <w:t>la Presidencia</w:t>
        </w:r>
      </w:smartTag>
      <w:r w:rsidRPr="0013362C">
        <w:rPr>
          <w:rFonts w:ascii="Tahoma" w:hAnsi="Tahoma" w:cs="Tahoma"/>
          <w:sz w:val="20"/>
          <w:szCs w:val="20"/>
          <w:lang w:val="es-PE"/>
        </w:rPr>
        <w:t xml:space="preserve"> del Consejo Superior de Contrataciones y Adquisiciones del Estado (CONSUCODE), para que en uso de sus atribuciones, adopte las medidas legales correspondientes.</w:t>
      </w:r>
    </w:p>
    <w:p w:rsidR="00E51D05" w:rsidRPr="0013362C" w:rsidRDefault="00E51D05" w:rsidP="0013362C">
      <w:pPr>
        <w:tabs>
          <w:tab w:val="num" w:pos="360"/>
        </w:tabs>
        <w:ind w:left="-180" w:firstLine="180"/>
        <w:jc w:val="both"/>
        <w:rPr>
          <w:rFonts w:ascii="Tahoma" w:hAnsi="Tahoma" w:cs="Tahoma"/>
          <w:sz w:val="20"/>
          <w:szCs w:val="20"/>
        </w:rPr>
      </w:pPr>
    </w:p>
    <w:p w:rsidR="00DE2548" w:rsidRPr="0013362C" w:rsidRDefault="00E51D05" w:rsidP="0013362C">
      <w:pPr>
        <w:tabs>
          <w:tab w:val="num" w:pos="360"/>
        </w:tabs>
        <w:jc w:val="both"/>
        <w:rPr>
          <w:rFonts w:ascii="Tahoma" w:hAnsi="Tahoma" w:cs="Tahoma"/>
          <w:sz w:val="20"/>
          <w:szCs w:val="20"/>
        </w:rPr>
      </w:pPr>
      <w:r w:rsidRPr="0013362C">
        <w:rPr>
          <w:rFonts w:ascii="Tahoma" w:hAnsi="Tahoma" w:cs="Tahoma"/>
          <w:sz w:val="20"/>
          <w:szCs w:val="20"/>
        </w:rPr>
        <w:t>Por estos fundamentos, de conformidad con el informe del Vocal Ponente doctor</w:t>
      </w:r>
      <w:r w:rsidR="00792C05" w:rsidRPr="0013362C">
        <w:rPr>
          <w:rFonts w:ascii="Tahoma" w:hAnsi="Tahoma" w:cs="Tahoma"/>
          <w:sz w:val="20"/>
          <w:szCs w:val="20"/>
        </w:rPr>
        <w:t xml:space="preserve"> Carlos Vicente Navas Rondón</w:t>
      </w:r>
      <w:r w:rsidRPr="0013362C">
        <w:rPr>
          <w:rFonts w:ascii="Tahoma" w:hAnsi="Tahoma" w:cs="Tahoma"/>
          <w:sz w:val="20"/>
          <w:szCs w:val="20"/>
        </w:rPr>
        <w:t>, con la intervención de los doctores Juan Carlos Valdivia Huaringa y</w:t>
      </w:r>
      <w:r w:rsidR="00CE1EFF" w:rsidRPr="0013362C">
        <w:rPr>
          <w:rFonts w:ascii="Tahoma" w:hAnsi="Tahoma" w:cs="Tahoma"/>
          <w:sz w:val="20"/>
          <w:szCs w:val="20"/>
        </w:rPr>
        <w:t xml:space="preserve"> Janette Elke Ramírez Maynetto,</w:t>
      </w:r>
      <w:r w:rsidR="006C3A87" w:rsidRPr="0013362C">
        <w:rPr>
          <w:rFonts w:ascii="Tahoma" w:hAnsi="Tahoma" w:cs="Tahoma"/>
          <w:sz w:val="20"/>
          <w:szCs w:val="20"/>
        </w:rPr>
        <w:t xml:space="preserve"> </w:t>
      </w:r>
      <w:r w:rsidRPr="0013362C">
        <w:rPr>
          <w:rFonts w:ascii="Tahoma" w:hAnsi="Tahoma" w:cs="Tahoma"/>
          <w:sz w:val="20"/>
          <w:szCs w:val="20"/>
        </w:rPr>
        <w:t xml:space="preserve">atendiendo a la reconformación de la Tercera Sala del Tribunal de Contrataciones y Adquisiciones del Estado, según lo dispuesto en la Resolución N.º 279-2007-CONSUCODE/PRE de fecha 21 de mayo de 2007, y de conformidad con las facultades </w:t>
      </w:r>
      <w:r w:rsidRPr="0013362C">
        <w:rPr>
          <w:rFonts w:ascii="Tahoma" w:hAnsi="Tahoma" w:cs="Tahoma"/>
          <w:sz w:val="20"/>
          <w:szCs w:val="20"/>
        </w:rPr>
        <w:lastRenderedPageBreak/>
        <w:t>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r w:rsidR="006C3A87" w:rsidRPr="0013362C">
        <w:rPr>
          <w:rFonts w:ascii="Tahoma" w:hAnsi="Tahoma" w:cs="Tahoma"/>
          <w:sz w:val="20"/>
          <w:szCs w:val="20"/>
        </w:rPr>
        <w:t>;</w:t>
      </w:r>
    </w:p>
    <w:p w:rsidR="006C3A87" w:rsidRPr="0013362C" w:rsidRDefault="006C3A87" w:rsidP="0013362C">
      <w:pPr>
        <w:tabs>
          <w:tab w:val="num" w:pos="360"/>
        </w:tabs>
        <w:jc w:val="both"/>
        <w:rPr>
          <w:rFonts w:ascii="Tahoma" w:hAnsi="Tahoma" w:cs="Tahoma"/>
          <w:b/>
          <w:shadow/>
          <w:sz w:val="20"/>
          <w:szCs w:val="20"/>
        </w:rPr>
      </w:pPr>
    </w:p>
    <w:p w:rsidR="00FD5D55" w:rsidRPr="0013362C" w:rsidRDefault="00FD5D55" w:rsidP="0013362C">
      <w:pPr>
        <w:tabs>
          <w:tab w:val="num" w:pos="360"/>
        </w:tabs>
        <w:ind w:left="-180" w:firstLine="180"/>
        <w:jc w:val="both"/>
        <w:rPr>
          <w:rFonts w:ascii="Tahoma" w:hAnsi="Tahoma" w:cs="Tahoma"/>
          <w:b/>
          <w:shadow/>
          <w:sz w:val="20"/>
          <w:szCs w:val="20"/>
        </w:rPr>
      </w:pPr>
      <w:r w:rsidRPr="0013362C">
        <w:rPr>
          <w:rFonts w:ascii="Tahoma" w:hAnsi="Tahoma" w:cs="Tahoma"/>
          <w:b/>
          <w:shadow/>
          <w:sz w:val="20"/>
          <w:szCs w:val="20"/>
        </w:rPr>
        <w:t>LA SALA RESUELVE:</w:t>
      </w:r>
    </w:p>
    <w:p w:rsidR="008F5E4C" w:rsidRPr="0013362C" w:rsidRDefault="008F5E4C" w:rsidP="0013362C">
      <w:pPr>
        <w:autoSpaceDE w:val="0"/>
        <w:autoSpaceDN w:val="0"/>
        <w:adjustRightInd w:val="0"/>
        <w:jc w:val="both"/>
        <w:rPr>
          <w:rFonts w:ascii="Tahoma" w:hAnsi="Tahoma" w:cs="Tahoma"/>
          <w:b/>
          <w:sz w:val="20"/>
          <w:szCs w:val="20"/>
        </w:rPr>
      </w:pPr>
    </w:p>
    <w:p w:rsidR="005C334A" w:rsidRPr="0013362C" w:rsidRDefault="005C334A" w:rsidP="0013362C">
      <w:pPr>
        <w:tabs>
          <w:tab w:val="left" w:pos="360"/>
        </w:tabs>
        <w:jc w:val="both"/>
        <w:rPr>
          <w:rFonts w:ascii="Tahoma" w:hAnsi="Tahoma" w:cs="Tahoma"/>
          <w:sz w:val="20"/>
          <w:szCs w:val="20"/>
        </w:rPr>
      </w:pPr>
    </w:p>
    <w:p w:rsidR="005C334A" w:rsidRPr="0013362C" w:rsidRDefault="005C334A" w:rsidP="0013362C">
      <w:pPr>
        <w:numPr>
          <w:ilvl w:val="0"/>
          <w:numId w:val="8"/>
        </w:numPr>
        <w:jc w:val="both"/>
        <w:rPr>
          <w:rFonts w:ascii="Tahoma" w:hAnsi="Tahoma" w:cs="Tahoma"/>
          <w:sz w:val="20"/>
          <w:szCs w:val="20"/>
        </w:rPr>
      </w:pPr>
      <w:r w:rsidRPr="0013362C">
        <w:rPr>
          <w:rFonts w:ascii="Tahoma" w:hAnsi="Tahoma" w:cs="Tahoma"/>
          <w:sz w:val="20"/>
          <w:szCs w:val="20"/>
        </w:rPr>
        <w:t xml:space="preserve">SANCIONAR al señor </w:t>
      </w:r>
      <w:r w:rsidRPr="0013362C">
        <w:rPr>
          <w:rFonts w:ascii="Tahoma" w:hAnsi="Tahoma" w:cs="Tahoma"/>
          <w:sz w:val="20"/>
          <w:szCs w:val="20"/>
          <w:lang w:val="es-PE"/>
        </w:rPr>
        <w:t xml:space="preserve">Miguel Augusto Ruiz Correa </w:t>
      </w:r>
      <w:r w:rsidRPr="0013362C">
        <w:rPr>
          <w:rFonts w:ascii="Tahoma" w:hAnsi="Tahoma" w:cs="Tahoma"/>
          <w:sz w:val="20"/>
          <w:szCs w:val="20"/>
        </w:rPr>
        <w:t>por un periodo de diez (10) meses de inhabilitación temporal para participar en procesos de selección y contratar con el Estado, por la presentación de documentación con información falsa, infracción prevista en el numeral 9) del artículo 294 del Reglamento, sanción que entrará en vigencia a partir del cuarto día hábil siguiente de notificada la Resolución.</w:t>
      </w:r>
    </w:p>
    <w:p w:rsidR="005C334A" w:rsidRPr="0013362C" w:rsidRDefault="005C334A" w:rsidP="0013362C">
      <w:pPr>
        <w:ind w:left="360"/>
        <w:jc w:val="both"/>
        <w:rPr>
          <w:rFonts w:ascii="Tahoma" w:hAnsi="Tahoma" w:cs="Tahoma"/>
          <w:sz w:val="20"/>
          <w:szCs w:val="20"/>
        </w:rPr>
      </w:pPr>
    </w:p>
    <w:p w:rsidR="005C334A" w:rsidRPr="0013362C" w:rsidRDefault="005C334A" w:rsidP="0013362C">
      <w:pPr>
        <w:numPr>
          <w:ilvl w:val="0"/>
          <w:numId w:val="8"/>
        </w:numPr>
        <w:jc w:val="both"/>
        <w:rPr>
          <w:rFonts w:ascii="Tahoma" w:hAnsi="Tahoma" w:cs="Tahoma"/>
          <w:sz w:val="20"/>
          <w:szCs w:val="20"/>
        </w:rPr>
      </w:pPr>
      <w:r w:rsidRPr="0013362C">
        <w:rPr>
          <w:rFonts w:ascii="Tahoma" w:hAnsi="Tahoma" w:cs="Tahoma"/>
          <w:sz w:val="20"/>
          <w:szCs w:val="20"/>
        </w:rPr>
        <w:t>Poner la presente Resolución en conocimiento de la Subdirección del Registro Nacional de Proveedores, para las anotaciones de Ley.</w:t>
      </w:r>
    </w:p>
    <w:p w:rsidR="005C334A" w:rsidRPr="0013362C" w:rsidRDefault="005C334A" w:rsidP="0013362C">
      <w:pPr>
        <w:jc w:val="both"/>
        <w:rPr>
          <w:rFonts w:ascii="Tahoma" w:hAnsi="Tahoma" w:cs="Tahoma"/>
          <w:sz w:val="20"/>
          <w:szCs w:val="20"/>
        </w:rPr>
      </w:pPr>
    </w:p>
    <w:p w:rsidR="005C334A" w:rsidRPr="0013362C" w:rsidRDefault="005C334A" w:rsidP="0013362C">
      <w:pPr>
        <w:numPr>
          <w:ilvl w:val="0"/>
          <w:numId w:val="8"/>
        </w:numPr>
        <w:jc w:val="both"/>
        <w:rPr>
          <w:rFonts w:ascii="Tahoma" w:hAnsi="Tahoma" w:cs="Tahoma"/>
          <w:sz w:val="20"/>
          <w:szCs w:val="20"/>
        </w:rPr>
      </w:pPr>
      <w:r w:rsidRPr="0013362C">
        <w:rPr>
          <w:rFonts w:ascii="Tahoma" w:hAnsi="Tahoma" w:cs="Tahoma"/>
          <w:sz w:val="20"/>
          <w:szCs w:val="20"/>
        </w:rPr>
        <w:t xml:space="preserve">Poner la presente Resolución en conocimiento de la </w:t>
      </w:r>
      <w:r w:rsidRPr="0013362C">
        <w:rPr>
          <w:rFonts w:ascii="Tahoma" w:hAnsi="Tahoma" w:cs="Tahoma"/>
          <w:sz w:val="20"/>
          <w:szCs w:val="20"/>
          <w:lang w:val="es-PE"/>
        </w:rPr>
        <w:t>Presidencia del Consejo Superior de Contrataciones y Adquisiciones del Estado (CONSUCODE), para que en uso de sus atribuciones, adopte las medidas legales correspondientes</w:t>
      </w:r>
      <w:r w:rsidRPr="0013362C">
        <w:rPr>
          <w:rFonts w:ascii="Tahoma" w:hAnsi="Tahoma" w:cs="Tahoma"/>
          <w:sz w:val="20"/>
          <w:szCs w:val="20"/>
        </w:rPr>
        <w:t xml:space="preserve">. </w:t>
      </w:r>
    </w:p>
    <w:p w:rsidR="00E74AF3" w:rsidRPr="0013362C" w:rsidRDefault="00E74AF3" w:rsidP="0013362C">
      <w:pPr>
        <w:pStyle w:val="Textoindependiente"/>
        <w:tabs>
          <w:tab w:val="num" w:pos="540"/>
          <w:tab w:val="left" w:pos="2410"/>
        </w:tabs>
        <w:ind w:left="540" w:hanging="540"/>
        <w:jc w:val="both"/>
        <w:rPr>
          <w:rFonts w:ascii="Tahoma" w:hAnsi="Tahoma" w:cs="Tahoma"/>
          <w:sz w:val="20"/>
          <w:szCs w:val="20"/>
        </w:rPr>
      </w:pPr>
    </w:p>
    <w:p w:rsidR="008F5E4C" w:rsidRPr="0013362C" w:rsidRDefault="008F5E4C" w:rsidP="0013362C">
      <w:pPr>
        <w:pStyle w:val="Textoindependiente"/>
        <w:tabs>
          <w:tab w:val="num" w:pos="540"/>
          <w:tab w:val="left" w:pos="2410"/>
        </w:tabs>
        <w:ind w:left="540" w:hanging="540"/>
        <w:jc w:val="both"/>
        <w:rPr>
          <w:rFonts w:ascii="Tahoma" w:hAnsi="Tahoma" w:cs="Tahoma"/>
          <w:sz w:val="20"/>
          <w:szCs w:val="20"/>
        </w:rPr>
      </w:pPr>
      <w:r w:rsidRPr="0013362C">
        <w:rPr>
          <w:rFonts w:ascii="Tahoma" w:hAnsi="Tahoma" w:cs="Tahoma"/>
          <w:sz w:val="20"/>
          <w:szCs w:val="20"/>
        </w:rPr>
        <w:t>Regístrese, comuníquese y publíquese.</w:t>
      </w:r>
    </w:p>
    <w:p w:rsidR="00FD5D55" w:rsidRPr="0013362C" w:rsidRDefault="00FD5D55" w:rsidP="0013362C">
      <w:pPr>
        <w:autoSpaceDE w:val="0"/>
        <w:autoSpaceDN w:val="0"/>
        <w:adjustRightInd w:val="0"/>
        <w:ind w:left="1080"/>
        <w:jc w:val="both"/>
        <w:rPr>
          <w:rFonts w:ascii="Tahoma" w:hAnsi="Tahoma" w:cs="Tahoma"/>
          <w:sz w:val="20"/>
          <w:szCs w:val="20"/>
        </w:rPr>
      </w:pPr>
    </w:p>
    <w:p w:rsidR="00116635" w:rsidRPr="0013362C" w:rsidRDefault="00116635" w:rsidP="0013362C">
      <w:pPr>
        <w:autoSpaceDE w:val="0"/>
        <w:autoSpaceDN w:val="0"/>
        <w:adjustRightInd w:val="0"/>
        <w:ind w:left="1080"/>
        <w:jc w:val="both"/>
        <w:rPr>
          <w:rFonts w:ascii="Tahoma" w:hAnsi="Tahoma" w:cs="Tahoma"/>
          <w:sz w:val="20"/>
          <w:szCs w:val="20"/>
        </w:rPr>
      </w:pPr>
    </w:p>
    <w:p w:rsidR="00F8312D" w:rsidRPr="0013362C" w:rsidRDefault="00F8312D" w:rsidP="0013362C">
      <w:pPr>
        <w:autoSpaceDE w:val="0"/>
        <w:autoSpaceDN w:val="0"/>
        <w:adjustRightInd w:val="0"/>
        <w:ind w:left="1080"/>
        <w:jc w:val="both"/>
        <w:rPr>
          <w:rFonts w:ascii="Tahoma" w:hAnsi="Tahoma" w:cs="Tahoma"/>
          <w:sz w:val="20"/>
          <w:szCs w:val="20"/>
        </w:rPr>
      </w:pPr>
    </w:p>
    <w:p w:rsidR="00F8312D" w:rsidRPr="0013362C" w:rsidRDefault="00F8312D" w:rsidP="0013362C">
      <w:pPr>
        <w:autoSpaceDE w:val="0"/>
        <w:autoSpaceDN w:val="0"/>
        <w:adjustRightInd w:val="0"/>
        <w:ind w:left="1080"/>
        <w:jc w:val="both"/>
        <w:rPr>
          <w:rFonts w:ascii="Tahoma" w:hAnsi="Tahoma" w:cs="Tahoma"/>
          <w:sz w:val="20"/>
          <w:szCs w:val="20"/>
        </w:rPr>
      </w:pPr>
    </w:p>
    <w:p w:rsidR="00FD5D55" w:rsidRPr="0013362C" w:rsidRDefault="00FD5D55" w:rsidP="0013362C">
      <w:pPr>
        <w:jc w:val="center"/>
        <w:rPr>
          <w:rFonts w:ascii="Tahoma" w:hAnsi="Tahoma" w:cs="Tahoma"/>
          <w:b/>
          <w:shadow/>
          <w:sz w:val="20"/>
          <w:szCs w:val="20"/>
          <w:lang w:val="pt-BR"/>
        </w:rPr>
      </w:pPr>
      <w:r w:rsidRPr="0013362C">
        <w:rPr>
          <w:rFonts w:ascii="Tahoma" w:hAnsi="Tahoma" w:cs="Tahoma"/>
          <w:b/>
          <w:shadow/>
          <w:sz w:val="20"/>
          <w:szCs w:val="20"/>
          <w:lang w:val="pt-BR"/>
        </w:rPr>
        <w:t>PRESIDENTE</w:t>
      </w:r>
    </w:p>
    <w:p w:rsidR="00FD5D55" w:rsidRPr="0013362C" w:rsidRDefault="00FD5D55" w:rsidP="0013362C">
      <w:pPr>
        <w:jc w:val="center"/>
        <w:rPr>
          <w:rFonts w:ascii="Tahoma" w:hAnsi="Tahoma" w:cs="Tahoma"/>
          <w:b/>
          <w:shadow/>
          <w:sz w:val="20"/>
          <w:szCs w:val="20"/>
          <w:lang w:val="pt-BR"/>
        </w:rPr>
      </w:pPr>
    </w:p>
    <w:p w:rsidR="00116635" w:rsidRPr="0013362C" w:rsidRDefault="00116635" w:rsidP="0013362C">
      <w:pPr>
        <w:rPr>
          <w:rFonts w:ascii="Tahoma" w:hAnsi="Tahoma" w:cs="Tahoma"/>
          <w:b/>
          <w:shadow/>
          <w:sz w:val="20"/>
          <w:szCs w:val="20"/>
          <w:lang w:val="pt-BR"/>
        </w:rPr>
      </w:pPr>
    </w:p>
    <w:p w:rsidR="00E209EB" w:rsidRPr="0013362C" w:rsidRDefault="005E123E" w:rsidP="0013362C">
      <w:pPr>
        <w:rPr>
          <w:rFonts w:ascii="Tahoma" w:hAnsi="Tahoma" w:cs="Tahoma"/>
          <w:b/>
          <w:shadow/>
          <w:sz w:val="20"/>
          <w:szCs w:val="20"/>
          <w:lang w:val="pt-BR"/>
        </w:rPr>
      </w:pPr>
      <w:r w:rsidRPr="0013362C">
        <w:rPr>
          <w:rFonts w:ascii="Tahoma" w:hAnsi="Tahoma" w:cs="Tahoma"/>
          <w:b/>
          <w:shadow/>
          <w:sz w:val="20"/>
          <w:szCs w:val="20"/>
          <w:lang w:val="pt-BR"/>
        </w:rPr>
        <w:t xml:space="preserve">      </w:t>
      </w:r>
    </w:p>
    <w:p w:rsidR="00116635" w:rsidRPr="0013362C" w:rsidRDefault="00116635" w:rsidP="0013362C">
      <w:pPr>
        <w:rPr>
          <w:rFonts w:ascii="Tahoma" w:hAnsi="Tahoma" w:cs="Tahoma"/>
          <w:b/>
          <w:shadow/>
          <w:sz w:val="20"/>
          <w:szCs w:val="20"/>
          <w:lang w:val="pt-BR"/>
        </w:rPr>
      </w:pPr>
    </w:p>
    <w:p w:rsidR="00FD5D55" w:rsidRPr="0013362C" w:rsidRDefault="00116635" w:rsidP="0013362C">
      <w:pPr>
        <w:rPr>
          <w:rFonts w:ascii="Tahoma" w:hAnsi="Tahoma" w:cs="Tahoma"/>
          <w:shadow/>
          <w:sz w:val="20"/>
          <w:szCs w:val="20"/>
          <w:lang w:val="pt-BR"/>
        </w:rPr>
      </w:pPr>
      <w:r w:rsidRPr="0013362C">
        <w:rPr>
          <w:rFonts w:ascii="Tahoma" w:hAnsi="Tahoma" w:cs="Tahoma"/>
          <w:b/>
          <w:shadow/>
          <w:sz w:val="20"/>
          <w:szCs w:val="20"/>
          <w:lang w:val="pt-BR"/>
        </w:rPr>
        <w:t xml:space="preserve">  </w:t>
      </w:r>
      <w:r w:rsidR="005E123E" w:rsidRPr="0013362C">
        <w:rPr>
          <w:rFonts w:ascii="Tahoma" w:hAnsi="Tahoma" w:cs="Tahoma"/>
          <w:b/>
          <w:shadow/>
          <w:sz w:val="20"/>
          <w:szCs w:val="20"/>
          <w:lang w:val="pt-BR"/>
        </w:rPr>
        <w:t xml:space="preserve">                           </w:t>
      </w:r>
      <w:r w:rsidR="00FD5D55" w:rsidRPr="0013362C">
        <w:rPr>
          <w:rFonts w:ascii="Tahoma" w:hAnsi="Tahoma" w:cs="Tahoma"/>
          <w:b/>
          <w:shadow/>
          <w:sz w:val="20"/>
          <w:szCs w:val="20"/>
          <w:lang w:val="pt-BR"/>
        </w:rPr>
        <w:t>VOCAL                                                                   VO</w:t>
      </w:r>
      <w:r w:rsidR="005E123E" w:rsidRPr="0013362C">
        <w:rPr>
          <w:rFonts w:ascii="Tahoma" w:hAnsi="Tahoma" w:cs="Tahoma"/>
          <w:b/>
          <w:shadow/>
          <w:sz w:val="20"/>
          <w:szCs w:val="20"/>
          <w:lang w:val="pt-BR"/>
        </w:rPr>
        <w:t>CAL</w:t>
      </w:r>
    </w:p>
    <w:p w:rsidR="00116635" w:rsidRPr="0013362C" w:rsidRDefault="00116635" w:rsidP="0013362C">
      <w:pPr>
        <w:jc w:val="both"/>
        <w:rPr>
          <w:rFonts w:ascii="Tahoma" w:hAnsi="Tahoma" w:cs="Tahoma"/>
          <w:sz w:val="20"/>
          <w:szCs w:val="20"/>
          <w:lang w:val="pt-BR"/>
        </w:rPr>
      </w:pPr>
    </w:p>
    <w:p w:rsidR="00FD5D55" w:rsidRPr="0013362C" w:rsidRDefault="00FD5D55" w:rsidP="0013362C">
      <w:pPr>
        <w:jc w:val="both"/>
        <w:rPr>
          <w:rFonts w:ascii="Tahoma" w:hAnsi="Tahoma" w:cs="Tahoma"/>
          <w:sz w:val="20"/>
          <w:szCs w:val="20"/>
          <w:lang w:val="pt-BR"/>
        </w:rPr>
      </w:pPr>
      <w:r w:rsidRPr="0013362C">
        <w:rPr>
          <w:rFonts w:ascii="Tahoma" w:hAnsi="Tahoma" w:cs="Tahoma"/>
          <w:sz w:val="20"/>
          <w:szCs w:val="20"/>
          <w:lang w:val="pt-BR"/>
        </w:rPr>
        <w:t>ss.</w:t>
      </w:r>
    </w:p>
    <w:p w:rsidR="00FD5D55" w:rsidRPr="0013362C" w:rsidRDefault="00FD5D55" w:rsidP="0013362C">
      <w:pPr>
        <w:pStyle w:val="Textoindependiente21"/>
        <w:rPr>
          <w:rFonts w:cs="Tahoma"/>
          <w:sz w:val="20"/>
          <w:lang w:val="pt-BR"/>
        </w:rPr>
      </w:pPr>
      <w:r w:rsidRPr="0013362C">
        <w:rPr>
          <w:rFonts w:cs="Tahoma"/>
          <w:sz w:val="20"/>
          <w:lang w:val="pt-BR"/>
        </w:rPr>
        <w:t>Valdivia Huaringa.</w:t>
      </w:r>
    </w:p>
    <w:p w:rsidR="00FD5D55" w:rsidRPr="0013362C" w:rsidRDefault="00FD5D55" w:rsidP="0013362C">
      <w:pPr>
        <w:pStyle w:val="Textoindependiente21"/>
        <w:rPr>
          <w:rFonts w:cs="Tahoma"/>
          <w:sz w:val="20"/>
        </w:rPr>
      </w:pPr>
      <w:r w:rsidRPr="0013362C">
        <w:rPr>
          <w:rFonts w:cs="Tahoma"/>
          <w:sz w:val="20"/>
        </w:rPr>
        <w:t>Navas Rondón.</w:t>
      </w:r>
    </w:p>
    <w:p w:rsidR="008F5E4C" w:rsidRPr="0013362C" w:rsidRDefault="00FD5D55" w:rsidP="0013362C">
      <w:pPr>
        <w:pStyle w:val="Textoindependiente21"/>
        <w:rPr>
          <w:rFonts w:cs="Tahoma"/>
          <w:sz w:val="20"/>
        </w:rPr>
      </w:pPr>
      <w:r w:rsidRPr="0013362C">
        <w:rPr>
          <w:rFonts w:cs="Tahoma"/>
          <w:sz w:val="20"/>
        </w:rPr>
        <w:t>Ramírez Maynetto.</w:t>
      </w:r>
    </w:p>
    <w:sectPr w:rsidR="008F5E4C" w:rsidRPr="0013362C" w:rsidSect="004F01D3">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A74" w:rsidRDefault="007F1A74">
      <w:r>
        <w:separator/>
      </w:r>
    </w:p>
  </w:endnote>
  <w:endnote w:type="continuationSeparator" w:id="1">
    <w:p w:rsidR="007F1A74" w:rsidRDefault="007F1A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ADD" w:rsidRDefault="00A11050" w:rsidP="001776F2">
    <w:pPr>
      <w:pStyle w:val="Piedepgina"/>
      <w:framePr w:wrap="around" w:vAnchor="text" w:hAnchor="margin" w:xAlign="right" w:y="1"/>
      <w:rPr>
        <w:rStyle w:val="Nmerodepgina"/>
      </w:rPr>
    </w:pPr>
    <w:r>
      <w:rPr>
        <w:rStyle w:val="Nmerodepgina"/>
      </w:rPr>
      <w:fldChar w:fldCharType="begin"/>
    </w:r>
    <w:r w:rsidR="00B30ADD">
      <w:rPr>
        <w:rStyle w:val="Nmerodepgina"/>
      </w:rPr>
      <w:instrText xml:space="preserve">PAGE  </w:instrText>
    </w:r>
    <w:r>
      <w:rPr>
        <w:rStyle w:val="Nmerodepgina"/>
      </w:rPr>
      <w:fldChar w:fldCharType="end"/>
    </w:r>
  </w:p>
  <w:p w:rsidR="00B30ADD" w:rsidRDefault="00B30ADD" w:rsidP="005E123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ADD" w:rsidRDefault="00B30ADD" w:rsidP="001776F2">
    <w:pPr>
      <w:pStyle w:val="Piedepgina"/>
      <w:framePr w:wrap="around" w:vAnchor="text" w:hAnchor="margin" w:xAlign="right" w:y="1"/>
      <w:rPr>
        <w:rStyle w:val="Nmerodepgina"/>
      </w:rPr>
    </w:pPr>
  </w:p>
  <w:p w:rsidR="00B30ADD" w:rsidRDefault="00B30ADD" w:rsidP="002623FE">
    <w:pPr>
      <w:pStyle w:val="Piedepgina"/>
      <w:ind w:right="360"/>
      <w:jc w:val="center"/>
    </w:pPr>
    <w:r>
      <w:t xml:space="preserve">Página </w:t>
    </w:r>
    <w:fldSimple w:instr=" PAGE ">
      <w:r w:rsidR="00CE4C2A">
        <w:rPr>
          <w:noProof/>
        </w:rPr>
        <w:t>1</w:t>
      </w:r>
    </w:fldSimple>
    <w:r>
      <w:t xml:space="preserve"> de </w:t>
    </w:r>
    <w:fldSimple w:instr=" NUMPAGES ">
      <w:r w:rsidR="00CE4C2A">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A74" w:rsidRDefault="007F1A74">
      <w:r>
        <w:separator/>
      </w:r>
    </w:p>
  </w:footnote>
  <w:footnote w:type="continuationSeparator" w:id="1">
    <w:p w:rsidR="007F1A74" w:rsidRDefault="007F1A74">
      <w:r>
        <w:continuationSeparator/>
      </w:r>
    </w:p>
  </w:footnote>
  <w:footnote w:id="2">
    <w:p w:rsidR="00B30ADD" w:rsidRPr="00A21DC5" w:rsidRDefault="00B30ADD" w:rsidP="00A34FB0">
      <w:pPr>
        <w:pStyle w:val="Textonotapie"/>
        <w:ind w:left="180" w:hanging="180"/>
        <w:jc w:val="both"/>
        <w:rPr>
          <w:rFonts w:ascii="Tahoma" w:hAnsi="Tahoma" w:cs="Tahoma"/>
          <w:sz w:val="16"/>
          <w:szCs w:val="16"/>
          <w:lang w:val="es-PE"/>
        </w:rPr>
      </w:pPr>
      <w:r>
        <w:rPr>
          <w:rStyle w:val="Refdenotaalpie"/>
        </w:rPr>
        <w:footnoteRef/>
      </w:r>
      <w:r>
        <w:t xml:space="preserve"> </w:t>
      </w:r>
      <w:r w:rsidRPr="00A21DC5">
        <w:rPr>
          <w:rFonts w:ascii="Tahoma" w:hAnsi="Tahoma" w:cs="Tahoma"/>
          <w:b/>
          <w:sz w:val="16"/>
          <w:szCs w:val="16"/>
        </w:rPr>
        <w:t>“</w:t>
      </w:r>
      <w:r w:rsidRPr="00A21DC5">
        <w:rPr>
          <w:rFonts w:ascii="Tahoma" w:hAnsi="Tahoma" w:cs="Tahoma"/>
          <w:b/>
          <w:sz w:val="16"/>
          <w:szCs w:val="16"/>
          <w:lang w:val="es-PE"/>
        </w:rPr>
        <w:t>Artículo 294.- Causales de imposición de sanción a los proveedores, postores y contratistas.-</w:t>
      </w:r>
      <w:r w:rsidRPr="00A21DC5">
        <w:rPr>
          <w:rFonts w:ascii="Tahoma" w:hAnsi="Tahoma" w:cs="Tahoma"/>
          <w:sz w:val="16"/>
          <w:szCs w:val="16"/>
          <w:lang w:val="es-PE"/>
        </w:rPr>
        <w:t xml:space="preserve"> El Tribunal impondrá la sanción administrativa de inhabilitación temporal o definitiva a los proveedores, postores y/o contratistas que:</w:t>
      </w:r>
    </w:p>
    <w:p w:rsidR="00B30ADD" w:rsidRPr="00A21DC5" w:rsidRDefault="00B30ADD" w:rsidP="00A34FB0">
      <w:pPr>
        <w:pStyle w:val="Textonotapie"/>
        <w:ind w:left="180" w:hanging="180"/>
        <w:jc w:val="both"/>
        <w:rPr>
          <w:rFonts w:ascii="Tahoma" w:hAnsi="Tahoma" w:cs="Tahoma"/>
          <w:sz w:val="16"/>
          <w:szCs w:val="16"/>
          <w:lang w:val="es-PE"/>
        </w:rPr>
      </w:pPr>
      <w:r>
        <w:rPr>
          <w:rFonts w:ascii="Tahoma" w:hAnsi="Tahoma" w:cs="Tahoma"/>
          <w:sz w:val="16"/>
          <w:szCs w:val="16"/>
          <w:lang w:val="es-PE"/>
        </w:rPr>
        <w:t xml:space="preserve">    </w:t>
      </w:r>
      <w:r w:rsidRPr="00A21DC5">
        <w:rPr>
          <w:rFonts w:ascii="Tahoma" w:hAnsi="Tahoma" w:cs="Tahoma"/>
          <w:sz w:val="16"/>
          <w:szCs w:val="16"/>
          <w:lang w:val="es-PE"/>
        </w:rPr>
        <w:t>(…)</w:t>
      </w:r>
    </w:p>
    <w:p w:rsidR="00B30ADD" w:rsidRPr="00A21DC5" w:rsidRDefault="00B30ADD" w:rsidP="00A34FB0">
      <w:pPr>
        <w:pStyle w:val="Textonotapie"/>
        <w:ind w:left="180" w:hanging="180"/>
        <w:jc w:val="both"/>
        <w:rPr>
          <w:rFonts w:ascii="Tahoma" w:hAnsi="Tahoma" w:cs="Tahoma"/>
          <w:sz w:val="16"/>
          <w:szCs w:val="16"/>
          <w:lang w:val="es-PE"/>
        </w:rPr>
      </w:pPr>
      <w:r>
        <w:rPr>
          <w:rFonts w:ascii="Tahoma" w:hAnsi="Tahoma" w:cs="Tahoma"/>
          <w:sz w:val="16"/>
          <w:szCs w:val="16"/>
          <w:lang w:val="es-PE"/>
        </w:rPr>
        <w:t xml:space="preserve">    </w:t>
      </w:r>
      <w:r w:rsidRPr="00A21DC5">
        <w:rPr>
          <w:rFonts w:ascii="Tahoma" w:hAnsi="Tahoma" w:cs="Tahoma"/>
          <w:sz w:val="16"/>
          <w:szCs w:val="16"/>
          <w:lang w:val="es-PE"/>
        </w:rPr>
        <w:t>9) Presenten documentos falsos o inexactos a las Entidades o al CONSUCODE</w:t>
      </w:r>
      <w:r>
        <w:rPr>
          <w:rFonts w:ascii="Tahoma" w:hAnsi="Tahoma" w:cs="Tahoma"/>
          <w:sz w:val="16"/>
          <w:szCs w:val="16"/>
          <w:lang w:val="es-PE"/>
        </w:rPr>
        <w:t>”</w:t>
      </w:r>
      <w:r w:rsidRPr="00A21DC5">
        <w:rPr>
          <w:rFonts w:ascii="Tahoma" w:hAnsi="Tahoma" w:cs="Tahoma"/>
          <w:sz w:val="16"/>
          <w:szCs w:val="16"/>
          <w:lang w:val="es-PE"/>
        </w:rPr>
        <w:t>.</w:t>
      </w:r>
    </w:p>
    <w:p w:rsidR="00B30ADD" w:rsidRPr="00AA6FCA" w:rsidRDefault="00B30ADD" w:rsidP="00A34FB0">
      <w:pPr>
        <w:pStyle w:val="Textonotapie"/>
        <w:ind w:left="180" w:hanging="180"/>
        <w:jc w:val="both"/>
        <w:rPr>
          <w:rFonts w:ascii="Tahoma" w:hAnsi="Tahoma" w:cs="Tahoma"/>
          <w:sz w:val="18"/>
          <w:szCs w:val="18"/>
          <w:lang w:val="es-PE"/>
        </w:rPr>
      </w:pPr>
    </w:p>
    <w:p w:rsidR="00B30ADD" w:rsidRPr="009D5CFD" w:rsidRDefault="00B30ADD" w:rsidP="00A34FB0">
      <w:pPr>
        <w:pStyle w:val="Textonotapie"/>
        <w:rPr>
          <w:lang w:val="es-PE"/>
        </w:rPr>
      </w:pPr>
    </w:p>
  </w:footnote>
  <w:footnote w:id="3">
    <w:p w:rsidR="00B30ADD" w:rsidRPr="00E15D52" w:rsidRDefault="00B30ADD" w:rsidP="00A34FB0">
      <w:pPr>
        <w:pStyle w:val="Piedepgina"/>
        <w:jc w:val="both"/>
        <w:rPr>
          <w:rFonts w:ascii="Tahoma" w:hAnsi="Tahoma" w:cs="Tahoma"/>
          <w:i/>
          <w:sz w:val="16"/>
          <w:szCs w:val="16"/>
        </w:rPr>
      </w:pPr>
      <w:r w:rsidRPr="0071268C">
        <w:rPr>
          <w:rStyle w:val="Refdenotaalpie"/>
          <w:rFonts w:ascii="Tahoma" w:hAnsi="Tahoma" w:cs="Tahoma"/>
          <w:i/>
          <w:sz w:val="16"/>
          <w:szCs w:val="16"/>
        </w:rPr>
        <w:footnoteRef/>
      </w:r>
      <w:r w:rsidRPr="0071268C">
        <w:rPr>
          <w:rFonts w:ascii="Tahoma" w:hAnsi="Tahoma" w:cs="Tahoma"/>
          <w:i/>
          <w:sz w:val="16"/>
          <w:szCs w:val="16"/>
        </w:rPr>
        <w:t xml:space="preserve"> </w:t>
      </w:r>
      <w:r w:rsidRPr="0071268C">
        <w:rPr>
          <w:rFonts w:ascii="Tahoma" w:hAnsi="Tahoma" w:cs="Tahoma"/>
          <w:b/>
          <w:i/>
          <w:sz w:val="16"/>
          <w:szCs w:val="16"/>
        </w:rPr>
        <w:t>El Principio de Presunción de Veracidad</w:t>
      </w:r>
      <w:r w:rsidRPr="0071268C">
        <w:rPr>
          <w:rFonts w:ascii="Tahoma" w:hAnsi="Tahoma" w:cs="Tahoma"/>
          <w:i/>
          <w:sz w:val="16"/>
          <w:szCs w:val="16"/>
        </w:rPr>
        <w:t xml:space="preserve"> consiste en “el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sidRPr="0071268C">
          <w:rPr>
            <w:rFonts w:ascii="Tahoma" w:hAnsi="Tahoma" w:cs="Tahoma"/>
            <w:i/>
            <w:sz w:val="16"/>
            <w:szCs w:val="16"/>
          </w:rPr>
          <w:t>la Administración Pública</w:t>
        </w:r>
      </w:smartTag>
      <w:r w:rsidRPr="0071268C">
        <w:rPr>
          <w:rFonts w:ascii="Tahoma" w:hAnsi="Tahoma" w:cs="Tahoma"/>
          <w:i/>
          <w:sz w:val="16"/>
          <w:szCs w:val="16"/>
        </w:rPr>
        <w:t xml:space="preserve"> con sus agentes como con el público). Sustituye la tradicional duda o escepticismo de la autoridad sobre los administrados”. MORÓN URBINA, Juan Carlos. Comentarios a </w:t>
      </w:r>
      <w:smartTag w:uri="urn:schemas-microsoft-com:office:smarttags" w:element="PersonName">
        <w:smartTagPr>
          <w:attr w:name="ProductID" w:val="la Ley"/>
        </w:smartTagPr>
        <w:r w:rsidRPr="0071268C">
          <w:rPr>
            <w:rFonts w:ascii="Tahoma" w:hAnsi="Tahoma" w:cs="Tahoma"/>
            <w:i/>
            <w:sz w:val="16"/>
            <w:szCs w:val="16"/>
          </w:rPr>
          <w:t>la Ley</w:t>
        </w:r>
      </w:smartTag>
      <w:r w:rsidRPr="0071268C">
        <w:rPr>
          <w:rFonts w:ascii="Tahoma" w:hAnsi="Tahoma" w:cs="Tahoma"/>
          <w:i/>
          <w:sz w:val="16"/>
          <w:szCs w:val="16"/>
        </w:rPr>
        <w:t xml:space="preserve"> del Procedimiento Administrativo General. Cuarta Edició</w:t>
      </w:r>
      <w:r w:rsidRPr="00E15D52">
        <w:rPr>
          <w:rFonts w:ascii="Tahoma" w:hAnsi="Tahoma" w:cs="Tahoma"/>
          <w:i/>
          <w:sz w:val="16"/>
          <w:szCs w:val="16"/>
        </w:rPr>
        <w:t>n. Lima: Gaceta Jurídica, 2005; pp. 74 -75</w:t>
      </w:r>
    </w:p>
  </w:footnote>
  <w:footnote w:id="4">
    <w:p w:rsidR="00B30ADD" w:rsidRDefault="00B30ADD" w:rsidP="00A34FB0">
      <w:pPr>
        <w:pStyle w:val="Textonotapie"/>
      </w:pPr>
      <w:r w:rsidRPr="00E15D52">
        <w:rPr>
          <w:rStyle w:val="Refdenotaalpie"/>
          <w:rFonts w:ascii="Tahoma" w:hAnsi="Tahoma" w:cs="Tahoma"/>
          <w:sz w:val="16"/>
          <w:szCs w:val="16"/>
        </w:rPr>
        <w:footnoteRef/>
      </w:r>
      <w:r w:rsidRPr="00E15D52">
        <w:rPr>
          <w:rFonts w:ascii="Tahoma" w:hAnsi="Tahoma" w:cs="Tahoma"/>
          <w:sz w:val="16"/>
          <w:szCs w:val="16"/>
        </w:rPr>
        <w:t xml:space="preserve"> Información obrante a fojas veintinueve (29).</w:t>
      </w:r>
    </w:p>
  </w:footnote>
  <w:footnote w:id="5">
    <w:p w:rsidR="00B30ADD" w:rsidRPr="0071268C" w:rsidRDefault="00B30ADD" w:rsidP="00A34FB0">
      <w:pPr>
        <w:pStyle w:val="Piedepgina"/>
        <w:rPr>
          <w:rFonts w:ascii="Tahoma" w:hAnsi="Tahoma" w:cs="Tahoma"/>
          <w:b/>
          <w:bCs/>
          <w:i/>
          <w:sz w:val="16"/>
          <w:szCs w:val="16"/>
        </w:rPr>
      </w:pPr>
      <w:r>
        <w:rPr>
          <w:rStyle w:val="Refdenotaalpie"/>
        </w:rPr>
        <w:footnoteRef/>
      </w:r>
      <w:r>
        <w:t xml:space="preserve"> </w:t>
      </w:r>
      <w:r w:rsidRPr="0071268C">
        <w:rPr>
          <w:rFonts w:ascii="Tahoma" w:hAnsi="Tahoma" w:cs="Tahoma"/>
          <w:b/>
          <w:bCs/>
          <w:i/>
          <w:sz w:val="16"/>
          <w:szCs w:val="16"/>
        </w:rPr>
        <w:t>Artículo 76.- Contenido de la declaración jurada.-</w:t>
      </w:r>
    </w:p>
    <w:p w:rsidR="00B30ADD" w:rsidRPr="0071268C" w:rsidRDefault="00B30ADD" w:rsidP="00A34FB0">
      <w:pPr>
        <w:pStyle w:val="Piedepgina"/>
        <w:jc w:val="both"/>
        <w:rPr>
          <w:rFonts w:ascii="Tahoma" w:hAnsi="Tahoma" w:cs="Tahoma"/>
          <w:i/>
          <w:sz w:val="16"/>
          <w:szCs w:val="16"/>
        </w:rPr>
      </w:pPr>
      <w:r w:rsidRPr="0071268C">
        <w:rPr>
          <w:rFonts w:ascii="Tahoma" w:hAnsi="Tahoma" w:cs="Tahoma"/>
          <w:i/>
          <w:sz w:val="16"/>
          <w:szCs w:val="16"/>
        </w:rPr>
        <w:t>El postor, al presentar su propuesta técnica, deberá acompañar una</w:t>
      </w:r>
      <w:r>
        <w:rPr>
          <w:rFonts w:ascii="Tahoma" w:hAnsi="Tahoma" w:cs="Tahoma"/>
          <w:i/>
          <w:sz w:val="16"/>
          <w:szCs w:val="16"/>
        </w:rPr>
        <w:t xml:space="preserve"> </w:t>
      </w:r>
      <w:r w:rsidRPr="0071268C">
        <w:rPr>
          <w:rFonts w:ascii="Tahoma" w:hAnsi="Tahoma" w:cs="Tahoma"/>
          <w:i/>
          <w:sz w:val="16"/>
          <w:szCs w:val="16"/>
        </w:rPr>
        <w:t>declaración jurada simple en la cual manifieste lo siguiente:</w:t>
      </w:r>
    </w:p>
    <w:p w:rsidR="00B30ADD" w:rsidRDefault="00B30ADD" w:rsidP="00A34FB0">
      <w:pPr>
        <w:pStyle w:val="Textonotapie"/>
      </w:pPr>
      <w:r w:rsidRPr="0071268C">
        <w:rPr>
          <w:rFonts w:ascii="Tahoma" w:hAnsi="Tahoma" w:cs="Tahoma"/>
          <w:i/>
          <w:sz w:val="16"/>
          <w:szCs w:val="16"/>
        </w:rPr>
        <w:t>D)  Que es responsable de la veracidad de los documentos e información</w:t>
      </w:r>
      <w:r>
        <w:rPr>
          <w:rFonts w:ascii="Tahoma" w:hAnsi="Tahoma" w:cs="Tahoma"/>
          <w:i/>
          <w:sz w:val="16"/>
          <w:szCs w:val="16"/>
        </w:rPr>
        <w:t xml:space="preserve"> </w:t>
      </w:r>
      <w:r w:rsidRPr="0071268C">
        <w:rPr>
          <w:rFonts w:ascii="Tahoma" w:hAnsi="Tahoma" w:cs="Tahoma"/>
          <w:i/>
          <w:sz w:val="16"/>
          <w:szCs w:val="16"/>
        </w:rPr>
        <w:t>que presenta para efectos del proceso</w:t>
      </w:r>
    </w:p>
  </w:footnote>
  <w:footnote w:id="6">
    <w:p w:rsidR="00B30ADD" w:rsidRDefault="00B30ADD" w:rsidP="00A34FB0">
      <w:pPr>
        <w:pStyle w:val="Textonotapie"/>
      </w:pPr>
      <w:r>
        <w:rPr>
          <w:rStyle w:val="Refdenotaalpie"/>
        </w:rPr>
        <w:footnoteRef/>
      </w:r>
      <w:r>
        <w:t xml:space="preserve"> Artículo 4 de la Ley del Fondo Nacional de Compensación y Desarrollo Social (FONCODES), Decreto Ley N.º 26157.</w:t>
      </w:r>
    </w:p>
  </w:footnote>
  <w:footnote w:id="7">
    <w:p w:rsidR="00B30ADD" w:rsidRDefault="00B30ADD" w:rsidP="00A34FB0">
      <w:pPr>
        <w:pStyle w:val="Textonotapie"/>
      </w:pPr>
      <w:r>
        <w:rPr>
          <w:rStyle w:val="Refdenotaalpie"/>
        </w:rPr>
        <w:footnoteRef/>
      </w:r>
      <w:r>
        <w:t xml:space="preserve"> Artículo 299.- El Tribunal, antes de aplicar una sanción, notificará al respectivo proveedor, postor, contratista o experto independiente, para que ejerza su derecho de defensa dentro de los diez (10) días siguientes a la notificación, bajo responsabilidad de resolverse con la documentación obrante en autos.</w:t>
      </w:r>
    </w:p>
  </w:footnote>
  <w:footnote w:id="8">
    <w:p w:rsidR="00B30ADD" w:rsidRDefault="00B30ADD" w:rsidP="00A34FB0">
      <w:pPr>
        <w:pStyle w:val="Textonotapie"/>
        <w:jc w:val="both"/>
      </w:pPr>
      <w:r>
        <w:rPr>
          <w:rStyle w:val="Refdenotaalpie"/>
        </w:rPr>
        <w:footnoteRef/>
      </w:r>
      <w:r>
        <w:t xml:space="preserve"> El artículo 235 de la Ley N.º 27444 establece que vencido el plazo para que remitan sus descargos, con ellos o sin ellos, la autoridad que instruye el procedimiento realizará de oficio todas las actuaciones necesarias para el examen de los hechos, recabando los datos e informaciones que sean relevantes para determinar, en su casa, la existencia de responsabilidades susceptible de sanción. Concluido ello, la autoridad instructora del procedimiento resolverá la imposición de una sanción o la no existencia de infracción.</w:t>
      </w:r>
    </w:p>
  </w:footnote>
  <w:footnote w:id="9">
    <w:p w:rsidR="00B30ADD" w:rsidRPr="00BF3ADF" w:rsidRDefault="00B30ADD" w:rsidP="00A34FB0">
      <w:pPr>
        <w:pStyle w:val="Textonotapie"/>
        <w:ind w:left="180" w:hanging="180"/>
        <w:jc w:val="both"/>
        <w:rPr>
          <w:rFonts w:ascii="Tahoma" w:hAnsi="Tahoma" w:cs="Tahoma"/>
          <w:sz w:val="16"/>
          <w:szCs w:val="16"/>
        </w:rPr>
      </w:pPr>
      <w:r w:rsidRPr="00BF3ADF">
        <w:rPr>
          <w:rStyle w:val="Refdenotaalpie"/>
          <w:rFonts w:ascii="Tahoma" w:hAnsi="Tahoma" w:cs="Tahoma"/>
          <w:sz w:val="16"/>
          <w:szCs w:val="16"/>
        </w:rPr>
        <w:footnoteRef/>
      </w:r>
      <w:r w:rsidRPr="00BF3ADF">
        <w:rPr>
          <w:rFonts w:ascii="Tahoma" w:hAnsi="Tahoma" w:cs="Tahoma"/>
          <w:sz w:val="16"/>
          <w:szCs w:val="16"/>
        </w:rPr>
        <w:t xml:space="preserve">  “</w:t>
      </w:r>
      <w:r w:rsidRPr="00BF3ADF">
        <w:rPr>
          <w:rFonts w:ascii="Tahoma" w:hAnsi="Tahoma" w:cs="Tahoma"/>
          <w:b/>
          <w:sz w:val="16"/>
          <w:szCs w:val="16"/>
        </w:rPr>
        <w:t>Artículo 230.- Principios de la potestad sancionadora</w:t>
      </w:r>
    </w:p>
    <w:p w:rsidR="00B30ADD" w:rsidRPr="00BF3ADF" w:rsidRDefault="00B30ADD" w:rsidP="00A34FB0">
      <w:pPr>
        <w:pStyle w:val="Textonotapie"/>
        <w:ind w:firstLine="180"/>
        <w:jc w:val="both"/>
        <w:rPr>
          <w:rFonts w:ascii="Tahoma" w:hAnsi="Tahoma" w:cs="Tahoma"/>
          <w:sz w:val="16"/>
          <w:szCs w:val="16"/>
        </w:rPr>
      </w:pPr>
      <w:r w:rsidRPr="00BF3ADF">
        <w:rPr>
          <w:rFonts w:ascii="Tahoma" w:hAnsi="Tahoma" w:cs="Tahoma"/>
          <w:sz w:val="16"/>
          <w:szCs w:val="16"/>
        </w:rPr>
        <w:t>(…)</w:t>
      </w:r>
    </w:p>
    <w:p w:rsidR="00B30ADD" w:rsidRPr="00834CC2" w:rsidRDefault="00B30ADD" w:rsidP="00A34FB0">
      <w:pPr>
        <w:pStyle w:val="Textonotapie"/>
        <w:ind w:left="180"/>
        <w:jc w:val="both"/>
      </w:pPr>
      <w:r w:rsidRPr="00BF3ADF">
        <w:rPr>
          <w:rFonts w:ascii="Tahoma" w:hAnsi="Tahoma" w:cs="Tahoma"/>
          <w:b/>
          <w:sz w:val="16"/>
          <w:szCs w:val="16"/>
        </w:rPr>
        <w:t>3. Razonabilidad</w:t>
      </w:r>
      <w:r w:rsidRPr="00BF3ADF">
        <w:rPr>
          <w:rFonts w:ascii="Tahoma" w:hAnsi="Tahoma" w:cs="Tahoma"/>
          <w:sz w:val="16"/>
          <w:szCs w:val="16"/>
        </w:rPr>
        <w:t>.- Las autoridades deben prever que la comisión de la conducta sancionable no resulte más ventajosa</w:t>
      </w:r>
      <w:r w:rsidRPr="00834CC2">
        <w:t xml:space="preserve">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B30ADD" w:rsidRPr="00834CC2" w:rsidRDefault="00B30ADD" w:rsidP="00A34FB0">
      <w:pPr>
        <w:pStyle w:val="Textonotapie"/>
        <w:ind w:firstLine="180"/>
        <w:jc w:val="both"/>
      </w:pPr>
      <w:r w:rsidRPr="00834CC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EE90106"/>
    <w:multiLevelType w:val="hybridMultilevel"/>
    <w:tmpl w:val="07F20F68"/>
    <w:lvl w:ilvl="0" w:tplc="6E6C9C20">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MX"/>
      </w:rPr>
    </w:lvl>
    <w:lvl w:ilvl="1" w:tplc="727A41EE">
      <w:start w:val="1"/>
      <w:numFmt w:val="lowerLetter"/>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3BF602E7"/>
    <w:multiLevelType w:val="hybridMultilevel"/>
    <w:tmpl w:val="2C8EBBE8"/>
    <w:lvl w:ilvl="0" w:tplc="4E1A92FA">
      <w:start w:val="1"/>
      <w:numFmt w:val="decimal"/>
      <w:lvlText w:val="%1."/>
      <w:lvlJc w:val="left"/>
      <w:pPr>
        <w:tabs>
          <w:tab w:val="num" w:pos="720"/>
        </w:tabs>
        <w:ind w:left="720" w:hanging="360"/>
      </w:pPr>
      <w:rPr>
        <w:rFonts w:ascii="Tahoma" w:hAnsi="Tahoma" w:cs="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3DD25EE"/>
    <w:multiLevelType w:val="singleLevel"/>
    <w:tmpl w:val="2ECCD630"/>
    <w:lvl w:ilvl="0">
      <w:start w:val="1"/>
      <w:numFmt w:val="decimal"/>
      <w:lvlText w:val="%1."/>
      <w:lvlJc w:val="left"/>
      <w:pPr>
        <w:tabs>
          <w:tab w:val="num" w:pos="2520"/>
        </w:tabs>
        <w:ind w:left="2520" w:hanging="360"/>
      </w:pPr>
      <w:rPr>
        <w:rFonts w:ascii="Tahoma" w:hAnsi="Tahoma" w:cs="Tahoma" w:hint="default"/>
        <w:b/>
        <w:shadow/>
        <w:sz w:val="20"/>
        <w:szCs w:val="20"/>
      </w:rPr>
    </w:lvl>
  </w:abstractNum>
  <w:abstractNum w:abstractNumId="8">
    <w:nsid w:val="490628FE"/>
    <w:multiLevelType w:val="hybridMultilevel"/>
    <w:tmpl w:val="C01A48BA"/>
    <w:lvl w:ilvl="0" w:tplc="9594D94E">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9">
    <w:nsid w:val="54A5757A"/>
    <w:multiLevelType w:val="multilevel"/>
    <w:tmpl w:val="492A51C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DB66B45"/>
    <w:multiLevelType w:val="hybridMultilevel"/>
    <w:tmpl w:val="FD0A21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8"/>
  </w:num>
  <w:num w:numId="4">
    <w:abstractNumId w:val="7"/>
  </w:num>
  <w:num w:numId="5">
    <w:abstractNumId w:val="2"/>
  </w:num>
  <w:num w:numId="6">
    <w:abstractNumId w:val="11"/>
  </w:num>
  <w:num w:numId="7">
    <w:abstractNumId w:val="10"/>
  </w:num>
  <w:num w:numId="8">
    <w:abstractNumId w:val="4"/>
  </w:num>
  <w:num w:numId="9">
    <w:abstractNumId w:val="9"/>
  </w:num>
  <w:num w:numId="10">
    <w:abstractNumId w:val="0"/>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8F5E4C"/>
    <w:rsid w:val="000018DC"/>
    <w:rsid w:val="00032504"/>
    <w:rsid w:val="000502EB"/>
    <w:rsid w:val="000636A1"/>
    <w:rsid w:val="00077C99"/>
    <w:rsid w:val="000812A9"/>
    <w:rsid w:val="000A6987"/>
    <w:rsid w:val="000D1ED9"/>
    <w:rsid w:val="00116635"/>
    <w:rsid w:val="001301C0"/>
    <w:rsid w:val="0013362C"/>
    <w:rsid w:val="0014366D"/>
    <w:rsid w:val="001444D7"/>
    <w:rsid w:val="001551A8"/>
    <w:rsid w:val="00170F01"/>
    <w:rsid w:val="001776F2"/>
    <w:rsid w:val="00186D81"/>
    <w:rsid w:val="001A442A"/>
    <w:rsid w:val="001B24FC"/>
    <w:rsid w:val="001E058A"/>
    <w:rsid w:val="001E41EA"/>
    <w:rsid w:val="001F294D"/>
    <w:rsid w:val="00216D87"/>
    <w:rsid w:val="002363C5"/>
    <w:rsid w:val="002623FE"/>
    <w:rsid w:val="002A05E3"/>
    <w:rsid w:val="002D1C73"/>
    <w:rsid w:val="002E70D6"/>
    <w:rsid w:val="002F4AE9"/>
    <w:rsid w:val="002F684E"/>
    <w:rsid w:val="00303107"/>
    <w:rsid w:val="003274FD"/>
    <w:rsid w:val="003562A8"/>
    <w:rsid w:val="00376C4D"/>
    <w:rsid w:val="003A2B60"/>
    <w:rsid w:val="003B4460"/>
    <w:rsid w:val="003C0BEA"/>
    <w:rsid w:val="003C6854"/>
    <w:rsid w:val="003D54D9"/>
    <w:rsid w:val="004300AF"/>
    <w:rsid w:val="004508D5"/>
    <w:rsid w:val="0045717C"/>
    <w:rsid w:val="004654F1"/>
    <w:rsid w:val="004A2A71"/>
    <w:rsid w:val="004B736A"/>
    <w:rsid w:val="004D200A"/>
    <w:rsid w:val="004E2769"/>
    <w:rsid w:val="004F01D3"/>
    <w:rsid w:val="005159F8"/>
    <w:rsid w:val="00516BC9"/>
    <w:rsid w:val="00525EFA"/>
    <w:rsid w:val="00535F9C"/>
    <w:rsid w:val="00571DBA"/>
    <w:rsid w:val="005772D2"/>
    <w:rsid w:val="005B34C3"/>
    <w:rsid w:val="005C334A"/>
    <w:rsid w:val="005E123E"/>
    <w:rsid w:val="00633F34"/>
    <w:rsid w:val="006B5A8E"/>
    <w:rsid w:val="006C3A87"/>
    <w:rsid w:val="006E322D"/>
    <w:rsid w:val="00703E5F"/>
    <w:rsid w:val="00733133"/>
    <w:rsid w:val="00770C56"/>
    <w:rsid w:val="00792C05"/>
    <w:rsid w:val="007A2293"/>
    <w:rsid w:val="007C3C58"/>
    <w:rsid w:val="007D053F"/>
    <w:rsid w:val="007D0A87"/>
    <w:rsid w:val="007E166B"/>
    <w:rsid w:val="007E63C6"/>
    <w:rsid w:val="007F1A74"/>
    <w:rsid w:val="007F5C08"/>
    <w:rsid w:val="008C2FF0"/>
    <w:rsid w:val="008E0D8E"/>
    <w:rsid w:val="008F5E4C"/>
    <w:rsid w:val="00922E58"/>
    <w:rsid w:val="0093781E"/>
    <w:rsid w:val="00941FB9"/>
    <w:rsid w:val="00955493"/>
    <w:rsid w:val="00955B15"/>
    <w:rsid w:val="0097565A"/>
    <w:rsid w:val="009B1773"/>
    <w:rsid w:val="009B531B"/>
    <w:rsid w:val="009B7FD4"/>
    <w:rsid w:val="009F7F0E"/>
    <w:rsid w:val="00A00A44"/>
    <w:rsid w:val="00A11050"/>
    <w:rsid w:val="00A34FB0"/>
    <w:rsid w:val="00A46AE5"/>
    <w:rsid w:val="00B30ADD"/>
    <w:rsid w:val="00B53DE6"/>
    <w:rsid w:val="00B8052E"/>
    <w:rsid w:val="00B927E5"/>
    <w:rsid w:val="00BB76FA"/>
    <w:rsid w:val="00BC15A0"/>
    <w:rsid w:val="00BC5B02"/>
    <w:rsid w:val="00BD7007"/>
    <w:rsid w:val="00BD7CF8"/>
    <w:rsid w:val="00BF3ADF"/>
    <w:rsid w:val="00C22FAB"/>
    <w:rsid w:val="00C3321F"/>
    <w:rsid w:val="00C72874"/>
    <w:rsid w:val="00C831E6"/>
    <w:rsid w:val="00CD54BF"/>
    <w:rsid w:val="00CE1EFF"/>
    <w:rsid w:val="00CE4C2A"/>
    <w:rsid w:val="00CE7064"/>
    <w:rsid w:val="00CF3B71"/>
    <w:rsid w:val="00D034DD"/>
    <w:rsid w:val="00D21B71"/>
    <w:rsid w:val="00D34555"/>
    <w:rsid w:val="00D67566"/>
    <w:rsid w:val="00DB774B"/>
    <w:rsid w:val="00DE2548"/>
    <w:rsid w:val="00DF29B7"/>
    <w:rsid w:val="00E000EA"/>
    <w:rsid w:val="00E209EB"/>
    <w:rsid w:val="00E510F6"/>
    <w:rsid w:val="00E51D05"/>
    <w:rsid w:val="00E6035D"/>
    <w:rsid w:val="00E74AF3"/>
    <w:rsid w:val="00E935C0"/>
    <w:rsid w:val="00E9425E"/>
    <w:rsid w:val="00EC2743"/>
    <w:rsid w:val="00EE612D"/>
    <w:rsid w:val="00EF052B"/>
    <w:rsid w:val="00F45372"/>
    <w:rsid w:val="00F72F72"/>
    <w:rsid w:val="00F824DD"/>
    <w:rsid w:val="00F8312D"/>
    <w:rsid w:val="00F91B1F"/>
    <w:rsid w:val="00F93DDD"/>
    <w:rsid w:val="00F97E1A"/>
    <w:rsid w:val="00FA23E8"/>
    <w:rsid w:val="00FB4EF6"/>
    <w:rsid w:val="00FC37F3"/>
    <w:rsid w:val="00FD5D55"/>
    <w:rsid w:val="00FF4AB9"/>
    <w:rsid w:val="00FF52D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4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8F5E4C"/>
    <w:pPr>
      <w:spacing w:after="120"/>
    </w:pPr>
    <w:rPr>
      <w:sz w:val="16"/>
      <w:szCs w:val="16"/>
      <w:lang w:val="es-PE"/>
    </w:rPr>
  </w:style>
  <w:style w:type="paragraph" w:styleId="Textoindependiente">
    <w:name w:val="Body Text"/>
    <w:basedOn w:val="Normal"/>
    <w:link w:val="TextoindependienteCar"/>
    <w:rsid w:val="008F5E4C"/>
    <w:pPr>
      <w:spacing w:after="120"/>
    </w:pPr>
  </w:style>
  <w:style w:type="paragraph" w:styleId="Textonotapie">
    <w:name w:val="footnote text"/>
    <w:basedOn w:val="Normal"/>
    <w:link w:val="TextonotapieCar"/>
    <w:semiHidden/>
    <w:rsid w:val="008F5E4C"/>
    <w:rPr>
      <w:sz w:val="20"/>
      <w:szCs w:val="20"/>
    </w:rPr>
  </w:style>
  <w:style w:type="character" w:styleId="Refdenotaalpie">
    <w:name w:val="footnote reference"/>
    <w:basedOn w:val="Fuentedeprrafopredeter"/>
    <w:semiHidden/>
    <w:rsid w:val="008F5E4C"/>
    <w:rPr>
      <w:vertAlign w:val="superscript"/>
    </w:rPr>
  </w:style>
  <w:style w:type="paragraph" w:customStyle="1" w:styleId="Textoindependiente21">
    <w:name w:val="Texto independiente 21"/>
    <w:basedOn w:val="Normal"/>
    <w:rsid w:val="008F5E4C"/>
    <w:pPr>
      <w:jc w:val="both"/>
    </w:pPr>
    <w:rPr>
      <w:rFonts w:ascii="Tahoma" w:hAnsi="Tahoma"/>
      <w:sz w:val="22"/>
      <w:szCs w:val="20"/>
    </w:rPr>
  </w:style>
  <w:style w:type="paragraph" w:styleId="Piedepgina">
    <w:name w:val="footer"/>
    <w:basedOn w:val="Normal"/>
    <w:rsid w:val="005E123E"/>
    <w:pPr>
      <w:tabs>
        <w:tab w:val="center" w:pos="4252"/>
        <w:tab w:val="right" w:pos="8504"/>
      </w:tabs>
    </w:pPr>
  </w:style>
  <w:style w:type="character" w:styleId="Nmerodepgina">
    <w:name w:val="page number"/>
    <w:basedOn w:val="Fuentedeprrafopredeter"/>
    <w:rsid w:val="005E123E"/>
  </w:style>
  <w:style w:type="character" w:styleId="Textoennegrita">
    <w:name w:val="Strong"/>
    <w:basedOn w:val="Fuentedeprrafopredeter"/>
    <w:qFormat/>
    <w:rsid w:val="00CE7064"/>
    <w:rPr>
      <w:b/>
      <w:bCs/>
    </w:rPr>
  </w:style>
  <w:style w:type="paragraph" w:styleId="Encabezado">
    <w:name w:val="header"/>
    <w:basedOn w:val="Normal"/>
    <w:rsid w:val="002623FE"/>
    <w:pPr>
      <w:tabs>
        <w:tab w:val="center" w:pos="4252"/>
        <w:tab w:val="right" w:pos="8504"/>
      </w:tabs>
    </w:pPr>
  </w:style>
  <w:style w:type="character" w:customStyle="1" w:styleId="TextonotapieCar">
    <w:name w:val="Texto nota pie Car"/>
    <w:basedOn w:val="Fuentedeprrafopredeter"/>
    <w:link w:val="Textonotapie"/>
    <w:rsid w:val="00733133"/>
    <w:rPr>
      <w:lang w:val="es-ES" w:eastAsia="es-ES" w:bidi="ar-SA"/>
    </w:rPr>
  </w:style>
  <w:style w:type="character" w:customStyle="1" w:styleId="TextoindependienteCar">
    <w:name w:val="Texto independiente Car"/>
    <w:basedOn w:val="Fuentedeprrafopredeter"/>
    <w:link w:val="Textoindependiente"/>
    <w:rsid w:val="00F824DD"/>
    <w:rPr>
      <w:sz w:val="24"/>
      <w:szCs w:val="24"/>
      <w:lang w:val="es-ES" w:eastAsia="es-ES" w:bidi="ar-SA"/>
    </w:rPr>
  </w:style>
  <w:style w:type="table" w:styleId="Tablaconcuadrcula">
    <w:name w:val="Table Grid"/>
    <w:basedOn w:val="Tablanormal"/>
    <w:rsid w:val="00A34F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2263</Words>
  <Characters>12259</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Sumilla: Corresponde sancionar a la empresa “Abastecimiento y Servicios Generales”</vt:lpstr>
    </vt:vector>
  </TitlesOfParts>
  <Company/>
  <LinksUpToDate>false</LinksUpToDate>
  <CharactersWithSpaces>14494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1717-2007-TC-S3</dc:title>
  <dc:subject>PROCEDIMIENTO ADMINISTRATIVO SANCIONADOR</dc:subject>
  <dc:creator>TRIBUNAL</dc:creator>
  <cp:keywords>SANCIONAR POR PRESENTACION DE DOCUEMTNOS FALSOS</cp:keywords>
  <dc:description/>
  <cp:lastModifiedBy>gllano</cp:lastModifiedBy>
  <cp:revision>2</cp:revision>
  <cp:lastPrinted>2007-08-24T20:11:00Z</cp:lastPrinted>
  <dcterms:created xsi:type="dcterms:W3CDTF">2007-12-13T20:16:00Z</dcterms:created>
  <dcterms:modified xsi:type="dcterms:W3CDTF">2007-12-13T20:16:00Z</dcterms:modified>
  <cp:category>RESOLUCION-TRIBUNAL</cp:category>
</cp:coreProperties>
</file>