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AC1" w:rsidRDefault="00EC2AC1" w:rsidP="00EC2AC1">
      <w:pPr>
        <w:tabs>
          <w:tab w:val="left" w:pos="2520"/>
          <w:tab w:val="left" w:pos="6840"/>
        </w:tabs>
        <w:ind w:left="2520" w:right="2060" w:hanging="900"/>
        <w:jc w:val="both"/>
        <w:rPr>
          <w:rFonts w:ascii="Tahoma" w:hAnsi="Tahoma" w:cs="Tahoma"/>
          <w:b/>
          <w:i/>
        </w:rPr>
      </w:pPr>
      <w:r>
        <w:rPr>
          <w:rFonts w:ascii="Tahoma" w:hAnsi="Tahoma" w:cs="Tahoma"/>
          <w:b/>
          <w:i/>
        </w:rPr>
        <w:t xml:space="preserve">               RESOLUCIÓN N</w:t>
      </w:r>
      <w:proofErr w:type="gramStart"/>
      <w:r>
        <w:rPr>
          <w:rFonts w:ascii="Tahoma" w:hAnsi="Tahoma" w:cs="Tahoma"/>
          <w:b/>
          <w:i/>
        </w:rPr>
        <w:t>.º</w:t>
      </w:r>
      <w:proofErr w:type="gramEnd"/>
      <w:r>
        <w:rPr>
          <w:rFonts w:ascii="Tahoma" w:hAnsi="Tahoma" w:cs="Tahoma"/>
          <w:b/>
          <w:i/>
        </w:rPr>
        <w:t xml:space="preserve"> 1673-2007/TC-S3</w:t>
      </w:r>
    </w:p>
    <w:p w:rsidR="00EC2AC1" w:rsidRDefault="00EC2AC1" w:rsidP="00EC2AC1">
      <w:pPr>
        <w:tabs>
          <w:tab w:val="left" w:pos="2520"/>
          <w:tab w:val="left" w:pos="6840"/>
        </w:tabs>
        <w:ind w:left="2520" w:right="2060" w:hanging="900"/>
        <w:jc w:val="both"/>
        <w:rPr>
          <w:rFonts w:ascii="Tahoma" w:hAnsi="Tahoma" w:cs="Tahoma"/>
          <w:b/>
          <w:i/>
        </w:rPr>
      </w:pPr>
    </w:p>
    <w:p w:rsidR="00EC2AC1" w:rsidRDefault="00EC2AC1" w:rsidP="00EC2AC1">
      <w:pPr>
        <w:tabs>
          <w:tab w:val="left" w:pos="2520"/>
          <w:tab w:val="left" w:pos="6840"/>
        </w:tabs>
        <w:ind w:left="2520" w:right="2060" w:hanging="900"/>
        <w:jc w:val="both"/>
        <w:rPr>
          <w:rFonts w:ascii="Tahoma" w:hAnsi="Tahoma" w:cs="Tahoma"/>
          <w:i/>
          <w:lang w:val="es-ES_tradnl"/>
        </w:rPr>
      </w:pPr>
      <w:r w:rsidRPr="00072909">
        <w:rPr>
          <w:rFonts w:ascii="Tahoma" w:hAnsi="Tahoma" w:cs="Tahoma"/>
          <w:b/>
          <w:i/>
        </w:rPr>
        <w:t xml:space="preserve">Sumilla: </w:t>
      </w:r>
      <w:r w:rsidRPr="00635027">
        <w:rPr>
          <w:rFonts w:ascii="Tahoma" w:hAnsi="Tahoma" w:cs="Tahoma"/>
          <w:i/>
        </w:rPr>
        <w:t xml:space="preserve">El procedimiento de resolución contractual ha sido previsto en el artículo 226 del Reglamento, el cual dispone que en </w:t>
      </w:r>
      <w:r w:rsidRPr="00635027">
        <w:rPr>
          <w:rFonts w:ascii="Tahoma" w:hAnsi="Tahoma" w:cs="Tahoma"/>
          <w:i/>
          <w:lang w:val="es-ES_tradnl"/>
        </w:rPr>
        <w:t xml:space="preserve">caso de incumplimiento contractual, la parte afectada </w:t>
      </w:r>
      <w:proofErr w:type="gramStart"/>
      <w:r w:rsidRPr="00635027">
        <w:rPr>
          <w:rFonts w:ascii="Tahoma" w:hAnsi="Tahoma" w:cs="Tahoma"/>
          <w:i/>
          <w:lang w:val="es-ES_tradnl"/>
        </w:rPr>
        <w:t>requerirá</w:t>
      </w:r>
      <w:proofErr w:type="gramEnd"/>
      <w:r w:rsidRPr="00635027">
        <w:rPr>
          <w:rFonts w:ascii="Tahoma" w:hAnsi="Tahoma" w:cs="Tahoma"/>
          <w:i/>
          <w:lang w:val="es-ES_tradnl"/>
        </w:rPr>
        <w:t xml:space="preserve"> a la otra notarialmente para que satisfaga sus obligaciones en un plazo no mayor de cinco (05) días, bajo apercibimiento de resolver el contrato</w:t>
      </w:r>
      <w:r>
        <w:rPr>
          <w:rFonts w:ascii="Tahoma" w:hAnsi="Tahoma" w:cs="Tahoma"/>
          <w:i/>
          <w:lang w:val="es-ES_tradnl"/>
        </w:rPr>
        <w:t>.</w:t>
      </w:r>
    </w:p>
    <w:p w:rsidR="00EC2AC1" w:rsidRDefault="00EC2AC1" w:rsidP="00EC2AC1">
      <w:pPr>
        <w:tabs>
          <w:tab w:val="left" w:pos="2520"/>
          <w:tab w:val="left" w:pos="6840"/>
        </w:tabs>
        <w:ind w:left="2520" w:right="2060" w:hanging="900"/>
        <w:jc w:val="both"/>
        <w:rPr>
          <w:rFonts w:ascii="Tahoma" w:hAnsi="Tahoma" w:cs="Tahoma"/>
          <w:i/>
          <w:lang w:val="es-ES_tradnl"/>
        </w:rPr>
      </w:pPr>
    </w:p>
    <w:p w:rsidR="00EC2AC1" w:rsidRPr="00635027" w:rsidRDefault="00EC2AC1" w:rsidP="00EC2AC1">
      <w:pPr>
        <w:tabs>
          <w:tab w:val="left" w:pos="2520"/>
          <w:tab w:val="left" w:pos="6840"/>
        </w:tabs>
        <w:ind w:left="2520" w:right="2060" w:hanging="900"/>
        <w:jc w:val="both"/>
        <w:rPr>
          <w:rFonts w:ascii="Tahoma" w:hAnsi="Tahoma" w:cs="Tahoma"/>
          <w:i/>
          <w:lang w:val="es-ES_tradnl"/>
        </w:rPr>
      </w:pPr>
    </w:p>
    <w:p w:rsidR="00EC2AC1" w:rsidRPr="00072909" w:rsidRDefault="00EC2AC1" w:rsidP="00EC2AC1">
      <w:pPr>
        <w:pStyle w:val="Textoindependiente3"/>
        <w:ind w:left="4956" w:firstLine="84"/>
        <w:rPr>
          <w:rFonts w:ascii="Tahoma" w:hAnsi="Tahoma" w:cs="Tahoma"/>
          <w:b/>
          <w:sz w:val="20"/>
          <w:szCs w:val="20"/>
        </w:rPr>
      </w:pPr>
      <w:r w:rsidRPr="00072909">
        <w:rPr>
          <w:rFonts w:ascii="Tahoma" w:hAnsi="Tahoma" w:cs="Tahoma"/>
          <w:b/>
          <w:sz w:val="20"/>
          <w:szCs w:val="20"/>
        </w:rPr>
        <w:t xml:space="preserve">Lima,  </w:t>
      </w:r>
      <w:r>
        <w:rPr>
          <w:rFonts w:ascii="Tahoma" w:hAnsi="Tahoma" w:cs="Tahoma"/>
          <w:b/>
          <w:sz w:val="20"/>
          <w:szCs w:val="20"/>
        </w:rPr>
        <w:t>22 DE OCTUBRE DE 2007</w:t>
      </w:r>
    </w:p>
    <w:p w:rsidR="00EC2AC1" w:rsidRPr="00072909" w:rsidRDefault="00EC2AC1" w:rsidP="00EC2AC1">
      <w:pPr>
        <w:pStyle w:val="Textoindependiente"/>
        <w:tabs>
          <w:tab w:val="left" w:pos="540"/>
        </w:tabs>
        <w:rPr>
          <w:rFonts w:cs="Tahoma"/>
          <w:b/>
          <w:sz w:val="20"/>
          <w:lang w:val="es-PE"/>
        </w:rPr>
      </w:pPr>
    </w:p>
    <w:p w:rsidR="00EC2AC1" w:rsidRDefault="00EC2AC1" w:rsidP="00EC2AC1">
      <w:pPr>
        <w:pStyle w:val="Textoindependiente3"/>
        <w:tabs>
          <w:tab w:val="left" w:pos="8619"/>
        </w:tabs>
        <w:ind w:right="-21"/>
        <w:jc w:val="both"/>
        <w:rPr>
          <w:rFonts w:ascii="Tahoma" w:hAnsi="Tahoma" w:cs="Tahoma"/>
          <w:color w:val="000000"/>
          <w:sz w:val="20"/>
          <w:szCs w:val="20"/>
        </w:rPr>
      </w:pPr>
      <w:r w:rsidRPr="00635027">
        <w:rPr>
          <w:rFonts w:ascii="Tahoma" w:hAnsi="Tahoma" w:cs="Tahoma"/>
          <w:b/>
          <w:sz w:val="20"/>
          <w:szCs w:val="20"/>
        </w:rPr>
        <w:t>Visto</w:t>
      </w:r>
      <w:r w:rsidRPr="00635027">
        <w:rPr>
          <w:rFonts w:ascii="Tahoma" w:hAnsi="Tahoma" w:cs="Tahoma"/>
          <w:sz w:val="20"/>
          <w:szCs w:val="20"/>
        </w:rPr>
        <w:t xml:space="preserve"> en sesión de fecha 18 de octubre de 2007 de la Tercera Sala del Tribunal de Contrataciones y Adquisiciones del Estado el Expediente N.° 396.2007.TC, sobre el procedimiento de aplicación de sanción a la empresa  </w:t>
      </w:r>
      <w:r w:rsidRPr="00635027">
        <w:rPr>
          <w:rFonts w:ascii="Tahoma" w:hAnsi="Tahoma" w:cs="Tahoma"/>
          <w:b/>
          <w:sz w:val="20"/>
          <w:szCs w:val="20"/>
        </w:rPr>
        <w:t>FAN COLD SISTEM S.R.L.</w:t>
      </w:r>
      <w:r w:rsidRPr="00635027">
        <w:rPr>
          <w:rFonts w:ascii="Tahoma" w:hAnsi="Tahoma" w:cs="Tahoma"/>
          <w:sz w:val="20"/>
          <w:szCs w:val="20"/>
        </w:rPr>
        <w:t xml:space="preserve">, por supuesta responsabilidad en dar lugar a la resolución del contrato derivado de la Adjudicación de Menor Cuantía N.° AMC-0043-2006-MGP/DIMATEMAR convocada por la Dirección </w:t>
      </w:r>
      <w:r>
        <w:rPr>
          <w:rFonts w:ascii="Tahoma" w:hAnsi="Tahoma" w:cs="Tahoma"/>
          <w:sz w:val="20"/>
          <w:szCs w:val="20"/>
        </w:rPr>
        <w:t>de Alistamiento Naval de la Marina de Guerra del Perú del Ministerio de Defensa,</w:t>
      </w:r>
      <w:r w:rsidRPr="00635027">
        <w:rPr>
          <w:rFonts w:ascii="Tahoma" w:hAnsi="Tahoma" w:cs="Tahoma"/>
          <w:sz w:val="20"/>
          <w:szCs w:val="20"/>
        </w:rPr>
        <w:t xml:space="preserve"> para </w:t>
      </w:r>
      <w:r>
        <w:rPr>
          <w:rFonts w:ascii="Tahoma" w:hAnsi="Tahoma" w:cs="Tahoma"/>
          <w:sz w:val="20"/>
          <w:szCs w:val="20"/>
        </w:rPr>
        <w:t xml:space="preserve">la </w:t>
      </w:r>
      <w:r w:rsidRPr="00635027">
        <w:rPr>
          <w:rFonts w:ascii="Tahoma" w:hAnsi="Tahoma" w:cs="Tahoma"/>
          <w:sz w:val="20"/>
          <w:szCs w:val="20"/>
        </w:rPr>
        <w:t>contratación del servicio de reparación de cámara frigorífica de carne</w:t>
      </w:r>
      <w:r>
        <w:rPr>
          <w:rFonts w:ascii="Tahoma" w:hAnsi="Tahoma" w:cs="Tahoma"/>
          <w:sz w:val="20"/>
          <w:szCs w:val="20"/>
        </w:rPr>
        <w:t>, por causal atribuible a su parte,</w:t>
      </w:r>
      <w:r w:rsidRPr="00635027">
        <w:rPr>
          <w:rFonts w:ascii="Tahoma" w:hAnsi="Tahoma" w:cs="Tahoma"/>
          <w:color w:val="000000"/>
          <w:sz w:val="20"/>
          <w:szCs w:val="20"/>
        </w:rPr>
        <w:t xml:space="preserve"> y atendiendo a los siguientes:    </w:t>
      </w:r>
    </w:p>
    <w:p w:rsidR="00EC2AC1" w:rsidRDefault="00EC2AC1" w:rsidP="00EC2AC1">
      <w:pPr>
        <w:pStyle w:val="Textoindependiente"/>
        <w:widowControl/>
        <w:tabs>
          <w:tab w:val="left" w:pos="540"/>
        </w:tabs>
        <w:suppressAutoHyphens w:val="0"/>
      </w:pPr>
      <w:r w:rsidRPr="00072909">
        <w:rPr>
          <w:b/>
          <w:sz w:val="20"/>
        </w:rPr>
        <w:t xml:space="preserve"> ANTECEDENTES</w:t>
      </w:r>
      <w:r w:rsidRPr="00072909">
        <w:t>:</w:t>
      </w:r>
    </w:p>
    <w:p w:rsidR="00EC2AC1" w:rsidRDefault="00EC2AC1" w:rsidP="00EC2AC1">
      <w:pPr>
        <w:pStyle w:val="Textoindependiente"/>
        <w:widowControl/>
        <w:tabs>
          <w:tab w:val="left" w:pos="540"/>
        </w:tabs>
        <w:suppressAutoHyphens w:val="0"/>
      </w:pPr>
    </w:p>
    <w:p w:rsidR="00EC2AC1" w:rsidRPr="003B1F41" w:rsidRDefault="00EC2AC1" w:rsidP="00EC2AC1">
      <w:pPr>
        <w:numPr>
          <w:ilvl w:val="0"/>
          <w:numId w:val="1"/>
        </w:numPr>
        <w:tabs>
          <w:tab w:val="num" w:pos="540"/>
        </w:tabs>
        <w:ind w:left="540" w:hanging="540"/>
        <w:jc w:val="both"/>
        <w:rPr>
          <w:rFonts w:ascii="Tahoma" w:hAnsi="Tahoma" w:cs="Tahoma"/>
        </w:rPr>
      </w:pPr>
      <w:r w:rsidRPr="003B1F41">
        <w:rPr>
          <w:rFonts w:ascii="Tahoma" w:hAnsi="Tahoma" w:cs="Tahoma"/>
        </w:rPr>
        <w:t>A través de la publicación efectuada el 29 de mayo de 2006 en el Sistema Electrónico de Contrataciones y Adquisiciones del Estado (SEACE),  la Dirección General de Material de la Marina de Guerra del Perú del Ministerio de Defensa, en adelante la Entidad, convocó la Adjudicación de Menor Cuantía N.° AMC-0043-2006-MGP/DIMATEMAR, para la contratación del servicio de reparación de cámara frigorífica de carne, por un valor referencial equivalente a S/. 19 500,00 (Diecinueve y un mil quinientos con 00/100 nuevos soles).</w:t>
      </w:r>
    </w:p>
    <w:p w:rsidR="00EC2AC1" w:rsidRPr="003B1F41" w:rsidRDefault="00EC2AC1" w:rsidP="00EC2AC1">
      <w:pPr>
        <w:jc w:val="both"/>
        <w:rPr>
          <w:rFonts w:ascii="Tahoma" w:hAnsi="Tahoma" w:cs="Tahoma"/>
        </w:rPr>
      </w:pPr>
    </w:p>
    <w:p w:rsidR="00EC2AC1" w:rsidRPr="003B1F41" w:rsidRDefault="00EC2AC1" w:rsidP="00EC2AC1">
      <w:pPr>
        <w:numPr>
          <w:ilvl w:val="0"/>
          <w:numId w:val="1"/>
        </w:numPr>
        <w:tabs>
          <w:tab w:val="num" w:pos="540"/>
        </w:tabs>
        <w:ind w:left="540" w:hanging="540"/>
        <w:jc w:val="both"/>
        <w:rPr>
          <w:rFonts w:ascii="Tahoma" w:hAnsi="Tahoma" w:cs="Tahoma"/>
        </w:rPr>
      </w:pPr>
      <w:r w:rsidRPr="003B1F41">
        <w:rPr>
          <w:rFonts w:ascii="Tahoma" w:hAnsi="Tahoma" w:cs="Tahoma"/>
        </w:rPr>
        <w:t xml:space="preserve">En acto privado realizado el 06 de junio de 2006, el Comité Especial otorgó la buena pro del proceso de selección a la empresa Fan </w:t>
      </w:r>
      <w:proofErr w:type="spellStart"/>
      <w:r w:rsidRPr="003B1F41">
        <w:rPr>
          <w:rFonts w:ascii="Tahoma" w:hAnsi="Tahoma" w:cs="Tahoma"/>
        </w:rPr>
        <w:t>Cold</w:t>
      </w:r>
      <w:proofErr w:type="spellEnd"/>
      <w:r w:rsidRPr="003B1F41">
        <w:rPr>
          <w:rFonts w:ascii="Tahoma" w:hAnsi="Tahoma" w:cs="Tahoma"/>
        </w:rPr>
        <w:t xml:space="preserve"> </w:t>
      </w:r>
      <w:proofErr w:type="spellStart"/>
      <w:r w:rsidRPr="003B1F41">
        <w:rPr>
          <w:rFonts w:ascii="Tahoma" w:hAnsi="Tahoma" w:cs="Tahoma"/>
        </w:rPr>
        <w:t>Sistem</w:t>
      </w:r>
      <w:proofErr w:type="spellEnd"/>
      <w:r w:rsidRPr="003B1F41">
        <w:rPr>
          <w:rFonts w:ascii="Tahoma" w:hAnsi="Tahoma" w:cs="Tahoma"/>
        </w:rPr>
        <w:t xml:space="preserve"> S.R.L., en adelante la Contratista, cuya oferta económica ascendió a S/. 13 650 ,00 (Trece mil  seiscientos cincuenta con 00/100 nuevos soles).</w:t>
      </w:r>
    </w:p>
    <w:p w:rsidR="00EC2AC1" w:rsidRPr="003B1F41" w:rsidRDefault="00EC2AC1" w:rsidP="00EC2AC1">
      <w:pPr>
        <w:jc w:val="both"/>
        <w:rPr>
          <w:rFonts w:ascii="Tahoma" w:hAnsi="Tahoma" w:cs="Tahoma"/>
        </w:rPr>
      </w:pPr>
    </w:p>
    <w:p w:rsidR="00EC2AC1" w:rsidRPr="003B1F41" w:rsidRDefault="00EC2AC1" w:rsidP="00EC2AC1">
      <w:pPr>
        <w:numPr>
          <w:ilvl w:val="0"/>
          <w:numId w:val="1"/>
        </w:numPr>
        <w:tabs>
          <w:tab w:val="num" w:pos="540"/>
        </w:tabs>
        <w:ind w:left="540" w:hanging="540"/>
        <w:jc w:val="both"/>
        <w:rPr>
          <w:rFonts w:ascii="Tahoma" w:hAnsi="Tahoma" w:cs="Tahoma"/>
        </w:rPr>
      </w:pPr>
      <w:r w:rsidRPr="003B1F41">
        <w:rPr>
          <w:rFonts w:ascii="Tahoma" w:hAnsi="Tahoma" w:cs="Tahoma"/>
        </w:rPr>
        <w:t>El 14 de junio de 2006, la Entidad y la Contratista suscriben la Orden de Servicio Nº 024-2006-MGP/DIALI. En ella ambas partes estipularon que el servicio sería prestado dentro de los quince (15) días calendario contados a partir del día siguiente de su entrada en vigencia.</w:t>
      </w:r>
    </w:p>
    <w:p w:rsidR="00EC2AC1" w:rsidRPr="003B1F41" w:rsidRDefault="00EC2AC1" w:rsidP="00EC2AC1">
      <w:pPr>
        <w:jc w:val="both"/>
        <w:rPr>
          <w:rFonts w:ascii="Tahoma" w:hAnsi="Tahoma" w:cs="Tahoma"/>
        </w:rPr>
      </w:pPr>
    </w:p>
    <w:p w:rsidR="00EC2AC1" w:rsidRPr="003B1F41" w:rsidRDefault="00EC2AC1" w:rsidP="00EC2AC1">
      <w:pPr>
        <w:numPr>
          <w:ilvl w:val="0"/>
          <w:numId w:val="1"/>
        </w:numPr>
        <w:tabs>
          <w:tab w:val="num" w:pos="540"/>
        </w:tabs>
        <w:ind w:left="540" w:hanging="540"/>
        <w:jc w:val="both"/>
        <w:rPr>
          <w:rFonts w:ascii="Tahoma" w:hAnsi="Tahoma" w:cs="Tahoma"/>
        </w:rPr>
      </w:pPr>
      <w:r w:rsidRPr="003B1F41">
        <w:rPr>
          <w:rFonts w:ascii="Tahoma" w:hAnsi="Tahoma" w:cs="Tahoma"/>
        </w:rPr>
        <w:t>El Contratista mediante comunicación de fecha 04 de julio de 2006, solicita a la Entidad un plazo de siete (07) días hábiles adicionales al plazo establecido, a fin de culminar con el trabajo pendiente, referente a la reparación de la Cámara Frigorífica de Carne de la Estación Naval- La Perla.</w:t>
      </w:r>
    </w:p>
    <w:p w:rsidR="00EC2AC1" w:rsidRPr="003B1F41" w:rsidRDefault="00EC2AC1" w:rsidP="00EC2AC1">
      <w:pPr>
        <w:jc w:val="both"/>
        <w:rPr>
          <w:rFonts w:ascii="Tahoma" w:hAnsi="Tahoma" w:cs="Tahoma"/>
        </w:rPr>
      </w:pPr>
    </w:p>
    <w:p w:rsidR="00EC2AC1" w:rsidRPr="003B1F41" w:rsidRDefault="00EC2AC1" w:rsidP="00EC2AC1">
      <w:pPr>
        <w:numPr>
          <w:ilvl w:val="0"/>
          <w:numId w:val="1"/>
        </w:numPr>
        <w:tabs>
          <w:tab w:val="num" w:pos="540"/>
        </w:tabs>
        <w:ind w:left="540" w:hanging="540"/>
        <w:jc w:val="both"/>
        <w:rPr>
          <w:rFonts w:ascii="Tahoma" w:hAnsi="Tahoma" w:cs="Tahoma"/>
        </w:rPr>
      </w:pPr>
      <w:r w:rsidRPr="003B1F41">
        <w:rPr>
          <w:rFonts w:ascii="Tahoma" w:hAnsi="Tahoma" w:cs="Tahoma"/>
        </w:rPr>
        <w:t>Por Carta N.° V.200-1601 del 18 de julio de 2006, la Entidad comunicó al Contratista que había incumplido en plazo establecido para que efectúe el servicio de reparación de la cámara frigorífica de carne y que en vista de su retraso en la ejecución del servicio, se le aplicaría la mora de S/. 227,50 (Doscientos veintisiete con 50/100 nuevos soles).</w:t>
      </w:r>
    </w:p>
    <w:p w:rsidR="00EC2AC1" w:rsidRPr="003B1F41" w:rsidRDefault="00EC2AC1" w:rsidP="00EC2AC1">
      <w:pPr>
        <w:jc w:val="both"/>
        <w:rPr>
          <w:rFonts w:ascii="Tahoma" w:hAnsi="Tahoma" w:cs="Tahoma"/>
        </w:rPr>
      </w:pPr>
    </w:p>
    <w:p w:rsidR="00EC2AC1" w:rsidRPr="003B1F41" w:rsidRDefault="00EC2AC1" w:rsidP="00EC2AC1">
      <w:pPr>
        <w:numPr>
          <w:ilvl w:val="0"/>
          <w:numId w:val="1"/>
        </w:numPr>
        <w:tabs>
          <w:tab w:val="num" w:pos="540"/>
        </w:tabs>
        <w:ind w:left="540" w:hanging="540"/>
        <w:jc w:val="both"/>
        <w:rPr>
          <w:rFonts w:ascii="Tahoma" w:hAnsi="Tahoma" w:cs="Tahoma"/>
        </w:rPr>
      </w:pPr>
      <w:r w:rsidRPr="003B1F41">
        <w:rPr>
          <w:rFonts w:ascii="Tahoma" w:hAnsi="Tahoma" w:cs="Tahoma"/>
        </w:rPr>
        <w:t>Por Carta Nº V.200-1731 de 01 de agosto de 2006, la Entidad comunicó al Contratista que hasta la fecha no se ha cumplido con el servicio requerido, otorgándole un plazo adicional de 48 horas, apercibiéndolo que en caso de persistir el incumplimiento se comunicará al Tribunal de Contrataciones y Adquisiciones del Estado, solicitando la sanción respectiva.</w:t>
      </w:r>
    </w:p>
    <w:p w:rsidR="00EC2AC1" w:rsidRPr="003B1F41" w:rsidRDefault="00EC2AC1" w:rsidP="00EC2AC1">
      <w:pPr>
        <w:jc w:val="both"/>
        <w:rPr>
          <w:rFonts w:ascii="Tahoma" w:hAnsi="Tahoma" w:cs="Tahoma"/>
        </w:rPr>
      </w:pPr>
    </w:p>
    <w:p w:rsidR="00EC2AC1" w:rsidRPr="003B1F41" w:rsidRDefault="00EC2AC1" w:rsidP="00EC2AC1">
      <w:pPr>
        <w:numPr>
          <w:ilvl w:val="0"/>
          <w:numId w:val="1"/>
        </w:numPr>
        <w:tabs>
          <w:tab w:val="num" w:pos="540"/>
        </w:tabs>
        <w:ind w:left="540" w:hanging="540"/>
        <w:jc w:val="both"/>
        <w:rPr>
          <w:rFonts w:ascii="Tahoma" w:hAnsi="Tahoma" w:cs="Tahoma"/>
        </w:rPr>
      </w:pPr>
      <w:r w:rsidRPr="003B1F41">
        <w:rPr>
          <w:rFonts w:ascii="Tahoma" w:hAnsi="Tahoma" w:cs="Tahoma"/>
        </w:rPr>
        <w:t xml:space="preserve">No habiendo recibido ninguna comunicación mediante la cual expliquen las razones que justifiquen el incumplimiento de sus obligaciones, mediante Carta N.° V.200-1800, </w:t>
      </w:r>
      <w:proofErr w:type="gramStart"/>
      <w:r w:rsidRPr="003B1F41">
        <w:rPr>
          <w:rFonts w:ascii="Tahoma" w:hAnsi="Tahoma" w:cs="Tahoma"/>
        </w:rPr>
        <w:t>notificada</w:t>
      </w:r>
      <w:proofErr w:type="gramEnd"/>
      <w:r w:rsidRPr="003B1F41">
        <w:rPr>
          <w:rFonts w:ascii="Tahoma" w:hAnsi="Tahoma" w:cs="Tahoma"/>
        </w:rPr>
        <w:t xml:space="preserve"> por conducto notarial el 09 de agosto de 2006, la Entidad requirió a la Contratista que satisfaga la prestación a su cargo hasta el 15 de agosto, bajo apercibimiento de dar por resuelto la orden de servicio.</w:t>
      </w:r>
    </w:p>
    <w:p w:rsidR="00EC2AC1" w:rsidRPr="003B1F41" w:rsidRDefault="00EC2AC1" w:rsidP="00EC2AC1">
      <w:pPr>
        <w:jc w:val="both"/>
        <w:rPr>
          <w:rFonts w:ascii="Tahoma" w:hAnsi="Tahoma" w:cs="Tahoma"/>
        </w:rPr>
      </w:pPr>
    </w:p>
    <w:p w:rsidR="00EC2AC1" w:rsidRPr="003B1F41" w:rsidRDefault="00EC2AC1" w:rsidP="00EC2AC1">
      <w:pPr>
        <w:numPr>
          <w:ilvl w:val="0"/>
          <w:numId w:val="1"/>
        </w:numPr>
        <w:tabs>
          <w:tab w:val="num" w:pos="540"/>
        </w:tabs>
        <w:ind w:left="540" w:hanging="540"/>
        <w:jc w:val="both"/>
        <w:rPr>
          <w:rFonts w:ascii="Tahoma" w:hAnsi="Tahoma" w:cs="Tahoma"/>
        </w:rPr>
      </w:pPr>
      <w:r w:rsidRPr="003B1F41">
        <w:rPr>
          <w:rFonts w:ascii="Tahoma" w:hAnsi="Tahoma" w:cs="Tahoma"/>
        </w:rPr>
        <w:t>Persistiendo el incumplimiento, mediante Carta N.° V.200-2077 notificada notarialmente el 07 de setiembre de 2006, la Entidad comunicó a la Contratista su decisión de resolver el contrato correspondiéndole al Contratista devolver la cámara frigorífica de carne, en las mismas condiciones en las que le fueron entregadas. Asimismo le preciso que deberá efectu</w:t>
      </w:r>
      <w:r>
        <w:rPr>
          <w:rFonts w:ascii="Tahoma" w:hAnsi="Tahoma" w:cs="Tahoma"/>
        </w:rPr>
        <w:t>ar la cancelación de 1,365.00 (</w:t>
      </w:r>
      <w:r w:rsidRPr="003B1F41">
        <w:rPr>
          <w:rFonts w:ascii="Tahoma" w:hAnsi="Tahoma" w:cs="Tahoma"/>
        </w:rPr>
        <w:t>Un Mil trescientos sesenta y cinco con 00/100 Nuevos Soles</w:t>
      </w:r>
      <w:r>
        <w:rPr>
          <w:rFonts w:ascii="Tahoma" w:hAnsi="Tahoma" w:cs="Tahoma"/>
        </w:rPr>
        <w:t>)</w:t>
      </w:r>
      <w:r w:rsidRPr="003B1F41">
        <w:rPr>
          <w:rFonts w:ascii="Tahoma" w:hAnsi="Tahoma" w:cs="Tahoma"/>
        </w:rPr>
        <w:t>, equivalente al 10% del monto total de la Orden de Servicio.</w:t>
      </w:r>
    </w:p>
    <w:p w:rsidR="00EC2AC1" w:rsidRPr="003B1F41" w:rsidRDefault="00EC2AC1" w:rsidP="00EC2AC1">
      <w:pPr>
        <w:jc w:val="both"/>
        <w:rPr>
          <w:rFonts w:ascii="Tahoma" w:hAnsi="Tahoma" w:cs="Tahoma"/>
        </w:rPr>
      </w:pPr>
    </w:p>
    <w:p w:rsidR="00EC2AC1" w:rsidRPr="003B1F41" w:rsidRDefault="00EC2AC1" w:rsidP="00EC2AC1">
      <w:pPr>
        <w:numPr>
          <w:ilvl w:val="0"/>
          <w:numId w:val="1"/>
        </w:numPr>
        <w:tabs>
          <w:tab w:val="num" w:pos="540"/>
        </w:tabs>
        <w:ind w:left="540" w:hanging="540"/>
        <w:jc w:val="both"/>
        <w:rPr>
          <w:rFonts w:ascii="Tahoma" w:hAnsi="Tahoma" w:cs="Tahoma"/>
        </w:rPr>
      </w:pPr>
      <w:r w:rsidRPr="003B1F41">
        <w:rPr>
          <w:rFonts w:ascii="Tahoma" w:hAnsi="Tahoma" w:cs="Tahoma"/>
        </w:rPr>
        <w:t>Con Carta N.° V.200-2521 del 18 de octubre de 2006, la Entidad informó a la Contratista que el plazo concedido para la devolución de las bombas había vencido.</w:t>
      </w:r>
    </w:p>
    <w:p w:rsidR="00EC2AC1" w:rsidRPr="003B1F41" w:rsidRDefault="00EC2AC1" w:rsidP="00EC2AC1">
      <w:pPr>
        <w:jc w:val="both"/>
        <w:rPr>
          <w:rFonts w:ascii="Tahoma" w:hAnsi="Tahoma" w:cs="Tahoma"/>
        </w:rPr>
      </w:pPr>
    </w:p>
    <w:p w:rsidR="00EC2AC1" w:rsidRPr="003B1F41" w:rsidRDefault="00EC2AC1" w:rsidP="00EC2AC1">
      <w:pPr>
        <w:numPr>
          <w:ilvl w:val="0"/>
          <w:numId w:val="1"/>
        </w:numPr>
        <w:tabs>
          <w:tab w:val="num" w:pos="540"/>
        </w:tabs>
        <w:ind w:left="540" w:hanging="720"/>
        <w:jc w:val="both"/>
        <w:rPr>
          <w:rFonts w:ascii="Tahoma" w:hAnsi="Tahoma" w:cs="Tahoma"/>
        </w:rPr>
      </w:pPr>
      <w:r w:rsidRPr="003B1F41">
        <w:rPr>
          <w:rFonts w:ascii="Tahoma" w:hAnsi="Tahoma" w:cs="Tahoma"/>
        </w:rPr>
        <w:t>El 09 de marzo de 2007, la Entidad solicitó al Tribunal de Contrataciones y Adquisiciones del Estado, en adelante el Tribunal, que imponga sanción administrativa al Postor por dar lugar a la resolución del contrato por causal atribuible a su parte.</w:t>
      </w:r>
    </w:p>
    <w:p w:rsidR="00EC2AC1" w:rsidRPr="003B1F41" w:rsidRDefault="00EC2AC1" w:rsidP="00EC2AC1">
      <w:pPr>
        <w:jc w:val="both"/>
        <w:rPr>
          <w:rFonts w:ascii="Tahoma" w:hAnsi="Tahoma" w:cs="Tahoma"/>
        </w:rPr>
      </w:pPr>
    </w:p>
    <w:p w:rsidR="00EC2AC1" w:rsidRPr="003B1F41" w:rsidRDefault="00EC2AC1" w:rsidP="00EC2AC1">
      <w:pPr>
        <w:numPr>
          <w:ilvl w:val="0"/>
          <w:numId w:val="1"/>
        </w:numPr>
        <w:tabs>
          <w:tab w:val="num" w:pos="540"/>
        </w:tabs>
        <w:ind w:left="540" w:hanging="720"/>
        <w:jc w:val="both"/>
        <w:rPr>
          <w:rFonts w:ascii="Tahoma" w:hAnsi="Tahoma" w:cs="Tahoma"/>
        </w:rPr>
      </w:pPr>
      <w:r w:rsidRPr="003B1F41">
        <w:rPr>
          <w:rFonts w:ascii="Tahoma" w:hAnsi="Tahoma" w:cs="Tahoma"/>
        </w:rPr>
        <w:t xml:space="preserve">En atención a dicha denuncia, mediante Decreto del 13 de </w:t>
      </w:r>
      <w:proofErr w:type="spellStart"/>
      <w:r w:rsidRPr="003B1F41">
        <w:rPr>
          <w:rFonts w:ascii="Tahoma" w:hAnsi="Tahoma" w:cs="Tahoma"/>
        </w:rPr>
        <w:t>mazo</w:t>
      </w:r>
      <w:proofErr w:type="spellEnd"/>
      <w:r w:rsidRPr="003B1F41">
        <w:rPr>
          <w:rFonts w:ascii="Tahoma" w:hAnsi="Tahoma" w:cs="Tahoma"/>
        </w:rPr>
        <w:t xml:space="preserve"> de 2007, el Tribunal inició procedimiento administrativo sancionador contra la Contratista por supuesta responsabilidad en dar lugar a la resolución del contrato, y la emplazó para que formule sus descargos en el plazo de diez (10) días.</w:t>
      </w:r>
    </w:p>
    <w:p w:rsidR="00EC2AC1" w:rsidRPr="003B1F41" w:rsidRDefault="00EC2AC1" w:rsidP="00EC2AC1">
      <w:pPr>
        <w:jc w:val="both"/>
        <w:rPr>
          <w:rFonts w:ascii="Tahoma" w:hAnsi="Tahoma" w:cs="Tahoma"/>
        </w:rPr>
      </w:pPr>
    </w:p>
    <w:p w:rsidR="00EC2AC1" w:rsidRDefault="00EC2AC1" w:rsidP="00EC2AC1">
      <w:pPr>
        <w:numPr>
          <w:ilvl w:val="0"/>
          <w:numId w:val="1"/>
        </w:numPr>
        <w:tabs>
          <w:tab w:val="num" w:pos="540"/>
        </w:tabs>
        <w:ind w:left="540" w:hanging="720"/>
        <w:jc w:val="both"/>
        <w:rPr>
          <w:rFonts w:ascii="Tahoma" w:hAnsi="Tahoma" w:cs="Tahoma"/>
        </w:rPr>
      </w:pPr>
      <w:r w:rsidRPr="003B1F41">
        <w:rPr>
          <w:rFonts w:ascii="Tahoma" w:hAnsi="Tahoma" w:cs="Tahoma"/>
        </w:rPr>
        <w:t xml:space="preserve">Mediante decreto del 11 de abril de 2007, y no habiendo cumplido la Contratista con presentar sus descargos y obrando en autos los antecedentes administrativos remitidos; se hizo efectivo el apercibimiento decretado de resolver con la documentación obrante en autos y se remitió el expediente a la Tercera Sala del Tribunal para que resuelva. </w:t>
      </w:r>
    </w:p>
    <w:p w:rsidR="00EC2AC1" w:rsidRPr="003B1F41" w:rsidRDefault="00EC2AC1" w:rsidP="00EC2AC1">
      <w:pPr>
        <w:jc w:val="both"/>
        <w:rPr>
          <w:rFonts w:ascii="Tahoma" w:hAnsi="Tahoma" w:cs="Tahoma"/>
        </w:rPr>
      </w:pPr>
    </w:p>
    <w:p w:rsidR="00EC2AC1" w:rsidRDefault="00EC2AC1" w:rsidP="00EC2AC1">
      <w:pPr>
        <w:pStyle w:val="Textoindependiente"/>
        <w:rPr>
          <w:rFonts w:cs="Tahoma"/>
          <w:b/>
          <w:sz w:val="20"/>
          <w:lang w:val="es-MX"/>
        </w:rPr>
      </w:pPr>
      <w:r w:rsidRPr="00072909">
        <w:rPr>
          <w:rFonts w:cs="Tahoma"/>
          <w:b/>
          <w:sz w:val="20"/>
        </w:rPr>
        <w:t>FUNDAMENTACIÓN:</w:t>
      </w:r>
      <w:r w:rsidRPr="00072909">
        <w:rPr>
          <w:rFonts w:cs="Tahoma"/>
          <w:b/>
          <w:sz w:val="20"/>
          <w:lang w:val="es-MX"/>
        </w:rPr>
        <w:t xml:space="preserve"> </w:t>
      </w:r>
    </w:p>
    <w:p w:rsidR="00EC2AC1" w:rsidRPr="00072909" w:rsidRDefault="00EC2AC1" w:rsidP="00EC2AC1">
      <w:pPr>
        <w:pStyle w:val="Textoindependiente"/>
        <w:rPr>
          <w:rFonts w:cs="Tahoma"/>
          <w:b/>
          <w:sz w:val="20"/>
          <w:lang w:val="es-MX"/>
        </w:rPr>
      </w:pPr>
    </w:p>
    <w:p w:rsidR="00EC2AC1" w:rsidRPr="003B1F41" w:rsidRDefault="00EC2AC1" w:rsidP="00EC2AC1">
      <w:pPr>
        <w:numPr>
          <w:ilvl w:val="0"/>
          <w:numId w:val="2"/>
        </w:numPr>
        <w:tabs>
          <w:tab w:val="num" w:pos="540"/>
        </w:tabs>
        <w:ind w:left="540" w:hanging="540"/>
        <w:jc w:val="both"/>
        <w:rPr>
          <w:rFonts w:ascii="Tahoma" w:hAnsi="Tahoma" w:cs="Tahoma"/>
        </w:rPr>
      </w:pPr>
      <w:r w:rsidRPr="003B1F41">
        <w:rPr>
          <w:rFonts w:ascii="Tahoma" w:hAnsi="Tahoma" w:cs="Tahoma"/>
        </w:rPr>
        <w:t xml:space="preserve">El presente procedimiento está referido a la supuesta responsabilidad de la empresa Fan </w:t>
      </w:r>
      <w:proofErr w:type="spellStart"/>
      <w:r w:rsidRPr="003B1F41">
        <w:rPr>
          <w:rFonts w:ascii="Tahoma" w:hAnsi="Tahoma" w:cs="Tahoma"/>
        </w:rPr>
        <w:t>Cold</w:t>
      </w:r>
      <w:proofErr w:type="spellEnd"/>
      <w:r w:rsidRPr="003B1F41">
        <w:rPr>
          <w:rFonts w:ascii="Tahoma" w:hAnsi="Tahoma" w:cs="Tahoma"/>
        </w:rPr>
        <w:t xml:space="preserve"> </w:t>
      </w:r>
      <w:proofErr w:type="spellStart"/>
      <w:r w:rsidRPr="003B1F41">
        <w:rPr>
          <w:rFonts w:ascii="Tahoma" w:hAnsi="Tahoma" w:cs="Tahoma"/>
        </w:rPr>
        <w:t>Sistem</w:t>
      </w:r>
      <w:proofErr w:type="spellEnd"/>
      <w:r w:rsidRPr="003B1F41">
        <w:rPr>
          <w:rFonts w:ascii="Tahoma" w:hAnsi="Tahoma" w:cs="Tahoma"/>
        </w:rPr>
        <w:t xml:space="preserve"> S.R.L.</w:t>
      </w:r>
      <w:r w:rsidRPr="003B1F41">
        <w:rPr>
          <w:rFonts w:ascii="Tahoma" w:hAnsi="Tahoma" w:cs="Tahoma"/>
          <w:lang w:val="es-PE"/>
        </w:rPr>
        <w:t xml:space="preserve"> </w:t>
      </w:r>
      <w:r w:rsidRPr="003B1F41">
        <w:rPr>
          <w:rFonts w:ascii="Tahoma" w:hAnsi="Tahoma" w:cs="Tahoma"/>
        </w:rPr>
        <w:t>por dar lugar a la resolución de la Orden de Servicios N</w:t>
      </w:r>
      <w:proofErr w:type="gramStart"/>
      <w:r w:rsidRPr="003B1F41">
        <w:rPr>
          <w:rFonts w:ascii="Tahoma" w:hAnsi="Tahoma" w:cs="Tahoma"/>
        </w:rPr>
        <w:t>.°</w:t>
      </w:r>
      <w:proofErr w:type="gramEnd"/>
      <w:r w:rsidRPr="003B1F41">
        <w:rPr>
          <w:rFonts w:ascii="Tahoma" w:hAnsi="Tahoma" w:cs="Tahoma"/>
        </w:rPr>
        <w:t>024-2006- MGP /DIALI</w:t>
      </w:r>
      <w:r w:rsidRPr="003B1F41">
        <w:rPr>
          <w:rStyle w:val="Refdenotaalpie"/>
          <w:rFonts w:ascii="Tahoma" w:hAnsi="Tahoma" w:cs="Tahoma"/>
        </w:rPr>
        <w:footnoteReference w:id="2"/>
      </w:r>
      <w:r w:rsidRPr="003B1F41">
        <w:rPr>
          <w:rFonts w:ascii="Tahoma" w:hAnsi="Tahoma" w:cs="Tahoma"/>
        </w:rPr>
        <w:t xml:space="preserve"> por causal atribuible a su parte; infracción tipificada en el numeral 2) del artículo 294 del Reglamento de la Ley de Contrataciones y Adquisiciones del Estado, aprobado por Decreto Supremo N.° 084-2004-PCM, en adelante el Reglamento, norma vigente al suscitarse los hechos imputados.</w:t>
      </w:r>
    </w:p>
    <w:p w:rsidR="00EC2AC1" w:rsidRPr="003B1F41" w:rsidRDefault="00EC2AC1" w:rsidP="00EC2AC1">
      <w:pPr>
        <w:jc w:val="both"/>
        <w:rPr>
          <w:rFonts w:ascii="Tahoma" w:hAnsi="Tahoma" w:cs="Tahoma"/>
        </w:rPr>
      </w:pPr>
    </w:p>
    <w:p w:rsidR="00EC2AC1" w:rsidRPr="003B1F41" w:rsidRDefault="00EC2AC1" w:rsidP="00EC2AC1">
      <w:pPr>
        <w:numPr>
          <w:ilvl w:val="0"/>
          <w:numId w:val="2"/>
        </w:numPr>
        <w:tabs>
          <w:tab w:val="clear" w:pos="720"/>
          <w:tab w:val="num" w:pos="540"/>
        </w:tabs>
        <w:ind w:left="540" w:hanging="540"/>
        <w:jc w:val="both"/>
        <w:rPr>
          <w:rFonts w:ascii="Tahoma" w:hAnsi="Tahoma" w:cs="Tahoma"/>
        </w:rPr>
      </w:pPr>
      <w:r w:rsidRPr="003B1F41">
        <w:rPr>
          <w:rFonts w:ascii="Tahoma" w:hAnsi="Tahoma" w:cs="Tahoma"/>
        </w:rPr>
        <w:t>La infracción tipificada en el numeral 2) del artículo 294 del Reglamento vigente ha establecido como supuesto de hecho indispensable para su configuración, la resolución del contrato, orden de compra o de servicios, según corresponda, por causal atribuible a los contratistas.</w:t>
      </w:r>
    </w:p>
    <w:p w:rsidR="00EC2AC1" w:rsidRPr="003B1F41" w:rsidRDefault="00EC2AC1" w:rsidP="00EC2AC1">
      <w:pPr>
        <w:tabs>
          <w:tab w:val="num" w:pos="720"/>
        </w:tabs>
        <w:jc w:val="both"/>
        <w:rPr>
          <w:rFonts w:ascii="Tahoma" w:hAnsi="Tahoma" w:cs="Tahoma"/>
        </w:rPr>
      </w:pPr>
    </w:p>
    <w:p w:rsidR="00EC2AC1" w:rsidRPr="003B1F41" w:rsidRDefault="00EC2AC1" w:rsidP="00EC2AC1">
      <w:pPr>
        <w:numPr>
          <w:ilvl w:val="0"/>
          <w:numId w:val="2"/>
        </w:numPr>
        <w:tabs>
          <w:tab w:val="clear" w:pos="720"/>
          <w:tab w:val="num" w:pos="540"/>
        </w:tabs>
        <w:ind w:left="540" w:hanging="540"/>
        <w:jc w:val="both"/>
        <w:rPr>
          <w:rFonts w:ascii="Tahoma" w:hAnsi="Tahoma" w:cs="Tahoma"/>
        </w:rPr>
      </w:pPr>
      <w:r w:rsidRPr="003B1F41">
        <w:rPr>
          <w:rFonts w:ascii="Tahoma" w:hAnsi="Tahoma" w:cs="Tahoma"/>
        </w:rPr>
        <w:t>Al respecto, el artículo 225 del Reglamento dispone que la Entidad podrá resolver el contrato, de conformidad con el inciso c) del artículo 41 del Texto Único Ordenado de la Ley de Contrataciones y Adquisiciones del Estado, aprobado mediante Decreto Supremo N</w:t>
      </w:r>
      <w:proofErr w:type="gramStart"/>
      <w:r w:rsidRPr="003B1F41">
        <w:rPr>
          <w:rFonts w:ascii="Tahoma" w:hAnsi="Tahoma" w:cs="Tahoma"/>
        </w:rPr>
        <w:t>.º</w:t>
      </w:r>
      <w:proofErr w:type="gramEnd"/>
      <w:r w:rsidRPr="003B1F41">
        <w:rPr>
          <w:rFonts w:ascii="Tahoma" w:hAnsi="Tahoma" w:cs="Tahoma"/>
        </w:rPr>
        <w:t xml:space="preserve"> 083-2004-PCM, en adelante la Ley, cuando los contratistas incumplan injustificadamente obligaciones contractuales, legales o reglamentarias a su cargo, pese a haber sido requeridos para ello.</w:t>
      </w:r>
    </w:p>
    <w:p w:rsidR="00EC2AC1" w:rsidRPr="003B1F41" w:rsidRDefault="00EC2AC1" w:rsidP="00EC2AC1">
      <w:pPr>
        <w:jc w:val="both"/>
        <w:rPr>
          <w:rFonts w:ascii="Tahoma" w:hAnsi="Tahoma" w:cs="Tahoma"/>
        </w:rPr>
      </w:pPr>
    </w:p>
    <w:p w:rsidR="00EC2AC1" w:rsidRPr="003B1F41" w:rsidRDefault="00EC2AC1" w:rsidP="00EC2AC1">
      <w:pPr>
        <w:numPr>
          <w:ilvl w:val="0"/>
          <w:numId w:val="2"/>
        </w:numPr>
        <w:tabs>
          <w:tab w:val="clear" w:pos="720"/>
          <w:tab w:val="num" w:pos="540"/>
        </w:tabs>
        <w:ind w:left="540" w:hanging="540"/>
        <w:jc w:val="both"/>
        <w:rPr>
          <w:rFonts w:ascii="Tahoma" w:hAnsi="Tahoma" w:cs="Tahoma"/>
        </w:rPr>
      </w:pPr>
      <w:r w:rsidRPr="003B1F41">
        <w:rPr>
          <w:rFonts w:ascii="Tahoma" w:hAnsi="Tahoma" w:cs="Tahoma"/>
        </w:rPr>
        <w:lastRenderedPageBreak/>
        <w:t xml:space="preserve">El procedimiento de resolución contractual ha sido previsto en el artículo 226 del Reglamento, el cual dispone que en </w:t>
      </w:r>
      <w:r w:rsidRPr="003B1F41">
        <w:rPr>
          <w:rFonts w:ascii="Tahoma" w:hAnsi="Tahoma" w:cs="Tahoma"/>
          <w:lang w:val="es-ES_tradnl"/>
        </w:rPr>
        <w:t xml:space="preserve">caso de incumplimiento contractual, la parte afectada requerirá a la otra notarialmente para que satisfaga sus obligaciones en un plazo no mayor de cinco (05) días, bajo apercibimiento de resolver el contrato.  Dependiendo del monto involucrado y de la complejidad, envergadura o sofisticación de la adquisición o contratación, la Entidad podrá establecer plazos mayores, los cuales no superarán en ningún caso los quince (15) días.  Asimismo, el citado dispositivo reglamentario precisa que de continuar con el incumplimiento, la parte perjudicada comunicará notarialmente la resolución total o parcial del contrato. </w:t>
      </w:r>
    </w:p>
    <w:p w:rsidR="00EC2AC1" w:rsidRPr="003B1F41" w:rsidRDefault="00EC2AC1" w:rsidP="00EC2AC1">
      <w:pPr>
        <w:jc w:val="both"/>
        <w:rPr>
          <w:rFonts w:ascii="Tahoma" w:hAnsi="Tahoma" w:cs="Tahoma"/>
          <w:lang w:val="es-ES_tradnl"/>
        </w:rPr>
      </w:pPr>
    </w:p>
    <w:p w:rsidR="00EC2AC1" w:rsidRPr="003B1F41" w:rsidRDefault="00EC2AC1" w:rsidP="00EC2AC1">
      <w:pPr>
        <w:ind w:left="540"/>
        <w:jc w:val="both"/>
        <w:rPr>
          <w:rFonts w:ascii="Tahoma" w:hAnsi="Tahoma" w:cs="Tahoma"/>
          <w:lang w:val="es-ES_tradnl"/>
        </w:rPr>
      </w:pPr>
      <w:r w:rsidRPr="003B1F41">
        <w:rPr>
          <w:rFonts w:ascii="Tahoma" w:hAnsi="Tahoma" w:cs="Tahoma"/>
          <w:lang w:val="es-ES_tradnl"/>
        </w:rPr>
        <w:t xml:space="preserve">El cumplimiento de este procedimiento es </w:t>
      </w:r>
      <w:r w:rsidRPr="003B1F41">
        <w:rPr>
          <w:rFonts w:ascii="Tahoma" w:hAnsi="Tahoma" w:cs="Tahoma"/>
          <w:b/>
          <w:i/>
          <w:lang w:val="es-ES_tradnl"/>
        </w:rPr>
        <w:t>condición sine qua non</w:t>
      </w:r>
      <w:r w:rsidRPr="003B1F41">
        <w:rPr>
          <w:rFonts w:ascii="Tahoma" w:hAnsi="Tahoma" w:cs="Tahoma"/>
          <w:lang w:val="es-ES_tradnl"/>
        </w:rPr>
        <w:t xml:space="preserve"> para evaluar la existencia de eventuales responsabilidades de carácter administrativo.</w:t>
      </w:r>
    </w:p>
    <w:p w:rsidR="00EC2AC1" w:rsidRPr="003B1F41" w:rsidRDefault="00EC2AC1" w:rsidP="00EC2AC1">
      <w:pPr>
        <w:ind w:left="540"/>
        <w:jc w:val="both"/>
        <w:rPr>
          <w:rFonts w:ascii="Tahoma" w:hAnsi="Tahoma" w:cs="Tahoma"/>
          <w:lang w:val="es-ES_tradnl"/>
        </w:rPr>
      </w:pPr>
    </w:p>
    <w:p w:rsidR="00EC2AC1" w:rsidRPr="003B1F41" w:rsidRDefault="00EC2AC1" w:rsidP="00EC2AC1">
      <w:pPr>
        <w:numPr>
          <w:ilvl w:val="0"/>
          <w:numId w:val="2"/>
        </w:numPr>
        <w:tabs>
          <w:tab w:val="clear" w:pos="720"/>
          <w:tab w:val="num" w:pos="540"/>
        </w:tabs>
        <w:ind w:left="540" w:hanging="540"/>
        <w:jc w:val="both"/>
        <w:rPr>
          <w:rFonts w:ascii="Tahoma" w:hAnsi="Tahoma" w:cs="Tahoma"/>
        </w:rPr>
      </w:pPr>
      <w:r w:rsidRPr="003B1F41">
        <w:rPr>
          <w:rFonts w:ascii="Tahoma" w:hAnsi="Tahoma" w:cs="Tahoma"/>
          <w:lang w:val="es-MX"/>
        </w:rPr>
        <w:t xml:space="preserve">De la revisión de los antecedentes se aprecia que en virtud del contrato suscrito, la Contratista se obligó a realizar el </w:t>
      </w:r>
      <w:r w:rsidRPr="003B1F41">
        <w:rPr>
          <w:rFonts w:ascii="Tahoma" w:hAnsi="Tahoma" w:cs="Tahoma"/>
        </w:rPr>
        <w:t>servicio de reparación de la cámara frigorífica de carne en el plazo de quince (15) días.  Vencido dicho plazo sin haber recibido comunicación alguna mediante la cual se explique las razones que justifiquen el incumplimiento de sus obligaciones, mediante Carta N.° V.200-1800, notificada por conducto notarial el 09 de agosto de 2006, la Entidad requirió a la Contratista que satisfaga la prestación a su cargo hasta el 15 de agosto, bajo apercibimiento de dar por resuelto el vínculo contractual.  Persistiendo el incumplimiento, mediante Carta N.° V.200-2077, notificada notarialmente el 07 de setiembre de 2006, la Entidad comunicó a la Contratista su decisión de resolver la orden de servicios y le solicitó devolver los equipos en las mismas condiciones en las que les fueron entregadas.</w:t>
      </w:r>
    </w:p>
    <w:p w:rsidR="00EC2AC1" w:rsidRPr="003B1F41" w:rsidRDefault="00EC2AC1" w:rsidP="00EC2AC1">
      <w:pPr>
        <w:ind w:left="360"/>
        <w:jc w:val="both"/>
        <w:rPr>
          <w:rFonts w:ascii="Tahoma" w:hAnsi="Tahoma" w:cs="Tahoma"/>
        </w:rPr>
      </w:pPr>
    </w:p>
    <w:p w:rsidR="00EC2AC1" w:rsidRPr="003B1F41" w:rsidRDefault="00EC2AC1" w:rsidP="00EC2AC1">
      <w:pPr>
        <w:numPr>
          <w:ilvl w:val="0"/>
          <w:numId w:val="2"/>
        </w:numPr>
        <w:tabs>
          <w:tab w:val="clear" w:pos="720"/>
          <w:tab w:val="num" w:pos="540"/>
        </w:tabs>
        <w:ind w:left="540" w:hanging="540"/>
        <w:jc w:val="both"/>
        <w:rPr>
          <w:rFonts w:ascii="Tahoma" w:hAnsi="Tahoma" w:cs="Tahoma"/>
          <w:b/>
          <w:lang w:val="es-ES_tradnl"/>
        </w:rPr>
      </w:pPr>
      <w:r w:rsidRPr="003B1F41">
        <w:rPr>
          <w:rFonts w:ascii="Tahoma" w:hAnsi="Tahoma" w:cs="Tahoma"/>
        </w:rPr>
        <w:t>E</w:t>
      </w:r>
      <w:r w:rsidRPr="003B1F41">
        <w:rPr>
          <w:rFonts w:ascii="Tahoma" w:hAnsi="Tahoma" w:cs="Tahoma"/>
          <w:lang w:val="es-ES_tradnl"/>
        </w:rPr>
        <w:t xml:space="preserve">n razón a lo expuesto, habiéndose acreditado que la </w:t>
      </w:r>
      <w:r w:rsidRPr="003B1F41">
        <w:rPr>
          <w:rFonts w:ascii="Tahoma" w:hAnsi="Tahoma" w:cs="Tahoma"/>
        </w:rPr>
        <w:t xml:space="preserve">Entidad requirió válidamente a la Contratista para que cumpla sus obligaciones, </w:t>
      </w:r>
      <w:r w:rsidRPr="003B1F41">
        <w:rPr>
          <w:rFonts w:ascii="Tahoma" w:hAnsi="Tahoma" w:cs="Tahoma"/>
          <w:lang w:val="es-ES_tradnl"/>
        </w:rPr>
        <w:t xml:space="preserve">corresponde a este Colegiado determinar si dicha conducta resultó justificada o no, en tanto que solamente el incumplimiento que obedece a causas injustificadas atribuibles a los contratistas es sancionable administrativamente.  </w:t>
      </w:r>
    </w:p>
    <w:p w:rsidR="00EC2AC1" w:rsidRPr="003B1F41" w:rsidRDefault="00EC2AC1" w:rsidP="00EC2AC1">
      <w:pPr>
        <w:jc w:val="both"/>
        <w:rPr>
          <w:rFonts w:ascii="Tahoma" w:hAnsi="Tahoma" w:cs="Tahoma"/>
        </w:rPr>
      </w:pPr>
    </w:p>
    <w:p w:rsidR="00EC2AC1" w:rsidRPr="003B1F41" w:rsidRDefault="00EC2AC1" w:rsidP="00EC2AC1">
      <w:pPr>
        <w:numPr>
          <w:ilvl w:val="0"/>
          <w:numId w:val="2"/>
        </w:numPr>
        <w:tabs>
          <w:tab w:val="clear" w:pos="720"/>
          <w:tab w:val="num" w:pos="540"/>
        </w:tabs>
        <w:ind w:left="540" w:hanging="540"/>
        <w:jc w:val="both"/>
        <w:rPr>
          <w:rFonts w:ascii="Tahoma" w:hAnsi="Tahoma" w:cs="Tahoma"/>
        </w:rPr>
      </w:pPr>
      <w:r w:rsidRPr="003B1F41">
        <w:rPr>
          <w:rFonts w:ascii="Tahoma" w:hAnsi="Tahoma" w:cs="Tahoma"/>
        </w:rPr>
        <w:t>Respecto a ello, es necesario tener en cuenta que existe una presunción legal</w:t>
      </w:r>
      <w:r w:rsidRPr="003B1F41">
        <w:rPr>
          <w:rStyle w:val="Refdenotaalpie"/>
          <w:rFonts w:ascii="Tahoma" w:hAnsi="Tahoma" w:cs="Tahoma"/>
        </w:rPr>
        <w:footnoteReference w:id="3"/>
      </w:r>
      <w:r w:rsidRPr="003B1F41">
        <w:rPr>
          <w:rFonts w:ascii="Tahoma" w:hAnsi="Tahoma" w:cs="Tahoma"/>
        </w:rPr>
        <w:t xml:space="preserve"> de que el incumplimiento de obligaciones o su cumplimiento parcial, tardío o defectuoso, es atribuible a la parte que debió ejecutarlas, salvo que ésta demuestre que el incumplimiento se produjo a pesar de haber actuado con la diligencia ordinaria exigida por la naturaleza de la prestación, o que la causa de ella fue un caso fortuito o fuerza mayor.  </w:t>
      </w:r>
    </w:p>
    <w:p w:rsidR="00EC2AC1" w:rsidRPr="003B1F41" w:rsidRDefault="00EC2AC1" w:rsidP="00EC2AC1">
      <w:pPr>
        <w:jc w:val="both"/>
        <w:rPr>
          <w:rFonts w:ascii="Tahoma" w:hAnsi="Tahoma" w:cs="Tahoma"/>
        </w:rPr>
      </w:pPr>
    </w:p>
    <w:p w:rsidR="00EC2AC1" w:rsidRPr="003B1F41" w:rsidRDefault="00EC2AC1" w:rsidP="00EC2AC1">
      <w:pPr>
        <w:numPr>
          <w:ilvl w:val="0"/>
          <w:numId w:val="2"/>
        </w:numPr>
        <w:tabs>
          <w:tab w:val="clear" w:pos="720"/>
          <w:tab w:val="num" w:pos="540"/>
        </w:tabs>
        <w:ind w:left="540" w:hanging="540"/>
        <w:jc w:val="both"/>
        <w:rPr>
          <w:rFonts w:ascii="Tahoma" w:hAnsi="Tahoma" w:cs="Tahoma"/>
        </w:rPr>
      </w:pPr>
      <w:r w:rsidRPr="003B1F41">
        <w:rPr>
          <w:rFonts w:ascii="Tahoma" w:hAnsi="Tahoma" w:cs="Tahoma"/>
          <w:lang w:val="es-ES_tradnl"/>
        </w:rPr>
        <w:t>Sobre los hechos materia de análisis, El Contratista</w:t>
      </w:r>
      <w:r w:rsidRPr="003B1F41">
        <w:rPr>
          <w:rFonts w:ascii="Tahoma" w:hAnsi="Tahoma" w:cs="Tahoma"/>
        </w:rPr>
        <w:t xml:space="preserve">  no ha formulado alegaciones, ni ha aportado los documentos u otros elementos de juicio que desvirtúen los cargos imputados en su contra, a pesar de estar </w:t>
      </w:r>
      <w:proofErr w:type="spellStart"/>
      <w:r w:rsidRPr="003B1F41">
        <w:rPr>
          <w:rFonts w:ascii="Tahoma" w:hAnsi="Tahoma" w:cs="Tahoma"/>
        </w:rPr>
        <w:t>validamente</w:t>
      </w:r>
      <w:proofErr w:type="spellEnd"/>
      <w:r w:rsidRPr="003B1F41">
        <w:rPr>
          <w:rFonts w:ascii="Tahoma" w:hAnsi="Tahoma" w:cs="Tahoma"/>
        </w:rPr>
        <w:t xml:space="preserve"> notificado mediante cédula de notificación Nº 6395/2007.TC el 21 de marzo de 2007, según cargo que obra en autos.</w:t>
      </w:r>
    </w:p>
    <w:p w:rsidR="00EC2AC1" w:rsidRPr="003B1F41" w:rsidRDefault="00EC2AC1" w:rsidP="00EC2AC1">
      <w:pPr>
        <w:jc w:val="both"/>
        <w:rPr>
          <w:rFonts w:ascii="Tahoma" w:hAnsi="Tahoma" w:cs="Tahoma"/>
        </w:rPr>
      </w:pPr>
    </w:p>
    <w:p w:rsidR="00EC2AC1" w:rsidRPr="003B1F41" w:rsidRDefault="00EC2AC1" w:rsidP="00EC2AC1">
      <w:pPr>
        <w:numPr>
          <w:ilvl w:val="0"/>
          <w:numId w:val="2"/>
        </w:numPr>
        <w:tabs>
          <w:tab w:val="num" w:pos="540"/>
        </w:tabs>
        <w:ind w:left="540" w:hanging="540"/>
        <w:jc w:val="both"/>
        <w:rPr>
          <w:rFonts w:ascii="Tahoma" w:hAnsi="Tahoma" w:cs="Tahoma"/>
        </w:rPr>
      </w:pPr>
      <w:r w:rsidRPr="003B1F41">
        <w:rPr>
          <w:rFonts w:ascii="Tahoma" w:hAnsi="Tahoma" w:cs="Tahoma"/>
        </w:rPr>
        <w:t>Teniendo en cuenta las consideraciones expuestas, este Colegiado estima que corresponde imponer sanción administrativa a la Contratista por la comisión de los hechos imputados en su contra, al haber dado lugar a la resolución de la Orden de Servicio por causal atribuible a su parte.</w:t>
      </w:r>
    </w:p>
    <w:p w:rsidR="00EC2AC1" w:rsidRPr="003B1F41" w:rsidRDefault="00EC2AC1" w:rsidP="00EC2AC1">
      <w:pPr>
        <w:jc w:val="both"/>
        <w:rPr>
          <w:rFonts w:ascii="Tahoma" w:hAnsi="Tahoma" w:cs="Tahoma"/>
        </w:rPr>
      </w:pPr>
    </w:p>
    <w:p w:rsidR="00EC2AC1" w:rsidRPr="003B1F41" w:rsidRDefault="00EC2AC1" w:rsidP="00EC2AC1">
      <w:pPr>
        <w:numPr>
          <w:ilvl w:val="0"/>
          <w:numId w:val="2"/>
        </w:numPr>
        <w:tabs>
          <w:tab w:val="num" w:pos="540"/>
        </w:tabs>
        <w:ind w:left="540" w:hanging="540"/>
        <w:jc w:val="both"/>
        <w:rPr>
          <w:rFonts w:ascii="Tahoma" w:hAnsi="Tahoma" w:cs="Tahoma"/>
        </w:rPr>
      </w:pPr>
      <w:r w:rsidRPr="003B1F41">
        <w:rPr>
          <w:rFonts w:ascii="Tahoma" w:hAnsi="Tahoma" w:cs="Tahoma"/>
        </w:rPr>
        <w:t xml:space="preserve">En relación a la graduación de la sanción imponible, el artículo 294 del Reglamento establece que los contratistas que den lugar a la resolución del contrato por causal atribuible a su parte serán </w:t>
      </w:r>
      <w:r w:rsidRPr="003B1F41">
        <w:rPr>
          <w:rFonts w:ascii="Tahoma" w:hAnsi="Tahoma" w:cs="Tahoma"/>
        </w:rPr>
        <w:lastRenderedPageBreak/>
        <w:t xml:space="preserve">sancionados con inhabilitación temporal para contratar con el Estado por un periodo no menor de uno (01) ni mayor de dos (02) años. </w:t>
      </w:r>
    </w:p>
    <w:p w:rsidR="00EC2AC1" w:rsidRPr="003B1F41" w:rsidRDefault="00EC2AC1" w:rsidP="00EC2AC1">
      <w:pPr>
        <w:jc w:val="both"/>
        <w:rPr>
          <w:rFonts w:ascii="Tahoma" w:hAnsi="Tahoma" w:cs="Tahoma"/>
        </w:rPr>
      </w:pPr>
    </w:p>
    <w:p w:rsidR="00EC2AC1" w:rsidRPr="003B1F41" w:rsidRDefault="00EC2AC1" w:rsidP="00EC2AC1">
      <w:pPr>
        <w:ind w:left="540"/>
        <w:jc w:val="both"/>
        <w:rPr>
          <w:rFonts w:ascii="Tahoma" w:hAnsi="Tahoma" w:cs="Tahoma"/>
        </w:rPr>
      </w:pPr>
      <w:r w:rsidRPr="003B1F41">
        <w:rPr>
          <w:rFonts w:ascii="Tahoma" w:hAnsi="Tahoma" w:cs="Tahoma"/>
          <w:lang w:val="es-MX"/>
        </w:rPr>
        <w:t xml:space="preserve">Por tanto, en aplicación del </w:t>
      </w:r>
      <w:r w:rsidRPr="003B1F41">
        <w:rPr>
          <w:rFonts w:ascii="Tahoma" w:hAnsi="Tahoma" w:cs="Tahoma"/>
          <w:i/>
          <w:lang w:val="es-MX"/>
        </w:rPr>
        <w:t xml:space="preserve">Principio de Razonabilidad, </w:t>
      </w:r>
      <w:r w:rsidRPr="003B1F41">
        <w:rPr>
          <w:rFonts w:ascii="Tahoma" w:hAnsi="Tahoma" w:cs="Tahoma"/>
          <w:lang w:val="es-MX"/>
        </w:rPr>
        <w:t xml:space="preserve">contemplado en el numeral 1.4 del Título Preliminar y en el numeral 3 del artículo 230 de la Ley N.° 27444, </w:t>
      </w:r>
      <w:r w:rsidRPr="003B1F41">
        <w:rPr>
          <w:rFonts w:ascii="Tahoma" w:hAnsi="Tahoma" w:cs="Tahoma"/>
        </w:rPr>
        <w:t xml:space="preserve">y atendiendo a la necesidad de que las empresas no sean privadas de su derecho de proveer al Estado más allá de lo estrictamente necesario para satisfacer el cometido de la norma infringida, este Colegiado considera conveniente imponer catorce (14) meses de inhabilitación temporal a la empresa Fan </w:t>
      </w:r>
      <w:proofErr w:type="spellStart"/>
      <w:r w:rsidRPr="003B1F41">
        <w:rPr>
          <w:rFonts w:ascii="Tahoma" w:hAnsi="Tahoma" w:cs="Tahoma"/>
        </w:rPr>
        <w:t>Cold</w:t>
      </w:r>
      <w:proofErr w:type="spellEnd"/>
      <w:r w:rsidRPr="003B1F41">
        <w:rPr>
          <w:rFonts w:ascii="Tahoma" w:hAnsi="Tahoma" w:cs="Tahoma"/>
        </w:rPr>
        <w:t xml:space="preserve"> </w:t>
      </w:r>
      <w:proofErr w:type="spellStart"/>
      <w:r w:rsidRPr="003B1F41">
        <w:rPr>
          <w:rFonts w:ascii="Tahoma" w:hAnsi="Tahoma" w:cs="Tahoma"/>
        </w:rPr>
        <w:t>Sistem</w:t>
      </w:r>
      <w:proofErr w:type="spellEnd"/>
      <w:r w:rsidRPr="003B1F41">
        <w:rPr>
          <w:rFonts w:ascii="Tahoma" w:hAnsi="Tahoma" w:cs="Tahoma"/>
        </w:rPr>
        <w:t xml:space="preserve"> S.R.L. en razón a la naturaleza de la infracción; al monto involucrado en el proceso de selección de la referencia;</w:t>
      </w:r>
      <w:r w:rsidRPr="003B1F41">
        <w:rPr>
          <w:rFonts w:ascii="Tahoma" w:hAnsi="Tahoma" w:cs="Tahoma"/>
          <w:lang w:val="es-PE"/>
        </w:rPr>
        <w:t xml:space="preserve"> así como a la conducta procesal del infractor, quien carece de antecedentes en lo que respecta a haber sido inhabilitado anteriormente en su derecho de participar en procesos de selección y contratar con el Estado; teniendo en cuenta, a su vez, el daño causado a la Entidad, en perjuicio de sus fines y objetivos.</w:t>
      </w:r>
    </w:p>
    <w:p w:rsidR="00EC2AC1" w:rsidRPr="00072909" w:rsidRDefault="00EC2AC1" w:rsidP="00EC2AC1">
      <w:pPr>
        <w:jc w:val="both"/>
        <w:rPr>
          <w:rFonts w:ascii="Tahoma" w:hAnsi="Tahoma" w:cs="Tahoma"/>
          <w:b/>
          <w:shadow/>
        </w:rPr>
      </w:pPr>
    </w:p>
    <w:p w:rsidR="00EC2AC1" w:rsidRDefault="00EC2AC1" w:rsidP="00EC2AC1">
      <w:pPr>
        <w:ind w:left="-180"/>
        <w:jc w:val="both"/>
        <w:rPr>
          <w:rFonts w:ascii="Tahoma" w:hAnsi="Tahoma" w:cs="Tahoma"/>
        </w:rPr>
      </w:pPr>
      <w:r w:rsidRPr="00072909">
        <w:rPr>
          <w:rFonts w:ascii="Tahoma" w:hAnsi="Tahoma" w:cs="Tahoma"/>
        </w:rPr>
        <w:t xml:space="preserve">Por estos fundamentos, de conformidad con el informe de la Vocal Ponente doctora </w:t>
      </w:r>
      <w:proofErr w:type="spellStart"/>
      <w:r w:rsidRPr="00072909">
        <w:rPr>
          <w:rFonts w:ascii="Tahoma" w:hAnsi="Tahoma" w:cs="Tahoma"/>
        </w:rPr>
        <w:t>Janette</w:t>
      </w:r>
      <w:proofErr w:type="spellEnd"/>
      <w:r w:rsidRPr="00072909">
        <w:rPr>
          <w:rFonts w:ascii="Tahoma" w:hAnsi="Tahoma" w:cs="Tahoma"/>
        </w:rPr>
        <w:t xml:space="preserve"> </w:t>
      </w:r>
      <w:proofErr w:type="spellStart"/>
      <w:r w:rsidRPr="00072909">
        <w:rPr>
          <w:rFonts w:ascii="Tahoma" w:hAnsi="Tahoma" w:cs="Tahoma"/>
        </w:rPr>
        <w:t>Elke</w:t>
      </w:r>
      <w:proofErr w:type="spellEnd"/>
      <w:r w:rsidRPr="00072909">
        <w:rPr>
          <w:rFonts w:ascii="Tahoma" w:hAnsi="Tahoma" w:cs="Tahoma"/>
        </w:rPr>
        <w:t xml:space="preserve"> Ramírez </w:t>
      </w:r>
      <w:proofErr w:type="spellStart"/>
      <w:r w:rsidRPr="00072909">
        <w:rPr>
          <w:rFonts w:ascii="Tahoma" w:hAnsi="Tahoma" w:cs="Tahoma"/>
        </w:rPr>
        <w:t>Maynetto</w:t>
      </w:r>
      <w:proofErr w:type="spellEnd"/>
      <w:r w:rsidRPr="00072909">
        <w:rPr>
          <w:rFonts w:ascii="Tahoma" w:hAnsi="Tahoma" w:cs="Tahoma"/>
        </w:rPr>
        <w:t xml:space="preserve">, con la intervención de los doctores Juan Carlos Valdivia </w:t>
      </w:r>
      <w:proofErr w:type="spellStart"/>
      <w:r w:rsidRPr="00072909">
        <w:rPr>
          <w:rFonts w:ascii="Tahoma" w:hAnsi="Tahoma" w:cs="Tahoma"/>
        </w:rPr>
        <w:t>Huaringa</w:t>
      </w:r>
      <w:proofErr w:type="spellEnd"/>
      <w:r w:rsidRPr="00072909">
        <w:rPr>
          <w:rFonts w:ascii="Tahoma" w:hAnsi="Tahoma" w:cs="Tahoma"/>
        </w:rPr>
        <w:t xml:space="preserve"> y Carlos Vicente Navas Rondón, atendiendo a la </w:t>
      </w:r>
      <w:proofErr w:type="spellStart"/>
      <w:r w:rsidRPr="00072909">
        <w:rPr>
          <w:rFonts w:ascii="Tahoma" w:hAnsi="Tahoma" w:cs="Tahoma"/>
        </w:rPr>
        <w:t>reconformación</w:t>
      </w:r>
      <w:proofErr w:type="spellEnd"/>
      <w:r w:rsidRPr="00072909">
        <w:rPr>
          <w:rFonts w:ascii="Tahoma" w:hAnsi="Tahoma" w:cs="Tahoma"/>
        </w:rPr>
        <w:t xml:space="preserve"> de </w:t>
      </w:r>
      <w:smartTag w:uri="urn:schemas-microsoft-com:office:smarttags" w:element="PersonName">
        <w:smartTagPr>
          <w:attr w:name="ProductID" w:val="la Tercera Sala"/>
        </w:smartTagPr>
        <w:r w:rsidRPr="00072909">
          <w:rPr>
            <w:rFonts w:ascii="Tahoma" w:hAnsi="Tahoma" w:cs="Tahoma"/>
          </w:rPr>
          <w:t>la Tercera Sala</w:t>
        </w:r>
      </w:smartTag>
      <w:r w:rsidRPr="00072909">
        <w:rPr>
          <w:rFonts w:ascii="Tahoma" w:hAnsi="Tahoma" w:cs="Tahoma"/>
        </w:rPr>
        <w:t xml:space="preserve"> del Tribunal de Contrataciones y Adquisiciones del Estado, según lo dispuesto en </w:t>
      </w:r>
      <w:smartTag w:uri="urn:schemas-microsoft-com:office:smarttags" w:element="PersonName">
        <w:smartTagPr>
          <w:attr w:name="ProductID" w:val="la Resoluci￳n N.ﾺ"/>
        </w:smartTagPr>
        <w:r w:rsidRPr="00072909">
          <w:rPr>
            <w:rFonts w:ascii="Tahoma" w:hAnsi="Tahoma" w:cs="Tahoma"/>
          </w:rPr>
          <w:t>la Resolución N.º</w:t>
        </w:r>
      </w:smartTag>
      <w:r w:rsidRPr="00072909">
        <w:rPr>
          <w:rFonts w:ascii="Tahoma" w:hAnsi="Tahoma" w:cs="Tahoma"/>
        </w:rPr>
        <w:t xml:space="preserve"> 279-2007-CONSUCODE/P</w:t>
      </w:r>
      <w:r>
        <w:rPr>
          <w:rFonts w:ascii="Tahoma" w:hAnsi="Tahoma" w:cs="Tahoma"/>
        </w:rPr>
        <w:t xml:space="preserve">RE de fecha 21 de mayo de 2007, </w:t>
      </w:r>
      <w:r w:rsidRPr="00072909">
        <w:rPr>
          <w:rFonts w:ascii="Tahoma" w:hAnsi="Tahoma" w:cs="Tahoma"/>
        </w:rPr>
        <w:t xml:space="preserve">y de conformidad con las facultades conferidas en los artículos 53, 59 y 61 del Texto Único Ordenado de </w:t>
      </w:r>
      <w:smartTag w:uri="urn:schemas-microsoft-com:office:smarttags" w:element="PersonName">
        <w:smartTagPr>
          <w:attr w:name="ProductID" w:val="la Ley"/>
        </w:smartTagPr>
        <w:r w:rsidRPr="00072909">
          <w:rPr>
            <w:rFonts w:ascii="Tahoma" w:hAnsi="Tahoma" w:cs="Tahoma"/>
          </w:rPr>
          <w:t>la Ley</w:t>
        </w:r>
      </w:smartTag>
      <w:r w:rsidRPr="00072909">
        <w:rPr>
          <w:rFonts w:ascii="Tahoma" w:hAnsi="Tahoma" w:cs="Tahoma"/>
        </w:rPr>
        <w:t xml:space="preserve"> de Contrataciones y Adquisiciones del Estado, aprobado por De</w:t>
      </w:r>
      <w:r>
        <w:rPr>
          <w:rFonts w:ascii="Tahoma" w:hAnsi="Tahoma" w:cs="Tahoma"/>
        </w:rPr>
        <w:t xml:space="preserve">creto Supremo N.º 083-2004-PCM, </w:t>
      </w:r>
      <w:r w:rsidRPr="00072909">
        <w:rPr>
          <w:rFonts w:ascii="Tahoma" w:hAnsi="Tahoma" w:cs="Tahoma"/>
        </w:rPr>
        <w:t>aprobado por Decreto Supremo N.º 084-2004-PCM, y los artículos 17 y 18 del Reglamento de Organización y Funciones del CONSUCODE, aprobado por Decreto Supremos N.º 054-2007-EF; analizados los antecedentes y luego de agotado el correspondiente debate, por unanimidad;</w:t>
      </w:r>
    </w:p>
    <w:p w:rsidR="00EC2AC1" w:rsidRDefault="00EC2AC1" w:rsidP="00EC2AC1">
      <w:pPr>
        <w:ind w:left="-180"/>
        <w:jc w:val="both"/>
        <w:rPr>
          <w:rFonts w:ascii="Tahoma" w:hAnsi="Tahoma" w:cs="Tahoma"/>
        </w:rPr>
      </w:pPr>
    </w:p>
    <w:p w:rsidR="00EC2AC1" w:rsidRPr="00635027" w:rsidRDefault="00EC2AC1" w:rsidP="00EC2AC1">
      <w:pPr>
        <w:ind w:left="-180"/>
        <w:jc w:val="both"/>
        <w:rPr>
          <w:rFonts w:ascii="Tahoma" w:hAnsi="Tahoma" w:cs="Tahoma"/>
        </w:rPr>
      </w:pPr>
      <w:r w:rsidRPr="00072909">
        <w:rPr>
          <w:rFonts w:ascii="Tahoma" w:hAnsi="Tahoma" w:cs="Tahoma"/>
          <w:b/>
          <w:shadow/>
        </w:rPr>
        <w:t>LA SALA RESUELVE:</w:t>
      </w:r>
    </w:p>
    <w:p w:rsidR="00EC2AC1" w:rsidRPr="003B1F41" w:rsidRDefault="00EC2AC1" w:rsidP="00EC2AC1">
      <w:pPr>
        <w:pStyle w:val="Textoindependiente"/>
        <w:tabs>
          <w:tab w:val="num" w:pos="720"/>
        </w:tabs>
        <w:ind w:left="720" w:hanging="360"/>
        <w:rPr>
          <w:rFonts w:cs="Tahoma"/>
          <w:sz w:val="20"/>
        </w:rPr>
      </w:pPr>
    </w:p>
    <w:p w:rsidR="00EC2AC1" w:rsidRPr="003B1F41" w:rsidRDefault="00EC2AC1" w:rsidP="00EC2AC1">
      <w:pPr>
        <w:pStyle w:val="Textoindependiente"/>
        <w:widowControl/>
        <w:numPr>
          <w:ilvl w:val="0"/>
          <w:numId w:val="3"/>
        </w:numPr>
        <w:suppressAutoHyphens w:val="0"/>
        <w:rPr>
          <w:rFonts w:cs="Tahoma"/>
          <w:sz w:val="20"/>
        </w:rPr>
      </w:pPr>
      <w:r w:rsidRPr="003B1F41">
        <w:rPr>
          <w:rFonts w:cs="Tahoma"/>
          <w:sz w:val="20"/>
        </w:rPr>
        <w:t xml:space="preserve">Sancionar a la empresa </w:t>
      </w:r>
      <w:r w:rsidRPr="000C2F08">
        <w:rPr>
          <w:rFonts w:cs="Tahoma"/>
          <w:b/>
          <w:sz w:val="20"/>
        </w:rPr>
        <w:t xml:space="preserve">Fan </w:t>
      </w:r>
      <w:proofErr w:type="spellStart"/>
      <w:r w:rsidRPr="000C2F08">
        <w:rPr>
          <w:rFonts w:cs="Tahoma"/>
          <w:b/>
          <w:sz w:val="20"/>
        </w:rPr>
        <w:t>Cold</w:t>
      </w:r>
      <w:proofErr w:type="spellEnd"/>
      <w:r w:rsidRPr="000C2F08">
        <w:rPr>
          <w:rFonts w:cs="Tahoma"/>
          <w:b/>
          <w:sz w:val="20"/>
        </w:rPr>
        <w:t xml:space="preserve"> </w:t>
      </w:r>
      <w:proofErr w:type="spellStart"/>
      <w:r w:rsidRPr="000C2F08">
        <w:rPr>
          <w:rFonts w:cs="Tahoma"/>
          <w:b/>
          <w:sz w:val="20"/>
        </w:rPr>
        <w:t>Sistem</w:t>
      </w:r>
      <w:proofErr w:type="spellEnd"/>
      <w:r w:rsidRPr="000C2F08">
        <w:rPr>
          <w:rFonts w:cs="Tahoma"/>
          <w:b/>
          <w:sz w:val="20"/>
        </w:rPr>
        <w:t xml:space="preserve"> S.R.L</w:t>
      </w:r>
      <w:r w:rsidRPr="003B1F41">
        <w:rPr>
          <w:rFonts w:cs="Tahoma"/>
          <w:sz w:val="20"/>
        </w:rPr>
        <w:t>. con catorce (14) meses de inhabilitación temporal en su derecho de participar en procesos de selección y contratar con el Estado por la comisión de la infracción tipificada en el numeral 2) del artículo 294 del Reglamento de la Ley de Contrataciones y Adquisiciones del Estado, aprobado por Decreto Supremo N.° 084-2004-PCM, sanción que tendrá vigencia a partir del cuarto día hábil siguiente de notificada la presente resolución.</w:t>
      </w:r>
    </w:p>
    <w:p w:rsidR="00EC2AC1" w:rsidRPr="003B1F41" w:rsidRDefault="00EC2AC1" w:rsidP="00EC2AC1">
      <w:pPr>
        <w:pStyle w:val="Textoindependiente"/>
        <w:ind w:left="180"/>
        <w:rPr>
          <w:rFonts w:cs="Tahoma"/>
          <w:sz w:val="20"/>
        </w:rPr>
      </w:pPr>
    </w:p>
    <w:p w:rsidR="00EC2AC1" w:rsidRPr="003B1F41" w:rsidRDefault="00EC2AC1" w:rsidP="00EC2AC1">
      <w:pPr>
        <w:pStyle w:val="Textoindependiente"/>
        <w:widowControl/>
        <w:numPr>
          <w:ilvl w:val="0"/>
          <w:numId w:val="3"/>
        </w:numPr>
        <w:suppressAutoHyphens w:val="0"/>
        <w:rPr>
          <w:rFonts w:cs="Tahoma"/>
          <w:sz w:val="20"/>
        </w:rPr>
      </w:pPr>
      <w:r w:rsidRPr="003B1F41">
        <w:rPr>
          <w:rFonts w:cs="Tahoma"/>
          <w:sz w:val="20"/>
        </w:rPr>
        <w:t>Poner la presente resolución en conocimiento de la Subdirección de Registros del CONSUCODE para las anotaciones de ley.</w:t>
      </w:r>
    </w:p>
    <w:p w:rsidR="00EC2AC1" w:rsidRDefault="00EC2AC1" w:rsidP="00EC2AC1">
      <w:pPr>
        <w:pStyle w:val="NormalWeb"/>
        <w:spacing w:before="0" w:after="0"/>
        <w:jc w:val="both"/>
        <w:rPr>
          <w:rFonts w:ascii="Tahoma" w:hAnsi="Tahoma" w:cs="Tahoma"/>
          <w:sz w:val="20"/>
          <w:szCs w:val="20"/>
        </w:rPr>
      </w:pPr>
      <w:r w:rsidRPr="00072909">
        <w:rPr>
          <w:rFonts w:ascii="Tahoma" w:hAnsi="Tahoma" w:cs="Tahoma"/>
          <w:sz w:val="20"/>
          <w:szCs w:val="20"/>
        </w:rPr>
        <w:t>Regístrese, comuníquese y publíquese.</w:t>
      </w:r>
    </w:p>
    <w:p w:rsidR="00EC2AC1" w:rsidRDefault="00EC2AC1" w:rsidP="00EC2AC1">
      <w:pPr>
        <w:pStyle w:val="NormalWeb"/>
        <w:spacing w:before="0" w:after="0"/>
        <w:jc w:val="both"/>
        <w:rPr>
          <w:rFonts w:ascii="Tahoma" w:hAnsi="Tahoma" w:cs="Tahoma"/>
          <w:sz w:val="20"/>
          <w:szCs w:val="20"/>
        </w:rPr>
      </w:pPr>
    </w:p>
    <w:p w:rsidR="00EC2AC1" w:rsidRPr="00072909" w:rsidRDefault="00EC2AC1" w:rsidP="00EC2AC1">
      <w:pPr>
        <w:jc w:val="center"/>
        <w:rPr>
          <w:rFonts w:ascii="Tahoma" w:hAnsi="Tahoma" w:cs="Tahoma"/>
          <w:b/>
          <w:shadow/>
          <w:lang w:val="pt-BR"/>
        </w:rPr>
      </w:pPr>
      <w:r w:rsidRPr="00072909">
        <w:rPr>
          <w:rFonts w:ascii="Tahoma" w:hAnsi="Tahoma" w:cs="Tahoma"/>
          <w:b/>
          <w:shadow/>
          <w:lang w:val="pt-BR"/>
        </w:rPr>
        <w:t>PRESIDENTE</w:t>
      </w:r>
    </w:p>
    <w:p w:rsidR="00EC2AC1" w:rsidRPr="00072909" w:rsidRDefault="00EC2AC1" w:rsidP="00EC2AC1">
      <w:pPr>
        <w:jc w:val="center"/>
        <w:rPr>
          <w:rFonts w:ascii="Tahoma" w:hAnsi="Tahoma" w:cs="Tahoma"/>
          <w:b/>
          <w:shadow/>
          <w:lang w:val="pt-BR"/>
        </w:rPr>
      </w:pPr>
    </w:p>
    <w:p w:rsidR="00EC2AC1" w:rsidRPr="00072909" w:rsidRDefault="00EC2AC1" w:rsidP="00EC2AC1">
      <w:pPr>
        <w:jc w:val="center"/>
        <w:rPr>
          <w:rFonts w:ascii="Tahoma" w:hAnsi="Tahoma" w:cs="Tahoma"/>
          <w:b/>
          <w:shadow/>
          <w:lang w:val="pt-BR"/>
        </w:rPr>
      </w:pPr>
    </w:p>
    <w:p w:rsidR="00EC2AC1" w:rsidRPr="00072909" w:rsidRDefault="00EC2AC1" w:rsidP="00EC2AC1">
      <w:pPr>
        <w:jc w:val="center"/>
        <w:rPr>
          <w:rFonts w:ascii="Tahoma" w:hAnsi="Tahoma" w:cs="Tahoma"/>
          <w:b/>
          <w:shadow/>
          <w:lang w:val="pt-BR"/>
        </w:rPr>
      </w:pPr>
    </w:p>
    <w:p w:rsidR="00EC2AC1" w:rsidRPr="00072909" w:rsidRDefault="00EC2AC1" w:rsidP="00EC2AC1">
      <w:pPr>
        <w:jc w:val="center"/>
        <w:rPr>
          <w:rFonts w:ascii="Tahoma" w:hAnsi="Tahoma" w:cs="Tahoma"/>
          <w:b/>
          <w:shadow/>
          <w:lang w:val="pt-BR"/>
        </w:rPr>
      </w:pPr>
    </w:p>
    <w:p w:rsidR="00EC2AC1" w:rsidRPr="00072909" w:rsidRDefault="00EC2AC1" w:rsidP="00EC2AC1">
      <w:pPr>
        <w:jc w:val="center"/>
        <w:rPr>
          <w:rFonts w:ascii="Tahoma" w:hAnsi="Tahoma" w:cs="Tahoma"/>
          <w:b/>
          <w:shadow/>
          <w:lang w:val="pt-BR"/>
        </w:rPr>
      </w:pPr>
    </w:p>
    <w:p w:rsidR="00EC2AC1" w:rsidRPr="00072909" w:rsidRDefault="00EC2AC1" w:rsidP="00EC2AC1">
      <w:pPr>
        <w:ind w:left="708" w:firstLine="708"/>
        <w:jc w:val="both"/>
        <w:rPr>
          <w:rFonts w:ascii="Tahoma" w:hAnsi="Tahoma" w:cs="Tahoma"/>
          <w:b/>
          <w:shadow/>
          <w:lang w:val="pt-BR"/>
        </w:rPr>
      </w:pPr>
      <w:r w:rsidRPr="00072909">
        <w:rPr>
          <w:rFonts w:ascii="Tahoma" w:hAnsi="Tahoma" w:cs="Tahoma"/>
          <w:b/>
          <w:shadow/>
          <w:lang w:val="pt-BR"/>
        </w:rPr>
        <w:t xml:space="preserve"> VOCAL           </w:t>
      </w:r>
      <w:r w:rsidRPr="00072909">
        <w:rPr>
          <w:rFonts w:ascii="Tahoma" w:hAnsi="Tahoma" w:cs="Tahoma"/>
          <w:b/>
          <w:shadow/>
          <w:lang w:val="pt-BR"/>
        </w:rPr>
        <w:tab/>
      </w:r>
      <w:r w:rsidRPr="00072909">
        <w:rPr>
          <w:rFonts w:ascii="Tahoma" w:hAnsi="Tahoma" w:cs="Tahoma"/>
          <w:b/>
          <w:shadow/>
          <w:lang w:val="pt-BR"/>
        </w:rPr>
        <w:tab/>
        <w:t xml:space="preserve">                                                                            VOCAL</w:t>
      </w:r>
    </w:p>
    <w:p w:rsidR="00EC2AC1" w:rsidRPr="00072909" w:rsidRDefault="00EC2AC1" w:rsidP="00EC2AC1">
      <w:pPr>
        <w:ind w:firstLine="708"/>
        <w:rPr>
          <w:rFonts w:ascii="Tahoma" w:hAnsi="Tahoma" w:cs="Tahoma"/>
          <w:b/>
          <w:shadow/>
          <w:lang w:val="pt-BR"/>
        </w:rPr>
      </w:pPr>
    </w:p>
    <w:p w:rsidR="00EC2AC1" w:rsidRPr="00072909" w:rsidRDefault="00EC2AC1" w:rsidP="00EC2AC1">
      <w:pPr>
        <w:ind w:firstLine="708"/>
        <w:rPr>
          <w:rFonts w:ascii="Tahoma" w:hAnsi="Tahoma" w:cs="Tahoma"/>
          <w:b/>
          <w:shadow/>
          <w:lang w:val="pt-BR"/>
        </w:rPr>
      </w:pPr>
    </w:p>
    <w:p w:rsidR="00EC2AC1" w:rsidRPr="00635027" w:rsidRDefault="00EC2AC1" w:rsidP="00EC2AC1">
      <w:pPr>
        <w:jc w:val="both"/>
        <w:rPr>
          <w:rFonts w:ascii="Tahoma" w:hAnsi="Tahoma" w:cs="Tahoma"/>
          <w:sz w:val="16"/>
          <w:szCs w:val="16"/>
          <w:lang w:val="pt-BR"/>
        </w:rPr>
      </w:pPr>
      <w:proofErr w:type="gramStart"/>
      <w:r w:rsidRPr="00635027">
        <w:rPr>
          <w:rFonts w:ascii="Tahoma" w:hAnsi="Tahoma" w:cs="Tahoma"/>
          <w:sz w:val="16"/>
          <w:szCs w:val="16"/>
          <w:lang w:val="pt-BR"/>
        </w:rPr>
        <w:t>ss.</w:t>
      </w:r>
      <w:proofErr w:type="gramEnd"/>
    </w:p>
    <w:p w:rsidR="00EC2AC1" w:rsidRPr="00635027" w:rsidRDefault="00EC2AC1" w:rsidP="00EC2AC1">
      <w:pPr>
        <w:pStyle w:val="Textoindependiente21"/>
        <w:rPr>
          <w:rFonts w:cs="Tahoma"/>
          <w:sz w:val="16"/>
          <w:szCs w:val="16"/>
          <w:lang w:val="pt-BR"/>
        </w:rPr>
      </w:pPr>
      <w:proofErr w:type="spellStart"/>
      <w:r w:rsidRPr="00635027">
        <w:rPr>
          <w:rFonts w:cs="Tahoma"/>
          <w:sz w:val="16"/>
          <w:szCs w:val="16"/>
          <w:lang w:val="pt-BR"/>
        </w:rPr>
        <w:t>Valdivia</w:t>
      </w:r>
      <w:proofErr w:type="spellEnd"/>
      <w:r w:rsidRPr="00635027">
        <w:rPr>
          <w:rFonts w:cs="Tahoma"/>
          <w:sz w:val="16"/>
          <w:szCs w:val="16"/>
          <w:lang w:val="pt-BR"/>
        </w:rPr>
        <w:t xml:space="preserve"> </w:t>
      </w:r>
      <w:proofErr w:type="spellStart"/>
      <w:r w:rsidRPr="00635027">
        <w:rPr>
          <w:rFonts w:cs="Tahoma"/>
          <w:sz w:val="16"/>
          <w:szCs w:val="16"/>
          <w:lang w:val="pt-BR"/>
        </w:rPr>
        <w:t>Huaringa</w:t>
      </w:r>
      <w:proofErr w:type="spellEnd"/>
      <w:r w:rsidRPr="00635027">
        <w:rPr>
          <w:rFonts w:cs="Tahoma"/>
          <w:sz w:val="16"/>
          <w:szCs w:val="16"/>
          <w:lang w:val="pt-BR"/>
        </w:rPr>
        <w:t>.</w:t>
      </w:r>
    </w:p>
    <w:p w:rsidR="00EC2AC1" w:rsidRDefault="00EC2AC1" w:rsidP="00EC2AC1">
      <w:pPr>
        <w:pStyle w:val="Textoindependiente21"/>
        <w:rPr>
          <w:rFonts w:cs="Tahoma"/>
          <w:sz w:val="16"/>
          <w:szCs w:val="16"/>
        </w:rPr>
      </w:pPr>
      <w:r w:rsidRPr="00635027">
        <w:rPr>
          <w:rFonts w:cs="Tahoma"/>
          <w:sz w:val="16"/>
          <w:szCs w:val="16"/>
        </w:rPr>
        <w:lastRenderedPageBreak/>
        <w:t xml:space="preserve">Ramírez </w:t>
      </w:r>
      <w:proofErr w:type="spellStart"/>
      <w:r w:rsidRPr="00635027">
        <w:rPr>
          <w:rFonts w:cs="Tahoma"/>
          <w:sz w:val="16"/>
          <w:szCs w:val="16"/>
        </w:rPr>
        <w:t>Maynetto</w:t>
      </w:r>
      <w:proofErr w:type="spellEnd"/>
      <w:r w:rsidRPr="00635027">
        <w:rPr>
          <w:rFonts w:cs="Tahoma"/>
          <w:sz w:val="16"/>
          <w:szCs w:val="16"/>
        </w:rPr>
        <w:t>.</w:t>
      </w:r>
    </w:p>
    <w:p w:rsidR="00EC2AC1" w:rsidRPr="00635027" w:rsidRDefault="00EC2AC1" w:rsidP="00EC2AC1">
      <w:pPr>
        <w:pStyle w:val="Textoindependiente21"/>
        <w:rPr>
          <w:rFonts w:cs="Tahoma"/>
          <w:sz w:val="16"/>
          <w:szCs w:val="16"/>
        </w:rPr>
      </w:pPr>
      <w:r w:rsidRPr="00635027">
        <w:rPr>
          <w:sz w:val="16"/>
          <w:szCs w:val="16"/>
        </w:rPr>
        <w:t>Navas Rondón.</w:t>
      </w:r>
    </w:p>
    <w:p w:rsidR="00DD5730" w:rsidRDefault="00DE34EF"/>
    <w:sectPr w:rsidR="00DD5730" w:rsidSect="00635027">
      <w:footerReference w:type="even" r:id="rId7"/>
      <w:footerReference w:type="default" r:id="rId8"/>
      <w:pgSz w:w="11907" w:h="16840" w:code="9"/>
      <w:pgMar w:top="3235" w:right="1107" w:bottom="899" w:left="1080"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2AC1" w:rsidRDefault="00EC2AC1" w:rsidP="00EC2AC1">
      <w:r>
        <w:separator/>
      </w:r>
    </w:p>
  </w:endnote>
  <w:endnote w:type="continuationSeparator" w:id="1">
    <w:p w:rsidR="00EC2AC1" w:rsidRDefault="00EC2AC1" w:rsidP="00EC2A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930" w:rsidRDefault="003764E0" w:rsidP="00635027">
    <w:pPr>
      <w:pStyle w:val="Piedepgina"/>
      <w:framePr w:wrap="around" w:vAnchor="text" w:hAnchor="margin" w:xAlign="center" w:y="1"/>
      <w:rPr>
        <w:rStyle w:val="Nmerodepgina"/>
      </w:rPr>
    </w:pPr>
    <w:r>
      <w:rPr>
        <w:rStyle w:val="Nmerodepgina"/>
      </w:rPr>
      <w:fldChar w:fldCharType="begin"/>
    </w:r>
    <w:r w:rsidR="00EC2AC1">
      <w:rPr>
        <w:rStyle w:val="Nmerodepgina"/>
      </w:rPr>
      <w:instrText xml:space="preserve">PAGE  </w:instrText>
    </w:r>
    <w:r>
      <w:rPr>
        <w:rStyle w:val="Nmerodepgina"/>
      </w:rPr>
      <w:fldChar w:fldCharType="end"/>
    </w:r>
  </w:p>
  <w:p w:rsidR="00C76930" w:rsidRDefault="00DE34EF">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930" w:rsidRPr="00864C03" w:rsidRDefault="00EC2AC1">
    <w:pPr>
      <w:pStyle w:val="Piedepgina"/>
      <w:framePr w:wrap="around" w:vAnchor="text" w:hAnchor="margin" w:xAlign="center" w:y="1"/>
      <w:rPr>
        <w:rStyle w:val="Nmerodepgina"/>
        <w:i/>
        <w:sz w:val="20"/>
      </w:rPr>
    </w:pPr>
    <w:r w:rsidRPr="00864C03">
      <w:rPr>
        <w:rStyle w:val="Nmerodepgina"/>
        <w:i/>
        <w:sz w:val="20"/>
      </w:rPr>
      <w:t xml:space="preserve">Página </w:t>
    </w:r>
    <w:r w:rsidR="003764E0" w:rsidRPr="00864C03">
      <w:rPr>
        <w:rStyle w:val="Nmerodepgina"/>
        <w:i/>
        <w:sz w:val="20"/>
      </w:rPr>
      <w:fldChar w:fldCharType="begin"/>
    </w:r>
    <w:r w:rsidRPr="00864C03">
      <w:rPr>
        <w:rStyle w:val="Nmerodepgina"/>
        <w:i/>
        <w:sz w:val="20"/>
      </w:rPr>
      <w:instrText xml:space="preserve"> PAGE </w:instrText>
    </w:r>
    <w:r w:rsidR="003764E0" w:rsidRPr="00864C03">
      <w:rPr>
        <w:rStyle w:val="Nmerodepgina"/>
        <w:i/>
        <w:sz w:val="20"/>
      </w:rPr>
      <w:fldChar w:fldCharType="separate"/>
    </w:r>
    <w:r w:rsidR="00DE34EF">
      <w:rPr>
        <w:rStyle w:val="Nmerodepgina"/>
        <w:i/>
        <w:noProof/>
        <w:sz w:val="20"/>
      </w:rPr>
      <w:t>1</w:t>
    </w:r>
    <w:r w:rsidR="003764E0" w:rsidRPr="00864C03">
      <w:rPr>
        <w:rStyle w:val="Nmerodepgina"/>
        <w:i/>
        <w:sz w:val="20"/>
      </w:rPr>
      <w:fldChar w:fldCharType="end"/>
    </w:r>
    <w:r w:rsidRPr="00864C03">
      <w:rPr>
        <w:rStyle w:val="Nmerodepgina"/>
        <w:i/>
        <w:sz w:val="20"/>
      </w:rPr>
      <w:t xml:space="preserve"> de </w:t>
    </w:r>
    <w:r w:rsidR="003764E0" w:rsidRPr="00864C03">
      <w:rPr>
        <w:rStyle w:val="Nmerodepgina"/>
        <w:i/>
        <w:sz w:val="20"/>
      </w:rPr>
      <w:fldChar w:fldCharType="begin"/>
    </w:r>
    <w:r w:rsidRPr="00864C03">
      <w:rPr>
        <w:rStyle w:val="Nmerodepgina"/>
        <w:i/>
        <w:sz w:val="20"/>
      </w:rPr>
      <w:instrText xml:space="preserve"> NUMPAGES </w:instrText>
    </w:r>
    <w:r w:rsidR="003764E0" w:rsidRPr="00864C03">
      <w:rPr>
        <w:rStyle w:val="Nmerodepgina"/>
        <w:i/>
        <w:sz w:val="20"/>
      </w:rPr>
      <w:fldChar w:fldCharType="separate"/>
    </w:r>
    <w:r w:rsidR="00DE34EF">
      <w:rPr>
        <w:rStyle w:val="Nmerodepgina"/>
        <w:i/>
        <w:noProof/>
        <w:sz w:val="20"/>
      </w:rPr>
      <w:t>5</w:t>
    </w:r>
    <w:r w:rsidR="003764E0" w:rsidRPr="00864C03">
      <w:rPr>
        <w:rStyle w:val="Nmerodepgina"/>
        <w:i/>
        <w:sz w:val="20"/>
      </w:rPr>
      <w:fldChar w:fldCharType="end"/>
    </w:r>
  </w:p>
  <w:p w:rsidR="00C76930" w:rsidRDefault="00DE34E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2AC1" w:rsidRDefault="00EC2AC1" w:rsidP="00EC2AC1">
      <w:r>
        <w:separator/>
      </w:r>
    </w:p>
  </w:footnote>
  <w:footnote w:type="continuationSeparator" w:id="1">
    <w:p w:rsidR="00EC2AC1" w:rsidRDefault="00EC2AC1" w:rsidP="00EC2AC1">
      <w:r>
        <w:continuationSeparator/>
      </w:r>
    </w:p>
  </w:footnote>
  <w:footnote w:id="2">
    <w:p w:rsidR="00EC2AC1" w:rsidRPr="00635027" w:rsidRDefault="00EC2AC1" w:rsidP="00EC2AC1">
      <w:pPr>
        <w:pStyle w:val="Textonotapie"/>
        <w:jc w:val="both"/>
        <w:rPr>
          <w:rFonts w:ascii="Tahoma" w:hAnsi="Tahoma" w:cs="Tahoma"/>
          <w:i/>
          <w:sz w:val="16"/>
          <w:szCs w:val="16"/>
        </w:rPr>
      </w:pPr>
      <w:r w:rsidRPr="00635027">
        <w:rPr>
          <w:rStyle w:val="Refdenotaalpie"/>
          <w:rFonts w:ascii="Tahoma" w:hAnsi="Tahoma" w:cs="Tahoma"/>
          <w:i/>
          <w:sz w:val="16"/>
          <w:szCs w:val="16"/>
        </w:rPr>
        <w:footnoteRef/>
      </w:r>
      <w:r w:rsidRPr="00635027">
        <w:rPr>
          <w:rFonts w:ascii="Tahoma" w:hAnsi="Tahoma" w:cs="Tahoma"/>
          <w:i/>
          <w:sz w:val="16"/>
          <w:szCs w:val="16"/>
        </w:rPr>
        <w:t xml:space="preserve"> Documento obrante de fojas 103 del expediente administrativo.</w:t>
      </w:r>
    </w:p>
  </w:footnote>
  <w:footnote w:id="3">
    <w:p w:rsidR="00EC2AC1" w:rsidRPr="00635027" w:rsidRDefault="00EC2AC1" w:rsidP="00EC2AC1">
      <w:pPr>
        <w:pStyle w:val="Textonotapie"/>
        <w:ind w:left="180" w:hanging="180"/>
        <w:jc w:val="both"/>
        <w:rPr>
          <w:rFonts w:ascii="Tahoma" w:hAnsi="Tahoma" w:cs="Tahoma"/>
          <w:sz w:val="16"/>
          <w:szCs w:val="16"/>
        </w:rPr>
      </w:pPr>
      <w:r w:rsidRPr="00635027">
        <w:rPr>
          <w:rStyle w:val="Refdenotaalpie"/>
          <w:rFonts w:ascii="Tahoma" w:hAnsi="Tahoma" w:cs="Tahoma"/>
          <w:i/>
          <w:sz w:val="16"/>
          <w:szCs w:val="16"/>
        </w:rPr>
        <w:footnoteRef/>
      </w:r>
      <w:r w:rsidRPr="00635027">
        <w:rPr>
          <w:rFonts w:ascii="Tahoma" w:hAnsi="Tahoma" w:cs="Tahoma"/>
          <w:i/>
          <w:sz w:val="16"/>
          <w:szCs w:val="16"/>
        </w:rPr>
        <w:t xml:space="preserve">  La anotada presunción legal se sustenta en el </w:t>
      </w:r>
      <w:r w:rsidRPr="00635027">
        <w:rPr>
          <w:rFonts w:ascii="Tahoma" w:hAnsi="Tahoma" w:cs="Tahoma"/>
          <w:i/>
          <w:sz w:val="16"/>
          <w:szCs w:val="16"/>
          <w:lang w:val="es-PE"/>
        </w:rPr>
        <w:t xml:space="preserve">artículo 1329 del Código Civil, el cual establece que “se presume que la inejecución de la obligación, o su cumplimiento parcial, tardío o defectuoso, obedece a culpa leve del deudor”, artículo aplicable al presente caso de conformidad con el </w:t>
      </w:r>
      <w:r w:rsidRPr="00635027">
        <w:rPr>
          <w:rFonts w:ascii="Tahoma" w:hAnsi="Tahoma" w:cs="Tahoma"/>
          <w:i/>
          <w:sz w:val="16"/>
          <w:szCs w:val="16"/>
        </w:rPr>
        <w:t>artículo IX, del Título Preliminar del mismo cuerpo normativo: “Las disposiciones del Código Civil se aplican supletoriamente a las relaciones y situaciones jurídicas reguladas por otras leyes, siempre que no sean incompatibles con su naturaleza”.</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9F2ABC54"/>
    <w:lvl w:ilvl="0" w:tplc="75663160">
      <w:start w:val="1"/>
      <w:numFmt w:val="decimal"/>
      <w:lvlText w:val="%1."/>
      <w:lvlJc w:val="left"/>
      <w:pPr>
        <w:tabs>
          <w:tab w:val="num" w:pos="720"/>
        </w:tabs>
        <w:ind w:left="720" w:hanging="360"/>
      </w:pPr>
      <w:rPr>
        <w:b/>
        <w:i w:val="0"/>
      </w:rPr>
    </w:lvl>
    <w:lvl w:ilvl="1" w:tplc="0C0A0019">
      <w:start w:val="1"/>
      <w:numFmt w:val="lowerLetter"/>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09F24358"/>
    <w:multiLevelType w:val="hybridMultilevel"/>
    <w:tmpl w:val="F0C2F9F8"/>
    <w:lvl w:ilvl="0" w:tplc="3820B606">
      <w:start w:val="1"/>
      <w:numFmt w:val="decimal"/>
      <w:lvlText w:val="%1."/>
      <w:lvlJc w:val="left"/>
      <w:pPr>
        <w:tabs>
          <w:tab w:val="num" w:pos="360"/>
        </w:tabs>
        <w:ind w:left="360" w:hanging="360"/>
      </w:pPr>
      <w:rPr>
        <w:b/>
      </w:rPr>
    </w:lvl>
    <w:lvl w:ilvl="1" w:tplc="0C0A0019">
      <w:start w:val="1"/>
      <w:numFmt w:val="decimal"/>
      <w:lvlText w:val="%2."/>
      <w:lvlJc w:val="left"/>
      <w:pPr>
        <w:tabs>
          <w:tab w:val="num" w:pos="1080"/>
        </w:tabs>
        <w:ind w:left="1080" w:hanging="360"/>
      </w:pPr>
    </w:lvl>
    <w:lvl w:ilvl="2" w:tplc="0C0A001B">
      <w:start w:val="1"/>
      <w:numFmt w:val="decimal"/>
      <w:lvlText w:val="%3."/>
      <w:lvlJc w:val="left"/>
      <w:pPr>
        <w:tabs>
          <w:tab w:val="num" w:pos="1800"/>
        </w:tabs>
        <w:ind w:left="1800" w:hanging="360"/>
      </w:pPr>
    </w:lvl>
    <w:lvl w:ilvl="3" w:tplc="0C0A000F">
      <w:start w:val="1"/>
      <w:numFmt w:val="decimal"/>
      <w:lvlText w:val="%4."/>
      <w:lvlJc w:val="left"/>
      <w:pPr>
        <w:tabs>
          <w:tab w:val="num" w:pos="2520"/>
        </w:tabs>
        <w:ind w:left="2520" w:hanging="360"/>
      </w:pPr>
    </w:lvl>
    <w:lvl w:ilvl="4" w:tplc="0C0A0019">
      <w:start w:val="1"/>
      <w:numFmt w:val="decimal"/>
      <w:lvlText w:val="%5."/>
      <w:lvlJc w:val="left"/>
      <w:pPr>
        <w:tabs>
          <w:tab w:val="num" w:pos="3240"/>
        </w:tabs>
        <w:ind w:left="3240" w:hanging="360"/>
      </w:pPr>
    </w:lvl>
    <w:lvl w:ilvl="5" w:tplc="0C0A001B">
      <w:start w:val="1"/>
      <w:numFmt w:val="decimal"/>
      <w:lvlText w:val="%6."/>
      <w:lvlJc w:val="left"/>
      <w:pPr>
        <w:tabs>
          <w:tab w:val="num" w:pos="3960"/>
        </w:tabs>
        <w:ind w:left="3960" w:hanging="360"/>
      </w:pPr>
    </w:lvl>
    <w:lvl w:ilvl="6" w:tplc="0C0A000F">
      <w:start w:val="1"/>
      <w:numFmt w:val="decimal"/>
      <w:lvlText w:val="%7."/>
      <w:lvlJc w:val="left"/>
      <w:pPr>
        <w:tabs>
          <w:tab w:val="num" w:pos="4680"/>
        </w:tabs>
        <w:ind w:left="4680" w:hanging="360"/>
      </w:pPr>
    </w:lvl>
    <w:lvl w:ilvl="7" w:tplc="0C0A0019">
      <w:start w:val="1"/>
      <w:numFmt w:val="decimal"/>
      <w:lvlText w:val="%8."/>
      <w:lvlJc w:val="left"/>
      <w:pPr>
        <w:tabs>
          <w:tab w:val="num" w:pos="5400"/>
        </w:tabs>
        <w:ind w:left="5400" w:hanging="360"/>
      </w:pPr>
    </w:lvl>
    <w:lvl w:ilvl="8" w:tplc="0C0A001B">
      <w:start w:val="1"/>
      <w:numFmt w:val="decimal"/>
      <w:lvlText w:val="%9."/>
      <w:lvlJc w:val="left"/>
      <w:pPr>
        <w:tabs>
          <w:tab w:val="num" w:pos="6120"/>
        </w:tabs>
        <w:ind w:left="6120" w:hanging="360"/>
      </w:pPr>
    </w:lvl>
  </w:abstractNum>
  <w:abstractNum w:abstractNumId="2">
    <w:nsid w:val="131D60A9"/>
    <w:multiLevelType w:val="hybridMultilevel"/>
    <w:tmpl w:val="1A801A96"/>
    <w:lvl w:ilvl="0" w:tplc="AAC2829A">
      <w:start w:val="1"/>
      <w:numFmt w:val="decimal"/>
      <w:lvlText w:val="%1."/>
      <w:lvlJc w:val="left"/>
      <w:pPr>
        <w:tabs>
          <w:tab w:val="num" w:pos="720"/>
        </w:tabs>
        <w:ind w:left="720" w:hanging="360"/>
      </w:pPr>
      <w:rPr>
        <w:b/>
      </w:rPr>
    </w:lvl>
    <w:lvl w:ilvl="1" w:tplc="64268118">
      <w:start w:val="1"/>
      <w:numFmt w:val="bullet"/>
      <w:lvlText w:val=""/>
      <w:lvlJc w:val="left"/>
      <w:pPr>
        <w:tabs>
          <w:tab w:val="num" w:pos="1440"/>
        </w:tabs>
        <w:ind w:left="1440" w:hanging="360"/>
      </w:pPr>
      <w:rPr>
        <w:rFonts w:ascii="Symbol" w:eastAsia="Times New Roman" w:hAnsi="Symbol" w:cs="Aria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EC2AC1"/>
    <w:rsid w:val="003764E0"/>
    <w:rsid w:val="005F15D1"/>
    <w:rsid w:val="00896EE1"/>
    <w:rsid w:val="008B74F6"/>
    <w:rsid w:val="00DE34EF"/>
    <w:rsid w:val="00EC2AC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AC1"/>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EC2AC1"/>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EC2AC1"/>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EC2AC1"/>
  </w:style>
  <w:style w:type="paragraph" w:styleId="Textoindependiente">
    <w:name w:val="Body Text"/>
    <w:basedOn w:val="Normal"/>
    <w:link w:val="TextoindependienteCar"/>
    <w:rsid w:val="00EC2AC1"/>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EC2AC1"/>
    <w:rPr>
      <w:rFonts w:ascii="Tahoma" w:eastAsia="Times New Roman" w:hAnsi="Tahoma" w:cs="Times New Roman"/>
      <w:szCs w:val="20"/>
      <w:lang w:val="es-ES_tradnl" w:eastAsia="es-ES"/>
    </w:rPr>
  </w:style>
  <w:style w:type="paragraph" w:customStyle="1" w:styleId="Textoindependiente21">
    <w:name w:val="Texto independiente 21"/>
    <w:basedOn w:val="Normal"/>
    <w:rsid w:val="00EC2AC1"/>
    <w:pPr>
      <w:jc w:val="both"/>
    </w:pPr>
    <w:rPr>
      <w:rFonts w:ascii="Tahoma" w:hAnsi="Tahoma"/>
      <w:sz w:val="22"/>
    </w:rPr>
  </w:style>
  <w:style w:type="paragraph" w:styleId="Textoindependiente3">
    <w:name w:val="Body Text 3"/>
    <w:basedOn w:val="Normal"/>
    <w:link w:val="Textoindependiente3Car"/>
    <w:rsid w:val="00EC2AC1"/>
    <w:pPr>
      <w:spacing w:after="120"/>
    </w:pPr>
    <w:rPr>
      <w:sz w:val="16"/>
      <w:szCs w:val="16"/>
      <w:lang w:val="es-PE"/>
    </w:rPr>
  </w:style>
  <w:style w:type="character" w:customStyle="1" w:styleId="Textoindependiente3Car">
    <w:name w:val="Texto independiente 3 Car"/>
    <w:basedOn w:val="Fuentedeprrafopredeter"/>
    <w:link w:val="Textoindependiente3"/>
    <w:rsid w:val="00EC2AC1"/>
    <w:rPr>
      <w:rFonts w:ascii="Times New Roman" w:eastAsia="Times New Roman" w:hAnsi="Times New Roman" w:cs="Times New Roman"/>
      <w:sz w:val="16"/>
      <w:szCs w:val="16"/>
      <w:lang w:val="es-PE" w:eastAsia="es-ES"/>
    </w:rPr>
  </w:style>
  <w:style w:type="paragraph" w:styleId="Textonotapie">
    <w:name w:val="footnote text"/>
    <w:basedOn w:val="Normal"/>
    <w:link w:val="TextonotapieCar"/>
    <w:semiHidden/>
    <w:rsid w:val="00EC2AC1"/>
  </w:style>
  <w:style w:type="character" w:customStyle="1" w:styleId="TextonotapieCar">
    <w:name w:val="Texto nota pie Car"/>
    <w:basedOn w:val="Fuentedeprrafopredeter"/>
    <w:link w:val="Textonotapie"/>
    <w:semiHidden/>
    <w:rsid w:val="00EC2AC1"/>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EC2AC1"/>
    <w:rPr>
      <w:vertAlign w:val="superscript"/>
    </w:rPr>
  </w:style>
  <w:style w:type="paragraph" w:styleId="NormalWeb">
    <w:name w:val="Normal (Web)"/>
    <w:basedOn w:val="Normal"/>
    <w:rsid w:val="00EC2AC1"/>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1926</Words>
  <Characters>10597</Characters>
  <Application>Microsoft Office Word</Application>
  <DocSecurity>0</DocSecurity>
  <Lines>88</Lines>
  <Paragraphs>24</Paragraphs>
  <ScaleCrop>false</ScaleCrop>
  <Company/>
  <LinksUpToDate>false</LinksUpToDate>
  <CharactersWithSpaces>12499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1673-2007/TC-S3</dc:title>
  <dc:subject>APLICACIÓN DE SANCIÓN A LA EMPRESA FAN  DOLD  SISTEM S.R.L.</dc:subject>
  <dc:creator>TRIBUNAL</dc:creator>
  <cp:keywords>RESOLUCION CONTRATO</cp:keywords>
  <dc:description/>
  <cp:lastModifiedBy>lgavidia</cp:lastModifiedBy>
  <cp:revision>2</cp:revision>
  <dcterms:created xsi:type="dcterms:W3CDTF">2007-12-04T22:38:00Z</dcterms:created>
  <dcterms:modified xsi:type="dcterms:W3CDTF">2007-12-12T16:32:00Z</dcterms:modified>
  <cp:category>RESOLUCION-TRIBUNAL</cp:category>
</cp:coreProperties>
</file>