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FF9" w:rsidRDefault="00E22FF9" w:rsidP="00E22FF9">
      <w:pPr>
        <w:tabs>
          <w:tab w:val="left" w:pos="2700"/>
          <w:tab w:val="left" w:pos="2880"/>
          <w:tab w:val="left" w:pos="6840"/>
        </w:tabs>
        <w:ind w:left="2700" w:right="2060" w:hanging="1080"/>
        <w:jc w:val="both"/>
        <w:rPr>
          <w:rFonts w:ascii="Tahoma" w:hAnsi="Tahoma" w:cs="Tahoma"/>
          <w:b/>
          <w:i/>
        </w:rPr>
      </w:pPr>
    </w:p>
    <w:p w:rsidR="00E22FF9" w:rsidRDefault="00E22FF9" w:rsidP="00E22FF9">
      <w:pPr>
        <w:tabs>
          <w:tab w:val="left" w:pos="2700"/>
          <w:tab w:val="left" w:pos="2880"/>
          <w:tab w:val="left" w:pos="6840"/>
        </w:tabs>
        <w:ind w:left="2700" w:right="2060" w:hanging="1080"/>
        <w:jc w:val="both"/>
        <w:rPr>
          <w:rFonts w:ascii="Tahoma" w:hAnsi="Tahoma" w:cs="Tahoma"/>
          <w:b/>
          <w:i/>
        </w:rPr>
      </w:pPr>
      <w:r>
        <w:rPr>
          <w:rFonts w:ascii="Tahoma" w:hAnsi="Tahoma" w:cs="Tahoma"/>
          <w:b/>
          <w:i/>
        </w:rPr>
        <w:tab/>
        <w:t>RESOLUCIÓN 1634-2007/TC-S3</w:t>
      </w:r>
    </w:p>
    <w:p w:rsidR="00E22FF9" w:rsidRDefault="00E22FF9" w:rsidP="00E22FF9">
      <w:pPr>
        <w:tabs>
          <w:tab w:val="left" w:pos="2700"/>
          <w:tab w:val="left" w:pos="2880"/>
          <w:tab w:val="left" w:pos="6840"/>
        </w:tabs>
        <w:ind w:left="2700" w:right="2060" w:hanging="1080"/>
        <w:jc w:val="both"/>
        <w:rPr>
          <w:rFonts w:ascii="Tahoma" w:hAnsi="Tahoma" w:cs="Tahoma"/>
          <w:b/>
          <w:i/>
        </w:rPr>
      </w:pPr>
    </w:p>
    <w:p w:rsidR="00E22FF9" w:rsidRDefault="00E22FF9" w:rsidP="00E22FF9">
      <w:pPr>
        <w:tabs>
          <w:tab w:val="left" w:pos="2700"/>
          <w:tab w:val="left" w:pos="2880"/>
          <w:tab w:val="left" w:pos="6840"/>
        </w:tabs>
        <w:ind w:left="2700" w:right="2060" w:hanging="1080"/>
        <w:jc w:val="both"/>
        <w:rPr>
          <w:rFonts w:ascii="Tahoma" w:hAnsi="Tahoma" w:cs="Tahoma"/>
          <w:i/>
          <w:lang w:val="es-ES_tradnl"/>
        </w:rPr>
      </w:pPr>
      <w:r w:rsidRPr="00F107B5">
        <w:rPr>
          <w:rFonts w:ascii="Tahoma" w:hAnsi="Tahoma" w:cs="Tahoma"/>
          <w:b/>
          <w:i/>
        </w:rPr>
        <w:t>Sumilla</w:t>
      </w:r>
      <w:r w:rsidRPr="001C2AE2">
        <w:rPr>
          <w:rFonts w:ascii="Tahoma" w:hAnsi="Tahoma" w:cs="Tahoma"/>
          <w:b/>
          <w:i/>
        </w:rPr>
        <w:t>:</w:t>
      </w:r>
      <w:r>
        <w:rPr>
          <w:rFonts w:ascii="Tahoma" w:hAnsi="Tahoma" w:cs="Tahoma"/>
          <w:b/>
          <w:i/>
        </w:rPr>
        <w:t xml:space="preserve">  </w:t>
      </w:r>
      <w:r w:rsidRPr="001C2AE2">
        <w:rPr>
          <w:rFonts w:ascii="Tahoma" w:hAnsi="Tahoma" w:cs="Tahoma"/>
          <w:b/>
          <w:i/>
        </w:rPr>
        <w:t xml:space="preserve"> </w:t>
      </w:r>
      <w:r w:rsidRPr="001C2AE2">
        <w:rPr>
          <w:rFonts w:ascii="Tahoma" w:hAnsi="Tahoma" w:cs="Tahoma"/>
          <w:i/>
        </w:rPr>
        <w:t xml:space="preserve">El procedimiento de resolución contractual ha sido previsto en el artículo 226 del Reglamento, el cual dispone que en </w:t>
      </w:r>
      <w:r w:rsidRPr="001C2AE2">
        <w:rPr>
          <w:rFonts w:ascii="Tahoma" w:hAnsi="Tahoma" w:cs="Tahoma"/>
          <w:i/>
          <w:lang w:val="es-ES_tradnl"/>
        </w:rPr>
        <w:t xml:space="preserve">caso de incumplimiento contractual, la parte afectada </w:t>
      </w:r>
      <w:proofErr w:type="gramStart"/>
      <w:r w:rsidRPr="001C2AE2">
        <w:rPr>
          <w:rFonts w:ascii="Tahoma" w:hAnsi="Tahoma" w:cs="Tahoma"/>
          <w:i/>
          <w:lang w:val="es-ES_tradnl"/>
        </w:rPr>
        <w:t>requerirá</w:t>
      </w:r>
      <w:proofErr w:type="gramEnd"/>
      <w:r w:rsidRPr="001C2AE2">
        <w:rPr>
          <w:rFonts w:ascii="Tahoma" w:hAnsi="Tahoma" w:cs="Tahoma"/>
          <w:i/>
          <w:lang w:val="es-ES_tradnl"/>
        </w:rPr>
        <w:t xml:space="preserve"> a la otra notarialmente para que satisfaga sus obligaciones en un plazo no mayor de cinco (05) días, bajo apercibimiento de resolver el contrato.  </w:t>
      </w:r>
    </w:p>
    <w:p w:rsidR="00E22FF9" w:rsidRDefault="00E22FF9" w:rsidP="00E22FF9">
      <w:pPr>
        <w:tabs>
          <w:tab w:val="left" w:pos="2700"/>
          <w:tab w:val="left" w:pos="2880"/>
          <w:tab w:val="left" w:pos="6840"/>
        </w:tabs>
        <w:ind w:left="2700" w:right="2060" w:hanging="1080"/>
        <w:jc w:val="both"/>
        <w:rPr>
          <w:rFonts w:ascii="Tahoma" w:hAnsi="Tahoma" w:cs="Tahoma"/>
          <w:i/>
        </w:rPr>
      </w:pPr>
    </w:p>
    <w:p w:rsidR="00E22FF9" w:rsidRPr="001C2AE2" w:rsidRDefault="00E22FF9" w:rsidP="00E22FF9">
      <w:pPr>
        <w:tabs>
          <w:tab w:val="left" w:pos="2700"/>
          <w:tab w:val="left" w:pos="2880"/>
          <w:tab w:val="left" w:pos="6840"/>
        </w:tabs>
        <w:ind w:left="2700" w:right="2060" w:hanging="1080"/>
        <w:jc w:val="both"/>
        <w:rPr>
          <w:rFonts w:ascii="Tahoma" w:hAnsi="Tahoma" w:cs="Tahoma"/>
          <w:i/>
        </w:rPr>
      </w:pPr>
    </w:p>
    <w:p w:rsidR="00E22FF9" w:rsidRPr="00F107B5" w:rsidRDefault="00E22FF9" w:rsidP="00E22FF9">
      <w:pPr>
        <w:pStyle w:val="Textoindependiente3"/>
        <w:ind w:left="4956" w:firstLine="84"/>
        <w:rPr>
          <w:rFonts w:ascii="Tahoma" w:hAnsi="Tahoma" w:cs="Tahoma"/>
          <w:b/>
          <w:sz w:val="20"/>
          <w:szCs w:val="20"/>
        </w:rPr>
      </w:pPr>
      <w:r w:rsidRPr="00F107B5">
        <w:rPr>
          <w:rFonts w:ascii="Tahoma" w:hAnsi="Tahoma" w:cs="Tahoma"/>
          <w:b/>
          <w:sz w:val="20"/>
          <w:szCs w:val="20"/>
        </w:rPr>
        <w:t xml:space="preserve">Lima,  </w:t>
      </w:r>
      <w:r>
        <w:rPr>
          <w:rFonts w:ascii="Tahoma" w:hAnsi="Tahoma" w:cs="Tahoma"/>
          <w:b/>
          <w:sz w:val="20"/>
          <w:szCs w:val="20"/>
        </w:rPr>
        <w:t>17 DE OCTUBRE DE 2007</w:t>
      </w:r>
    </w:p>
    <w:p w:rsidR="00E22FF9" w:rsidRPr="00F107B5" w:rsidRDefault="00E22FF9" w:rsidP="00E22FF9">
      <w:pPr>
        <w:pStyle w:val="Textoindependiente"/>
        <w:tabs>
          <w:tab w:val="left" w:pos="540"/>
        </w:tabs>
        <w:rPr>
          <w:rFonts w:cs="Tahoma"/>
          <w:b/>
          <w:sz w:val="20"/>
          <w:lang w:val="es-PE"/>
        </w:rPr>
      </w:pPr>
    </w:p>
    <w:p w:rsidR="00E22FF9" w:rsidRPr="00F107B5" w:rsidRDefault="00E22FF9" w:rsidP="00E22FF9">
      <w:pPr>
        <w:jc w:val="both"/>
        <w:rPr>
          <w:rFonts w:ascii="Tahoma" w:hAnsi="Tahoma" w:cs="Tahoma"/>
        </w:rPr>
      </w:pPr>
      <w:r w:rsidRPr="00F107B5">
        <w:rPr>
          <w:rFonts w:ascii="Tahoma" w:hAnsi="Tahoma" w:cs="Tahoma"/>
          <w:b/>
        </w:rPr>
        <w:t>Visto</w:t>
      </w:r>
      <w:r w:rsidRPr="00F107B5">
        <w:rPr>
          <w:rFonts w:ascii="Tahoma" w:hAnsi="Tahoma" w:cs="Tahoma"/>
        </w:rPr>
        <w:t xml:space="preserve"> en sesión de fecha 0</w:t>
      </w:r>
      <w:r>
        <w:rPr>
          <w:rFonts w:ascii="Tahoma" w:hAnsi="Tahoma" w:cs="Tahoma"/>
        </w:rPr>
        <w:t>2</w:t>
      </w:r>
      <w:r w:rsidRPr="00F107B5">
        <w:rPr>
          <w:rFonts w:ascii="Tahoma" w:hAnsi="Tahoma" w:cs="Tahoma"/>
        </w:rPr>
        <w:t xml:space="preserve"> de</w:t>
      </w:r>
      <w:r>
        <w:rPr>
          <w:rFonts w:ascii="Tahoma" w:hAnsi="Tahoma" w:cs="Tahoma"/>
        </w:rPr>
        <w:t xml:space="preserve"> octubre</w:t>
      </w:r>
      <w:r w:rsidRPr="00F107B5">
        <w:rPr>
          <w:rFonts w:ascii="Tahoma" w:hAnsi="Tahoma" w:cs="Tahoma"/>
        </w:rPr>
        <w:t xml:space="preserve"> de 2007 de la Tercera Sala del Tribunal de Contrataciones y Adquisiciones del Estado el Expediente N.°</w:t>
      </w:r>
      <w:r>
        <w:rPr>
          <w:rFonts w:ascii="Tahoma" w:hAnsi="Tahoma" w:cs="Tahoma"/>
        </w:rPr>
        <w:t xml:space="preserve"> 762</w:t>
      </w:r>
      <w:r w:rsidRPr="00F107B5">
        <w:rPr>
          <w:rFonts w:ascii="Tahoma" w:hAnsi="Tahoma" w:cs="Tahoma"/>
        </w:rPr>
        <w:t>.2007.TC, sobre el procedimiento de aplicación de sanción a</w:t>
      </w:r>
      <w:r>
        <w:rPr>
          <w:rFonts w:ascii="Tahoma" w:hAnsi="Tahoma" w:cs="Tahoma"/>
        </w:rPr>
        <w:t xml:space="preserve">l señor </w:t>
      </w:r>
      <w:r w:rsidRPr="004F49B1">
        <w:rPr>
          <w:rFonts w:ascii="Tahoma" w:hAnsi="Tahoma" w:cs="Tahoma"/>
        </w:rPr>
        <w:t xml:space="preserve">Vidal </w:t>
      </w:r>
      <w:proofErr w:type="spellStart"/>
      <w:r w:rsidRPr="004F49B1">
        <w:rPr>
          <w:rFonts w:ascii="Tahoma" w:hAnsi="Tahoma" w:cs="Tahoma"/>
        </w:rPr>
        <w:t>Mayorga</w:t>
      </w:r>
      <w:proofErr w:type="spellEnd"/>
      <w:r w:rsidRPr="004F49B1">
        <w:rPr>
          <w:rFonts w:ascii="Tahoma" w:hAnsi="Tahoma" w:cs="Tahoma"/>
        </w:rPr>
        <w:t xml:space="preserve"> Gutiérrez</w:t>
      </w:r>
      <w:r w:rsidRPr="001C2AE2">
        <w:rPr>
          <w:rFonts w:ascii="Tahoma" w:hAnsi="Tahoma" w:cs="Tahoma"/>
        </w:rPr>
        <w:t>,</w:t>
      </w:r>
      <w:r w:rsidRPr="00F107B5">
        <w:rPr>
          <w:rFonts w:ascii="Tahoma" w:hAnsi="Tahoma" w:cs="Tahoma"/>
        </w:rPr>
        <w:t xml:space="preserve"> por</w:t>
      </w:r>
      <w:r>
        <w:rPr>
          <w:rFonts w:ascii="Tahoma" w:hAnsi="Tahoma" w:cs="Tahoma"/>
        </w:rPr>
        <w:t xml:space="preserve"> supuesta responsabilidad en dar lugar a la resolución del contrato de Locación de Servicios N.º 214-2006/MED/ADMC-SNP Y CONS-027 derivado de </w:t>
      </w:r>
      <w:r w:rsidRPr="00545365">
        <w:rPr>
          <w:rFonts w:ascii="Tahoma" w:hAnsi="Tahoma" w:cs="Tahoma"/>
        </w:rPr>
        <w:t xml:space="preserve">la </w:t>
      </w:r>
      <w:r w:rsidRPr="004F49B1">
        <w:rPr>
          <w:rFonts w:ascii="Tahoma" w:hAnsi="Tahoma" w:cs="Tahoma"/>
        </w:rPr>
        <w:t>Adjudicación de Menor Cuantía № 0214-2006-U.E-027</w:t>
      </w:r>
      <w:r>
        <w:rPr>
          <w:rFonts w:ascii="Tahoma" w:hAnsi="Tahoma" w:cs="Tahoma"/>
        </w:rPr>
        <w:t xml:space="preserve"> </w:t>
      </w:r>
      <w:r w:rsidRPr="00545365">
        <w:rPr>
          <w:rFonts w:ascii="Tahoma" w:hAnsi="Tahoma" w:cs="Tahoma"/>
        </w:rPr>
        <w:t xml:space="preserve"> </w:t>
      </w:r>
      <w:r>
        <w:rPr>
          <w:rFonts w:ascii="Tahoma" w:hAnsi="Tahoma" w:cs="Tahoma"/>
        </w:rPr>
        <w:t xml:space="preserve">convocada  por el </w:t>
      </w:r>
      <w:r w:rsidRPr="004F49B1">
        <w:rPr>
          <w:rFonts w:ascii="Tahoma" w:hAnsi="Tahoma" w:cs="Tahoma"/>
        </w:rPr>
        <w:t>Ministerio de Educación</w:t>
      </w:r>
      <w:r>
        <w:rPr>
          <w:rFonts w:ascii="Tahoma" w:hAnsi="Tahoma" w:cs="Tahoma"/>
        </w:rPr>
        <w:t xml:space="preserve">, </w:t>
      </w:r>
      <w:r w:rsidRPr="004F49B1">
        <w:rPr>
          <w:rFonts w:ascii="Tahoma" w:hAnsi="Tahoma" w:cs="Tahoma"/>
        </w:rPr>
        <w:t>para la contratación de servicios de consultoría para monitor Distrital del Programa Nacional de apoyo a los más p</w:t>
      </w:r>
      <w:r>
        <w:rPr>
          <w:rFonts w:ascii="Tahoma" w:hAnsi="Tahoma" w:cs="Tahoma"/>
        </w:rPr>
        <w:t xml:space="preserve">obres, Juntos Subsistema MINEDU, </w:t>
      </w:r>
      <w:r w:rsidRPr="004F49B1">
        <w:rPr>
          <w:rFonts w:ascii="Tahoma" w:hAnsi="Tahoma" w:cs="Tahoma"/>
        </w:rPr>
        <w:t xml:space="preserve">en el Distrito de </w:t>
      </w:r>
      <w:proofErr w:type="spellStart"/>
      <w:r w:rsidRPr="004F49B1">
        <w:rPr>
          <w:rFonts w:ascii="Tahoma" w:hAnsi="Tahoma" w:cs="Tahoma"/>
        </w:rPr>
        <w:t>Asquipata</w:t>
      </w:r>
      <w:proofErr w:type="spellEnd"/>
      <w:r w:rsidRPr="004F49B1">
        <w:rPr>
          <w:rFonts w:ascii="Tahoma" w:hAnsi="Tahoma" w:cs="Tahoma"/>
        </w:rPr>
        <w:t xml:space="preserve"> de la Región Ayacucho</w:t>
      </w:r>
      <w:r>
        <w:rPr>
          <w:rFonts w:ascii="Tahoma" w:hAnsi="Tahoma" w:cs="Tahoma"/>
        </w:rPr>
        <w:t>, por causal atribuible a su parte</w:t>
      </w:r>
      <w:r w:rsidRPr="00F107B5">
        <w:rPr>
          <w:rFonts w:ascii="Tahoma" w:hAnsi="Tahoma" w:cs="Tahoma"/>
        </w:rPr>
        <w:t>;</w:t>
      </w:r>
      <w:r w:rsidRPr="00F107B5">
        <w:rPr>
          <w:rFonts w:ascii="Tahoma" w:hAnsi="Tahoma" w:cs="Tahoma"/>
          <w:color w:val="000000"/>
        </w:rPr>
        <w:t xml:space="preserve"> y atendiendo a los siguientes:    </w:t>
      </w:r>
    </w:p>
    <w:p w:rsidR="00E22FF9" w:rsidRDefault="00E22FF9" w:rsidP="00E22FF9">
      <w:pPr>
        <w:pStyle w:val="Textoindependiente"/>
        <w:widowControl/>
        <w:tabs>
          <w:tab w:val="left" w:pos="540"/>
        </w:tabs>
        <w:suppressAutoHyphens w:val="0"/>
        <w:rPr>
          <w:rFonts w:cs="Tahoma"/>
          <w:sz w:val="20"/>
        </w:rPr>
      </w:pPr>
      <w:r w:rsidRPr="00F107B5">
        <w:rPr>
          <w:rFonts w:cs="Tahoma"/>
          <w:sz w:val="20"/>
        </w:rPr>
        <w:t xml:space="preserve"> </w:t>
      </w:r>
    </w:p>
    <w:p w:rsidR="00E22FF9" w:rsidRPr="00F107B5" w:rsidRDefault="00E22FF9" w:rsidP="00E22FF9">
      <w:pPr>
        <w:pStyle w:val="Textoindependiente"/>
        <w:widowControl/>
        <w:tabs>
          <w:tab w:val="left" w:pos="540"/>
        </w:tabs>
        <w:suppressAutoHyphens w:val="0"/>
        <w:rPr>
          <w:rFonts w:cs="Tahoma"/>
          <w:sz w:val="20"/>
        </w:rPr>
      </w:pPr>
    </w:p>
    <w:p w:rsidR="00E22FF9" w:rsidRDefault="00E22FF9" w:rsidP="00E22FF9">
      <w:pPr>
        <w:jc w:val="both"/>
        <w:rPr>
          <w:rFonts w:ascii="Tahoma" w:hAnsi="Tahoma" w:cs="Tahoma"/>
          <w:b/>
          <w:shadow/>
        </w:rPr>
      </w:pPr>
      <w:r w:rsidRPr="00F107B5">
        <w:rPr>
          <w:rFonts w:ascii="Tahoma" w:hAnsi="Tahoma" w:cs="Tahoma"/>
          <w:b/>
          <w:shadow/>
        </w:rPr>
        <w:t>ANTECEDENTES:</w:t>
      </w:r>
    </w:p>
    <w:p w:rsidR="00E22FF9" w:rsidRPr="004F49B1" w:rsidRDefault="00E22FF9" w:rsidP="00E22FF9">
      <w:pPr>
        <w:pStyle w:val="Textoindependiente"/>
        <w:tabs>
          <w:tab w:val="left" w:pos="-2340"/>
        </w:tabs>
        <w:ind w:right="-315"/>
        <w:rPr>
          <w:rFonts w:cs="Tahoma"/>
          <w:sz w:val="20"/>
        </w:rPr>
      </w:pPr>
    </w:p>
    <w:p w:rsidR="00E22FF9" w:rsidRPr="004F49B1" w:rsidRDefault="00E22FF9" w:rsidP="00E22FF9">
      <w:pPr>
        <w:numPr>
          <w:ilvl w:val="0"/>
          <w:numId w:val="2"/>
        </w:numPr>
        <w:tabs>
          <w:tab w:val="num" w:pos="540"/>
        </w:tabs>
        <w:ind w:left="540" w:hanging="540"/>
        <w:jc w:val="both"/>
        <w:rPr>
          <w:rFonts w:ascii="Tahoma" w:hAnsi="Tahoma" w:cs="Tahoma"/>
        </w:rPr>
      </w:pPr>
      <w:r w:rsidRPr="004F49B1">
        <w:rPr>
          <w:rFonts w:ascii="Tahoma" w:hAnsi="Tahoma" w:cs="Tahoma"/>
        </w:rPr>
        <w:t xml:space="preserve">El 04 de mayo de 2006, el Ministerio de Educación, en lo sucesivo la Entidad, convocó a la Adjudicación de Menor Cuantía № 0214-2006-U.E-027 para la contratación de servicios de consultoría para monitor Distrital del Programa Nacional de apoyo a los más pobres, Juntos Subsistema MINEDU en el Distrito de </w:t>
      </w:r>
      <w:proofErr w:type="spellStart"/>
      <w:r w:rsidRPr="004F49B1">
        <w:rPr>
          <w:rFonts w:ascii="Tahoma" w:hAnsi="Tahoma" w:cs="Tahoma"/>
        </w:rPr>
        <w:t>Asquipata</w:t>
      </w:r>
      <w:proofErr w:type="spellEnd"/>
      <w:r w:rsidRPr="004F49B1">
        <w:rPr>
          <w:rFonts w:ascii="Tahoma" w:hAnsi="Tahoma" w:cs="Tahoma"/>
        </w:rPr>
        <w:t xml:space="preserve"> de la Región Ayacucho. Como resultado de dicho proceso de selección, se adjudicó la Buena Pro a favor del Señor Vidal </w:t>
      </w:r>
      <w:proofErr w:type="spellStart"/>
      <w:r w:rsidRPr="004F49B1">
        <w:rPr>
          <w:rFonts w:ascii="Tahoma" w:hAnsi="Tahoma" w:cs="Tahoma"/>
        </w:rPr>
        <w:t>Mayorga</w:t>
      </w:r>
      <w:proofErr w:type="spellEnd"/>
      <w:r w:rsidRPr="004F49B1">
        <w:rPr>
          <w:rFonts w:ascii="Tahoma" w:hAnsi="Tahoma" w:cs="Tahoma"/>
        </w:rPr>
        <w:t xml:space="preserve"> Gutiérrez, en lo sucesivo el Postor.</w:t>
      </w:r>
    </w:p>
    <w:p w:rsidR="00E22FF9" w:rsidRPr="004F49B1" w:rsidRDefault="00E22FF9" w:rsidP="00E22FF9">
      <w:pPr>
        <w:jc w:val="both"/>
        <w:rPr>
          <w:rFonts w:ascii="Tahoma" w:hAnsi="Tahoma" w:cs="Tahoma"/>
        </w:rPr>
      </w:pPr>
    </w:p>
    <w:p w:rsidR="00E22FF9" w:rsidRDefault="00E22FF9" w:rsidP="00E22FF9">
      <w:pPr>
        <w:numPr>
          <w:ilvl w:val="0"/>
          <w:numId w:val="2"/>
        </w:numPr>
        <w:tabs>
          <w:tab w:val="num" w:pos="540"/>
        </w:tabs>
        <w:ind w:left="540" w:hanging="540"/>
        <w:jc w:val="both"/>
        <w:rPr>
          <w:rFonts w:ascii="Tahoma" w:hAnsi="Tahoma" w:cs="Tahoma"/>
        </w:rPr>
      </w:pPr>
      <w:r w:rsidRPr="004F49B1">
        <w:rPr>
          <w:rFonts w:ascii="Tahoma" w:hAnsi="Tahoma" w:cs="Tahoma"/>
        </w:rPr>
        <w:t>En virtud al otorgamiento realizado, con fecha 05 de mayo de 2006  el Postor y la Entidad suscribieron el Contrato de Locación de Servicios N</w:t>
      </w:r>
      <w:proofErr w:type="gramStart"/>
      <w:r w:rsidRPr="004F49B1">
        <w:rPr>
          <w:rFonts w:ascii="Tahoma" w:hAnsi="Tahoma" w:cs="Tahoma"/>
        </w:rPr>
        <w:t>.º</w:t>
      </w:r>
      <w:proofErr w:type="gramEnd"/>
      <w:r w:rsidRPr="004F49B1">
        <w:rPr>
          <w:rFonts w:ascii="Tahoma" w:hAnsi="Tahoma" w:cs="Tahoma"/>
        </w:rPr>
        <w:t xml:space="preserve"> 214-2006/MED/ADMC-SNP Y CONS -027.</w:t>
      </w:r>
    </w:p>
    <w:p w:rsidR="00E22FF9" w:rsidRDefault="00E22FF9" w:rsidP="00E22FF9">
      <w:pPr>
        <w:jc w:val="both"/>
        <w:rPr>
          <w:rFonts w:ascii="Tahoma" w:hAnsi="Tahoma" w:cs="Tahoma"/>
        </w:rPr>
      </w:pPr>
    </w:p>
    <w:p w:rsidR="00E22FF9" w:rsidRPr="002E144A" w:rsidRDefault="00E22FF9" w:rsidP="00E22FF9">
      <w:pPr>
        <w:numPr>
          <w:ilvl w:val="0"/>
          <w:numId w:val="2"/>
        </w:numPr>
        <w:tabs>
          <w:tab w:val="num" w:pos="540"/>
        </w:tabs>
        <w:ind w:left="540" w:hanging="540"/>
        <w:jc w:val="both"/>
        <w:rPr>
          <w:rFonts w:ascii="Tahoma" w:hAnsi="Tahoma" w:cs="Tahoma"/>
        </w:rPr>
      </w:pPr>
      <w:r w:rsidRPr="002E144A">
        <w:rPr>
          <w:rFonts w:ascii="Tahoma" w:hAnsi="Tahoma" w:cs="Tahoma"/>
        </w:rPr>
        <w:t>Con fecha 01 de junio de 2006, mediante el Formulario Único de Tramite N</w:t>
      </w:r>
      <w:proofErr w:type="gramStart"/>
      <w:r w:rsidRPr="002E144A">
        <w:rPr>
          <w:rFonts w:ascii="Tahoma" w:hAnsi="Tahoma" w:cs="Tahoma"/>
        </w:rPr>
        <w:t>.º</w:t>
      </w:r>
      <w:proofErr w:type="gramEnd"/>
      <w:r w:rsidRPr="002E144A">
        <w:rPr>
          <w:rFonts w:ascii="Tahoma" w:hAnsi="Tahoma" w:cs="Tahoma"/>
        </w:rPr>
        <w:t xml:space="preserve"> 013083 el Sr. Vidal </w:t>
      </w:r>
      <w:proofErr w:type="spellStart"/>
      <w:r w:rsidRPr="002E144A">
        <w:rPr>
          <w:rFonts w:ascii="Tahoma" w:hAnsi="Tahoma" w:cs="Tahoma"/>
        </w:rPr>
        <w:t>Mayorga</w:t>
      </w:r>
      <w:proofErr w:type="spellEnd"/>
      <w:r w:rsidRPr="002E144A">
        <w:rPr>
          <w:rFonts w:ascii="Tahoma" w:hAnsi="Tahoma" w:cs="Tahoma"/>
        </w:rPr>
        <w:t xml:space="preserve"> Gutiérrez presentó su renuncia al Programa Juntos Subsistema MINEDU, por encontrarse en el ranking  de seleccionados para el proceso de Demanda Ejecutiva 2006 convocado por el Programa Juntos Subsistema MINEDU.</w:t>
      </w:r>
    </w:p>
    <w:p w:rsidR="00E22FF9" w:rsidRPr="002E144A" w:rsidRDefault="00E22FF9" w:rsidP="00E22FF9">
      <w:pPr>
        <w:jc w:val="both"/>
        <w:rPr>
          <w:rFonts w:ascii="Tahoma" w:hAnsi="Tahoma" w:cs="Tahoma"/>
        </w:rPr>
      </w:pPr>
    </w:p>
    <w:p w:rsidR="00E22FF9" w:rsidRPr="002E144A" w:rsidRDefault="00E22FF9" w:rsidP="00E22FF9">
      <w:pPr>
        <w:ind w:left="540"/>
        <w:jc w:val="both"/>
        <w:rPr>
          <w:rFonts w:ascii="Tahoma" w:hAnsi="Tahoma" w:cs="Tahoma"/>
        </w:rPr>
      </w:pPr>
      <w:r w:rsidRPr="002E144A">
        <w:rPr>
          <w:rFonts w:ascii="Tahoma" w:hAnsi="Tahoma" w:cs="Tahoma"/>
        </w:rPr>
        <w:t xml:space="preserve">La referida adjudicación de plazas se realizó el 06 de junio de 2006, fecha en que los ganadores están obligados a cumplir sus plazas y, se tenía conocimiento que monitores distritales del “Programa Juntos” se habían presentado al mencionado concurso obteniendo una de las plazas convocadas, habiendo presentado previamente su renuncia al cargo de monitor distrital. </w:t>
      </w:r>
    </w:p>
    <w:p w:rsidR="00E22FF9" w:rsidRPr="002E144A" w:rsidRDefault="00E22FF9" w:rsidP="00E22FF9">
      <w:pPr>
        <w:jc w:val="both"/>
        <w:rPr>
          <w:rFonts w:ascii="Tahoma" w:hAnsi="Tahoma" w:cs="Tahoma"/>
        </w:rPr>
      </w:pPr>
    </w:p>
    <w:p w:rsidR="00E22FF9" w:rsidRPr="002E144A" w:rsidRDefault="00E22FF9" w:rsidP="00E22FF9">
      <w:pPr>
        <w:ind w:left="540"/>
        <w:jc w:val="both"/>
        <w:rPr>
          <w:rFonts w:ascii="Tahoma" w:hAnsi="Tahoma" w:cs="Tahoma"/>
        </w:rPr>
      </w:pPr>
      <w:r w:rsidRPr="002E144A">
        <w:rPr>
          <w:rFonts w:ascii="Tahoma" w:hAnsi="Tahoma" w:cs="Tahoma"/>
        </w:rPr>
        <w:t xml:space="preserve">Dichos hechos fueron confirmados con la comunicación de fecha 18 de julio de 2006, mediante la cual, el Jefe de la Oficina Informática remitió el informe de la supervisora de la DRE Ayacucho, donde indicó que el especialista de la DRE y responsable del Programa Juntos Subsistema MINEDU, había </w:t>
      </w:r>
      <w:r w:rsidRPr="002E144A">
        <w:rPr>
          <w:rFonts w:ascii="Tahoma" w:hAnsi="Tahoma" w:cs="Tahoma"/>
        </w:rPr>
        <w:lastRenderedPageBreak/>
        <w:t>informado vía correo electrónico  sobre un concurso para plazas docentes y que un grupo de ellos había participado en dicho concurso.</w:t>
      </w:r>
    </w:p>
    <w:p w:rsidR="00E22FF9" w:rsidRPr="00A24698" w:rsidRDefault="00E22FF9" w:rsidP="00E22FF9">
      <w:pPr>
        <w:jc w:val="both"/>
        <w:rPr>
          <w:rFonts w:ascii="Tahoma" w:hAnsi="Tahoma" w:cs="Tahoma"/>
          <w:highlight w:val="yellow"/>
        </w:rPr>
      </w:pPr>
    </w:p>
    <w:p w:rsidR="00E22FF9" w:rsidRDefault="00E22FF9" w:rsidP="00E22FF9">
      <w:pPr>
        <w:jc w:val="both"/>
        <w:rPr>
          <w:rFonts w:ascii="Tahoma" w:hAnsi="Tahoma" w:cs="Tahoma"/>
        </w:rPr>
      </w:pPr>
    </w:p>
    <w:p w:rsidR="00E22FF9" w:rsidRDefault="00E22FF9" w:rsidP="00E22FF9">
      <w:pPr>
        <w:numPr>
          <w:ilvl w:val="0"/>
          <w:numId w:val="2"/>
        </w:numPr>
        <w:tabs>
          <w:tab w:val="num" w:pos="540"/>
        </w:tabs>
        <w:ind w:left="540" w:hanging="540"/>
        <w:jc w:val="both"/>
        <w:rPr>
          <w:rFonts w:ascii="Tahoma" w:hAnsi="Tahoma" w:cs="Tahoma"/>
        </w:rPr>
      </w:pPr>
      <w:r>
        <w:rPr>
          <w:rFonts w:ascii="Tahoma" w:hAnsi="Tahoma" w:cs="Tahoma"/>
        </w:rPr>
        <w:t>Mediante Carta Notarial N</w:t>
      </w:r>
      <w:proofErr w:type="gramStart"/>
      <w:r>
        <w:rPr>
          <w:rFonts w:ascii="Tahoma" w:hAnsi="Tahoma" w:cs="Tahoma"/>
        </w:rPr>
        <w:t>.º</w:t>
      </w:r>
      <w:proofErr w:type="gramEnd"/>
      <w:r>
        <w:rPr>
          <w:rFonts w:ascii="Tahoma" w:hAnsi="Tahoma" w:cs="Tahoma"/>
        </w:rPr>
        <w:t xml:space="preserve"> 086-2006-ME/SG-OA-UA-ADQ de fecha 18 de setiembre de 2006 se le requirió al Postor para que en el plazo de dos días cumpla con las obligaciones asumidas, entregando el avance correspondiente al mes de junio, bajo apercibimiento de resolver parcialmente el contrato respectivo, y adicionalmente, se le indicó que el citado contrato no implica relación laboral alguna con el Ministerio.</w:t>
      </w:r>
    </w:p>
    <w:p w:rsidR="00E22FF9" w:rsidRDefault="00E22FF9" w:rsidP="00E22FF9">
      <w:pPr>
        <w:jc w:val="both"/>
        <w:rPr>
          <w:rFonts w:ascii="Tahoma" w:hAnsi="Tahoma" w:cs="Tahoma"/>
        </w:rPr>
      </w:pPr>
    </w:p>
    <w:p w:rsidR="00E22FF9" w:rsidRDefault="00E22FF9" w:rsidP="00E22FF9">
      <w:pPr>
        <w:numPr>
          <w:ilvl w:val="0"/>
          <w:numId w:val="2"/>
        </w:numPr>
        <w:tabs>
          <w:tab w:val="num" w:pos="540"/>
        </w:tabs>
        <w:ind w:left="540" w:hanging="540"/>
        <w:jc w:val="both"/>
        <w:rPr>
          <w:rFonts w:ascii="Tahoma" w:hAnsi="Tahoma" w:cs="Tahoma"/>
        </w:rPr>
      </w:pPr>
      <w:r>
        <w:rPr>
          <w:rFonts w:ascii="Tahoma" w:hAnsi="Tahoma" w:cs="Tahoma"/>
        </w:rPr>
        <w:t>Al no haber cumplido el Postor con las obligaciones a su cargo, a pesar del requerimiento realizado, mediante Carta Notarial N</w:t>
      </w:r>
      <w:proofErr w:type="gramStart"/>
      <w:r>
        <w:rPr>
          <w:rFonts w:ascii="Tahoma" w:hAnsi="Tahoma" w:cs="Tahoma"/>
        </w:rPr>
        <w:t>.º</w:t>
      </w:r>
      <w:proofErr w:type="gramEnd"/>
      <w:r>
        <w:rPr>
          <w:rFonts w:ascii="Tahoma" w:hAnsi="Tahoma" w:cs="Tahoma"/>
        </w:rPr>
        <w:t xml:space="preserve"> 172-2006-ME/SG-OGA-UA-ADQ de fecha 20 de diciembre de 2006 se comunicó la Resolución de Secretaría General N.º 1053-2006-ED que dispuso resolver parcialmente el Contrato de Locación de Servicios N.º 214-2006/MED/ADMC-SNP Y CONS-027.</w:t>
      </w:r>
    </w:p>
    <w:p w:rsidR="00E22FF9" w:rsidRDefault="00E22FF9" w:rsidP="00E22FF9">
      <w:pPr>
        <w:jc w:val="both"/>
        <w:rPr>
          <w:rFonts w:ascii="Tahoma" w:hAnsi="Tahoma" w:cs="Tahoma"/>
        </w:rPr>
      </w:pPr>
    </w:p>
    <w:p w:rsidR="00E22FF9" w:rsidRDefault="00E22FF9" w:rsidP="00E22FF9">
      <w:pPr>
        <w:numPr>
          <w:ilvl w:val="0"/>
          <w:numId w:val="2"/>
        </w:numPr>
        <w:tabs>
          <w:tab w:val="num" w:pos="540"/>
        </w:tabs>
        <w:ind w:left="540" w:hanging="540"/>
        <w:jc w:val="both"/>
        <w:rPr>
          <w:rFonts w:ascii="Tahoma" w:hAnsi="Tahoma" w:cs="Tahoma"/>
        </w:rPr>
      </w:pPr>
      <w:r>
        <w:rPr>
          <w:rFonts w:ascii="Tahoma" w:hAnsi="Tahoma" w:cs="Tahoma"/>
        </w:rPr>
        <w:t>Con fecha 15 de enero de 2007 el Postor presentó recurso de apelación contra la resolución parcial del contrato, al respecto, la Entidad informó al postor que las controversias que surjan entre las partes respecto a la resolución contractual se resolverán mediante la vía arbitral.</w:t>
      </w:r>
    </w:p>
    <w:p w:rsidR="00E22FF9" w:rsidRDefault="00E22FF9" w:rsidP="00E22FF9">
      <w:pPr>
        <w:jc w:val="both"/>
        <w:rPr>
          <w:rFonts w:ascii="Tahoma" w:hAnsi="Tahoma" w:cs="Tahoma"/>
        </w:rPr>
      </w:pPr>
    </w:p>
    <w:p w:rsidR="00E22FF9" w:rsidRDefault="00E22FF9" w:rsidP="00E22FF9">
      <w:pPr>
        <w:numPr>
          <w:ilvl w:val="0"/>
          <w:numId w:val="2"/>
        </w:numPr>
        <w:tabs>
          <w:tab w:val="num" w:pos="540"/>
        </w:tabs>
        <w:ind w:left="540" w:hanging="540"/>
        <w:jc w:val="both"/>
        <w:rPr>
          <w:rFonts w:ascii="Tahoma" w:hAnsi="Tahoma" w:cs="Tahoma"/>
        </w:rPr>
      </w:pPr>
      <w:r>
        <w:rPr>
          <w:rFonts w:ascii="Tahoma" w:hAnsi="Tahoma" w:cs="Tahoma"/>
        </w:rPr>
        <w:t>Mediante Oficio N.º 342-2007-ME/SG la Entidad puso en conocimiento de este Tribunal los hechos antes descritos, y por tal motivo, mediante Decreto de fecha 23 de abril de 2007, se dispuso el inicio del procedimiento administrativo sancionador contra el postor, por supuesta responsabilidad en la resolución del Contrato de Locación de Servicios N.º 214-2006/MED/ADMC-SNP Y CONS-027, otorgándosele el plazo de diez (10) días para que presente sus descargos, bajo apercibimiento de resolver con la documentación obrante en autos.</w:t>
      </w:r>
    </w:p>
    <w:p w:rsidR="00E22FF9" w:rsidRDefault="00E22FF9" w:rsidP="00E22FF9">
      <w:pPr>
        <w:jc w:val="both"/>
        <w:rPr>
          <w:rFonts w:ascii="Tahoma" w:hAnsi="Tahoma" w:cs="Tahoma"/>
        </w:rPr>
      </w:pPr>
    </w:p>
    <w:p w:rsidR="00E22FF9" w:rsidRDefault="00E22FF9" w:rsidP="00E22FF9">
      <w:pPr>
        <w:numPr>
          <w:ilvl w:val="0"/>
          <w:numId w:val="2"/>
        </w:numPr>
        <w:tabs>
          <w:tab w:val="num" w:pos="540"/>
        </w:tabs>
        <w:ind w:left="540" w:hanging="540"/>
        <w:jc w:val="both"/>
        <w:rPr>
          <w:rFonts w:ascii="Tahoma" w:hAnsi="Tahoma" w:cs="Tahoma"/>
        </w:rPr>
      </w:pPr>
      <w:r>
        <w:rPr>
          <w:rFonts w:ascii="Tahoma" w:hAnsi="Tahoma" w:cs="Tahoma"/>
        </w:rPr>
        <w:t>Al no haber cumplido el Postor con presentar sus descargos en el plazo otorgado, mediante decreto de fecha 31 de mayo de 2007 se hizo efectivo el apercibimiento de resolver con la documentación obrante en autos y se remitió el expediente a la Tercera Sala del Tribunal para que emita pronunciamiento.</w:t>
      </w:r>
    </w:p>
    <w:p w:rsidR="00E22FF9" w:rsidRDefault="00E22FF9" w:rsidP="00E22FF9">
      <w:pPr>
        <w:pStyle w:val="NormalWeb"/>
        <w:tabs>
          <w:tab w:val="num" w:pos="900"/>
        </w:tabs>
        <w:spacing w:before="0" w:beforeAutospacing="0" w:after="0" w:afterAutospacing="0"/>
        <w:ind w:left="360"/>
        <w:jc w:val="both"/>
        <w:rPr>
          <w:rFonts w:ascii="Tahoma" w:hAnsi="Tahoma" w:cs="Tahoma"/>
          <w:sz w:val="20"/>
          <w:szCs w:val="20"/>
        </w:rPr>
      </w:pPr>
    </w:p>
    <w:p w:rsidR="00E22FF9" w:rsidRPr="00F107B5" w:rsidRDefault="00E22FF9" w:rsidP="00E22FF9">
      <w:pPr>
        <w:pStyle w:val="NormalWeb"/>
        <w:tabs>
          <w:tab w:val="num" w:pos="900"/>
        </w:tabs>
        <w:spacing w:before="0" w:beforeAutospacing="0" w:after="0" w:afterAutospacing="0"/>
        <w:ind w:left="360"/>
        <w:jc w:val="both"/>
        <w:rPr>
          <w:rFonts w:ascii="Tahoma" w:hAnsi="Tahoma" w:cs="Tahoma"/>
          <w:sz w:val="20"/>
          <w:szCs w:val="20"/>
        </w:rPr>
      </w:pPr>
    </w:p>
    <w:p w:rsidR="00E22FF9" w:rsidRPr="00F107B5" w:rsidRDefault="00E22FF9" w:rsidP="00E22FF9">
      <w:pPr>
        <w:jc w:val="both"/>
        <w:rPr>
          <w:rFonts w:ascii="Tahoma" w:hAnsi="Tahoma" w:cs="Tahoma"/>
          <w:b/>
          <w:shadow/>
        </w:rPr>
      </w:pPr>
      <w:r w:rsidRPr="00F107B5">
        <w:rPr>
          <w:rFonts w:ascii="Tahoma" w:hAnsi="Tahoma" w:cs="Tahoma"/>
          <w:b/>
          <w:shadow/>
        </w:rPr>
        <w:t>FUNDAMENTACIÓN:</w:t>
      </w:r>
    </w:p>
    <w:p w:rsidR="00E22FF9" w:rsidRDefault="00E22FF9" w:rsidP="00E22FF9">
      <w:pPr>
        <w:jc w:val="both"/>
        <w:rPr>
          <w:rFonts w:ascii="Tahoma" w:hAnsi="Tahoma" w:cs="Tahoma"/>
        </w:rPr>
      </w:pPr>
    </w:p>
    <w:p w:rsidR="00E22FF9" w:rsidRPr="000C1BE6" w:rsidRDefault="00E22FF9" w:rsidP="00E22FF9">
      <w:pPr>
        <w:jc w:val="both"/>
        <w:rPr>
          <w:rFonts w:ascii="Tahoma" w:hAnsi="Tahoma" w:cs="Tahoma"/>
        </w:rPr>
      </w:pPr>
    </w:p>
    <w:p w:rsidR="00E22FF9" w:rsidRPr="000C1BE6" w:rsidRDefault="00E22FF9" w:rsidP="00E22FF9">
      <w:pPr>
        <w:numPr>
          <w:ilvl w:val="0"/>
          <w:numId w:val="4"/>
        </w:numPr>
        <w:tabs>
          <w:tab w:val="clear" w:pos="720"/>
          <w:tab w:val="num" w:pos="540"/>
        </w:tabs>
        <w:ind w:left="540" w:hanging="540"/>
        <w:jc w:val="both"/>
        <w:rPr>
          <w:rFonts w:ascii="Tahoma" w:hAnsi="Tahoma" w:cs="Tahoma"/>
        </w:rPr>
      </w:pPr>
      <w:r w:rsidRPr="000C1BE6">
        <w:rPr>
          <w:rFonts w:ascii="Tahoma" w:hAnsi="Tahoma" w:cs="Tahoma"/>
        </w:rPr>
        <w:t>El presente procedimiento está referido a la supuesta responsabilidad de</w:t>
      </w:r>
      <w:r>
        <w:rPr>
          <w:rFonts w:ascii="Tahoma" w:hAnsi="Tahoma" w:cs="Tahoma"/>
        </w:rPr>
        <w:t>l</w:t>
      </w:r>
      <w:r w:rsidRPr="000C1BE6">
        <w:rPr>
          <w:rFonts w:ascii="Tahoma" w:hAnsi="Tahoma" w:cs="Tahoma"/>
        </w:rPr>
        <w:t xml:space="preserve"> </w:t>
      </w:r>
      <w:r w:rsidRPr="00E8235B">
        <w:rPr>
          <w:rFonts w:ascii="Tahoma" w:hAnsi="Tahoma" w:cs="Tahoma"/>
          <w:b/>
        </w:rPr>
        <w:t>S</w:t>
      </w:r>
      <w:r>
        <w:rPr>
          <w:rFonts w:ascii="Tahoma" w:hAnsi="Tahoma" w:cs="Tahoma"/>
          <w:b/>
        </w:rPr>
        <w:t>r</w:t>
      </w:r>
      <w:r w:rsidRPr="00E8235B">
        <w:rPr>
          <w:rFonts w:ascii="Tahoma" w:hAnsi="Tahoma" w:cs="Tahoma"/>
          <w:b/>
        </w:rPr>
        <w:t>.</w:t>
      </w:r>
      <w:r>
        <w:rPr>
          <w:rFonts w:ascii="Tahoma" w:hAnsi="Tahoma" w:cs="Tahoma"/>
        </w:rPr>
        <w:t xml:space="preserve"> </w:t>
      </w:r>
      <w:r w:rsidRPr="007F0821">
        <w:rPr>
          <w:rFonts w:ascii="Tahoma" w:hAnsi="Tahoma" w:cs="Tahoma"/>
          <w:b/>
        </w:rPr>
        <w:t xml:space="preserve">Vidal </w:t>
      </w:r>
      <w:proofErr w:type="spellStart"/>
      <w:r w:rsidRPr="007F0821">
        <w:rPr>
          <w:rFonts w:ascii="Tahoma" w:hAnsi="Tahoma" w:cs="Tahoma"/>
          <w:b/>
        </w:rPr>
        <w:t>Mayorga</w:t>
      </w:r>
      <w:proofErr w:type="spellEnd"/>
      <w:r w:rsidRPr="007F0821">
        <w:rPr>
          <w:rFonts w:ascii="Tahoma" w:hAnsi="Tahoma" w:cs="Tahoma"/>
          <w:b/>
        </w:rPr>
        <w:t xml:space="preserve"> Gutiérrez</w:t>
      </w:r>
      <w:r w:rsidRPr="000C1BE6">
        <w:rPr>
          <w:rFonts w:ascii="Tahoma" w:hAnsi="Tahoma" w:cs="Tahoma"/>
        </w:rPr>
        <w:t xml:space="preserve"> por dar lugar a la resolución de</w:t>
      </w:r>
      <w:r>
        <w:rPr>
          <w:rFonts w:ascii="Tahoma" w:hAnsi="Tahoma" w:cs="Tahoma"/>
        </w:rPr>
        <w:t>l contrato de fecha 05 de mayo de 2006</w:t>
      </w:r>
      <w:r w:rsidRPr="000C1BE6">
        <w:rPr>
          <w:rStyle w:val="Refdenotaalpie"/>
          <w:rFonts w:ascii="Tahoma" w:hAnsi="Tahoma" w:cs="Tahoma"/>
        </w:rPr>
        <w:footnoteReference w:id="2"/>
      </w:r>
      <w:r w:rsidRPr="000C1BE6">
        <w:rPr>
          <w:rFonts w:ascii="Tahoma" w:hAnsi="Tahoma" w:cs="Tahoma"/>
        </w:rPr>
        <w:t xml:space="preserve"> por causal atribuible a su parte; infracción tipificada en el numeral 2) del artículo 294 del Reglamento de la Ley de Contrataciones y Adquisiciones del Estado, aprobado por Decreto Supremo N.° 084-2004-PCM, en adelante el Reglamento, norma vigente al suscitarse los hechos imputados.</w:t>
      </w:r>
    </w:p>
    <w:p w:rsidR="00E22FF9" w:rsidRPr="000C1BE6" w:rsidRDefault="00E22FF9" w:rsidP="00E22FF9">
      <w:pPr>
        <w:jc w:val="both"/>
        <w:rPr>
          <w:rFonts w:ascii="Tahoma" w:hAnsi="Tahoma" w:cs="Tahoma"/>
        </w:rPr>
      </w:pPr>
    </w:p>
    <w:p w:rsidR="00E22FF9" w:rsidRPr="000C1BE6" w:rsidRDefault="00E22FF9" w:rsidP="00E22FF9">
      <w:pPr>
        <w:numPr>
          <w:ilvl w:val="0"/>
          <w:numId w:val="4"/>
        </w:numPr>
        <w:tabs>
          <w:tab w:val="clear" w:pos="720"/>
        </w:tabs>
        <w:ind w:left="540" w:hanging="540"/>
        <w:jc w:val="both"/>
        <w:rPr>
          <w:rFonts w:ascii="Tahoma" w:hAnsi="Tahoma" w:cs="Tahoma"/>
        </w:rPr>
      </w:pPr>
      <w:r w:rsidRPr="000C1BE6">
        <w:rPr>
          <w:rFonts w:ascii="Tahoma" w:hAnsi="Tahoma" w:cs="Tahoma"/>
        </w:rPr>
        <w:t>La infracción tipificada en el numeral 2) del artículo 294 del Reglamento vigente ha establecido como supuesto de hecho indispensable para su configuración, la resolución del contrato, orden de compra o de servicios, según corresponda, por causal atribuible a los contratistas.</w:t>
      </w:r>
    </w:p>
    <w:p w:rsidR="00E22FF9" w:rsidRPr="000C1BE6" w:rsidRDefault="00E22FF9" w:rsidP="00E22FF9">
      <w:pPr>
        <w:tabs>
          <w:tab w:val="num" w:pos="720"/>
        </w:tabs>
        <w:jc w:val="both"/>
        <w:rPr>
          <w:rFonts w:ascii="Tahoma" w:hAnsi="Tahoma" w:cs="Tahoma"/>
        </w:rPr>
      </w:pPr>
    </w:p>
    <w:p w:rsidR="00E22FF9" w:rsidRPr="000C1BE6" w:rsidRDefault="00E22FF9" w:rsidP="00E22FF9">
      <w:pPr>
        <w:numPr>
          <w:ilvl w:val="0"/>
          <w:numId w:val="4"/>
        </w:numPr>
        <w:tabs>
          <w:tab w:val="clear" w:pos="720"/>
        </w:tabs>
        <w:ind w:left="540" w:hanging="540"/>
        <w:jc w:val="both"/>
        <w:rPr>
          <w:rFonts w:ascii="Tahoma" w:hAnsi="Tahoma" w:cs="Tahoma"/>
        </w:rPr>
      </w:pPr>
      <w:r w:rsidRPr="000C1BE6">
        <w:rPr>
          <w:rFonts w:ascii="Tahoma" w:hAnsi="Tahoma" w:cs="Tahoma"/>
        </w:rPr>
        <w:t xml:space="preserve">Sobre el particular, el artículo 225 del Reglamento dispone que la Entidad podrá resolver el contrato, de conformidad con el inciso c) del artículo 41 del Texto Único Ordenado de la Ley de Contrataciones </w:t>
      </w:r>
      <w:r w:rsidRPr="000C1BE6">
        <w:rPr>
          <w:rFonts w:ascii="Tahoma" w:hAnsi="Tahoma" w:cs="Tahoma"/>
        </w:rPr>
        <w:lastRenderedPageBreak/>
        <w:t>y Adquisiciones del Estado, aprobado mediante Decreto Supremo N</w:t>
      </w:r>
      <w:proofErr w:type="gramStart"/>
      <w:r w:rsidRPr="000C1BE6">
        <w:rPr>
          <w:rFonts w:ascii="Tahoma" w:hAnsi="Tahoma" w:cs="Tahoma"/>
        </w:rPr>
        <w:t>.º</w:t>
      </w:r>
      <w:proofErr w:type="gramEnd"/>
      <w:r w:rsidRPr="000C1BE6">
        <w:rPr>
          <w:rFonts w:ascii="Tahoma" w:hAnsi="Tahoma" w:cs="Tahoma"/>
        </w:rPr>
        <w:t xml:space="preserve"> 083-2004-PCM, en adelante la Ley, cuando los contratistas incumplan injustificadamente obligaciones contractuales, legales o reglamentarias a su cargo, pese a haber sido requeridos para ello.</w:t>
      </w:r>
    </w:p>
    <w:p w:rsidR="00E22FF9" w:rsidRPr="000C1BE6" w:rsidRDefault="00E22FF9" w:rsidP="00E22FF9">
      <w:pPr>
        <w:jc w:val="both"/>
        <w:rPr>
          <w:rFonts w:ascii="Tahoma" w:hAnsi="Tahoma" w:cs="Tahoma"/>
        </w:rPr>
      </w:pPr>
    </w:p>
    <w:p w:rsidR="00E22FF9" w:rsidRPr="000C1BE6" w:rsidRDefault="00E22FF9" w:rsidP="00E22FF9">
      <w:pPr>
        <w:numPr>
          <w:ilvl w:val="0"/>
          <w:numId w:val="4"/>
        </w:numPr>
        <w:tabs>
          <w:tab w:val="clear" w:pos="720"/>
        </w:tabs>
        <w:ind w:left="540" w:hanging="540"/>
        <w:jc w:val="both"/>
        <w:rPr>
          <w:rFonts w:ascii="Tahoma" w:hAnsi="Tahoma" w:cs="Tahoma"/>
        </w:rPr>
      </w:pPr>
      <w:r w:rsidRPr="000C1BE6">
        <w:rPr>
          <w:rFonts w:ascii="Tahoma" w:hAnsi="Tahoma" w:cs="Tahoma"/>
        </w:rPr>
        <w:t xml:space="preserve">El procedimiento de resolución contractual ha sido previsto en el artículo 226 del Reglamento, el cual dispone que en </w:t>
      </w:r>
      <w:r w:rsidRPr="000C1BE6">
        <w:rPr>
          <w:rFonts w:ascii="Tahoma" w:hAnsi="Tahoma" w:cs="Tahoma"/>
          <w:lang w:val="es-ES_tradnl"/>
        </w:rPr>
        <w:t xml:space="preserve">caso de incumplimiento contractual, la parte afectada requerirá a la otra notarialmente para que satisfaga sus obligaciones en un plazo no mayor de cinco (05) días, bajo apercibimiento de resolver el contrato.  Dependiendo del monto involucrado y de la complejidad, envergadura o sofisticación de la adquisición o contratación, la Entidad podrá establecer plazos mayores, los cuales no superarán en ningún caso los quince (15) días.  Asimismo, el citado dispositivo reglamentario precisa que de continuar con el incumplimiento, la parte perjudicada comunicará notarialmente la resolución total o parcial del contrato. </w:t>
      </w:r>
    </w:p>
    <w:p w:rsidR="00E22FF9" w:rsidRPr="000C1BE6" w:rsidRDefault="00E22FF9" w:rsidP="00E22FF9">
      <w:pPr>
        <w:jc w:val="both"/>
        <w:rPr>
          <w:rFonts w:ascii="Tahoma" w:hAnsi="Tahoma" w:cs="Tahoma"/>
        </w:rPr>
      </w:pPr>
    </w:p>
    <w:p w:rsidR="00E22FF9" w:rsidRPr="000C1BE6" w:rsidRDefault="00E22FF9" w:rsidP="00E22FF9">
      <w:pPr>
        <w:ind w:left="540"/>
        <w:jc w:val="both"/>
        <w:rPr>
          <w:rFonts w:ascii="Tahoma" w:hAnsi="Tahoma" w:cs="Tahoma"/>
        </w:rPr>
      </w:pPr>
      <w:r w:rsidRPr="000C1BE6">
        <w:rPr>
          <w:rFonts w:ascii="Tahoma" w:hAnsi="Tahoma" w:cs="Tahoma"/>
          <w:lang w:val="es-ES_tradnl"/>
        </w:rPr>
        <w:t xml:space="preserve">El cumplimiento de este procedimiento es </w:t>
      </w:r>
      <w:r w:rsidRPr="000C1BE6">
        <w:rPr>
          <w:rFonts w:ascii="Tahoma" w:hAnsi="Tahoma" w:cs="Tahoma"/>
          <w:b/>
          <w:i/>
          <w:lang w:val="es-ES_tradnl"/>
        </w:rPr>
        <w:t>condición necesaria</w:t>
      </w:r>
      <w:r w:rsidRPr="000C1BE6">
        <w:rPr>
          <w:rFonts w:ascii="Tahoma" w:hAnsi="Tahoma" w:cs="Tahoma"/>
          <w:lang w:val="es-ES_tradnl"/>
        </w:rPr>
        <w:t xml:space="preserve"> para evaluar la existencia de eventuales responsabilidades de carácter administrativo.</w:t>
      </w:r>
    </w:p>
    <w:p w:rsidR="00E22FF9" w:rsidRPr="000C1BE6" w:rsidRDefault="00E22FF9" w:rsidP="00E22FF9">
      <w:pPr>
        <w:jc w:val="both"/>
        <w:rPr>
          <w:rFonts w:ascii="Tahoma" w:hAnsi="Tahoma" w:cs="Tahoma"/>
        </w:rPr>
      </w:pPr>
    </w:p>
    <w:p w:rsidR="00E22FF9" w:rsidRDefault="00E22FF9" w:rsidP="00E22FF9">
      <w:pPr>
        <w:numPr>
          <w:ilvl w:val="0"/>
          <w:numId w:val="4"/>
        </w:numPr>
        <w:tabs>
          <w:tab w:val="clear" w:pos="720"/>
          <w:tab w:val="num" w:pos="540"/>
        </w:tabs>
        <w:ind w:left="540" w:hanging="540"/>
        <w:jc w:val="both"/>
        <w:rPr>
          <w:rFonts w:ascii="Tahoma" w:hAnsi="Tahoma" w:cs="Tahoma"/>
        </w:rPr>
      </w:pPr>
      <w:r w:rsidRPr="00584132">
        <w:rPr>
          <w:rFonts w:ascii="Tahoma" w:hAnsi="Tahoma" w:cs="Tahoma"/>
          <w:lang w:val="es-MX"/>
        </w:rPr>
        <w:t xml:space="preserve">De </w:t>
      </w:r>
      <w:r>
        <w:rPr>
          <w:rFonts w:ascii="Tahoma" w:hAnsi="Tahoma" w:cs="Tahoma"/>
          <w:lang w:val="es-MX"/>
        </w:rPr>
        <w:t>la revisión a</w:t>
      </w:r>
      <w:r w:rsidRPr="00584132">
        <w:rPr>
          <w:rFonts w:ascii="Tahoma" w:hAnsi="Tahoma" w:cs="Tahoma"/>
          <w:lang w:val="es-MX"/>
        </w:rPr>
        <w:t xml:space="preserve"> los antecedentes</w:t>
      </w:r>
      <w:r>
        <w:rPr>
          <w:rFonts w:ascii="Tahoma" w:hAnsi="Tahoma" w:cs="Tahoma"/>
          <w:lang w:val="es-MX"/>
        </w:rPr>
        <w:t>,</w:t>
      </w:r>
      <w:r w:rsidRPr="00584132">
        <w:rPr>
          <w:rFonts w:ascii="Tahoma" w:hAnsi="Tahoma" w:cs="Tahoma"/>
          <w:lang w:val="es-MX"/>
        </w:rPr>
        <w:t xml:space="preserve"> se aprecia que</w:t>
      </w:r>
      <w:r>
        <w:rPr>
          <w:rFonts w:ascii="Tahoma" w:hAnsi="Tahoma" w:cs="Tahoma"/>
          <w:lang w:val="es-MX"/>
        </w:rPr>
        <w:t xml:space="preserve"> el Contratista fue válidamente requerido para el cumplimiento de sus obligaciones mediante la Carta notarial de fecha 18 de setiembre  de 2006</w:t>
      </w:r>
      <w:r>
        <w:rPr>
          <w:rStyle w:val="Refdenotaalpie"/>
          <w:rFonts w:ascii="Tahoma" w:hAnsi="Tahoma" w:cs="Tahoma"/>
          <w:lang w:val="es-MX"/>
        </w:rPr>
        <w:footnoteReference w:id="3"/>
      </w:r>
      <w:r>
        <w:rPr>
          <w:rFonts w:ascii="Tahoma" w:hAnsi="Tahoma" w:cs="Tahoma"/>
          <w:lang w:val="es-MX"/>
        </w:rPr>
        <w:t xml:space="preserve"> para que en el plazo de dos días cumpla con iniciar el desarrollo de las obligaciones previamente adquiridas. Habiéndose incumplido con dicho requerimiento, la Entidad procedió a resolver </w:t>
      </w:r>
      <w:proofErr w:type="spellStart"/>
      <w:r>
        <w:rPr>
          <w:rFonts w:ascii="Tahoma" w:hAnsi="Tahoma" w:cs="Tahoma"/>
          <w:lang w:val="es-MX"/>
        </w:rPr>
        <w:t>validamente</w:t>
      </w:r>
      <w:proofErr w:type="spellEnd"/>
      <w:r>
        <w:rPr>
          <w:rFonts w:ascii="Tahoma" w:hAnsi="Tahoma" w:cs="Tahoma"/>
          <w:lang w:val="es-MX"/>
        </w:rPr>
        <w:t xml:space="preserve"> el contrato mediante </w:t>
      </w:r>
      <w:r>
        <w:rPr>
          <w:rFonts w:ascii="Tahoma" w:hAnsi="Tahoma" w:cs="Tahoma"/>
        </w:rPr>
        <w:t>Carta Notarial N</w:t>
      </w:r>
      <w:proofErr w:type="gramStart"/>
      <w:r>
        <w:rPr>
          <w:rFonts w:ascii="Tahoma" w:hAnsi="Tahoma" w:cs="Tahoma"/>
        </w:rPr>
        <w:t>.º</w:t>
      </w:r>
      <w:proofErr w:type="gramEnd"/>
      <w:r>
        <w:rPr>
          <w:rFonts w:ascii="Tahoma" w:hAnsi="Tahoma" w:cs="Tahoma"/>
        </w:rPr>
        <w:t xml:space="preserve"> 172-2006-ME/SG-OGA-UA-ADQ</w:t>
      </w:r>
      <w:r>
        <w:rPr>
          <w:rStyle w:val="Refdenotaalpie"/>
          <w:rFonts w:ascii="Tahoma" w:hAnsi="Tahoma" w:cs="Tahoma"/>
        </w:rPr>
        <w:footnoteReference w:id="4"/>
      </w:r>
      <w:r>
        <w:rPr>
          <w:rFonts w:ascii="Tahoma" w:hAnsi="Tahoma" w:cs="Tahoma"/>
        </w:rPr>
        <w:t xml:space="preserve"> debidamente diligenciada el 20 de diciembre de 2006.</w:t>
      </w:r>
    </w:p>
    <w:p w:rsidR="00E22FF9" w:rsidRDefault="00E22FF9" w:rsidP="00E22FF9">
      <w:pPr>
        <w:jc w:val="both"/>
        <w:rPr>
          <w:rFonts w:ascii="Tahoma" w:hAnsi="Tahoma" w:cs="Tahoma"/>
        </w:rPr>
      </w:pPr>
    </w:p>
    <w:p w:rsidR="00E22FF9" w:rsidRPr="00513E4A" w:rsidRDefault="00E22FF9" w:rsidP="00E22FF9">
      <w:pPr>
        <w:numPr>
          <w:ilvl w:val="0"/>
          <w:numId w:val="4"/>
        </w:numPr>
        <w:tabs>
          <w:tab w:val="clear" w:pos="720"/>
          <w:tab w:val="num" w:pos="540"/>
        </w:tabs>
        <w:ind w:left="540" w:hanging="540"/>
        <w:jc w:val="both"/>
        <w:rPr>
          <w:rFonts w:ascii="Tahoma" w:hAnsi="Tahoma" w:cs="Tahoma"/>
        </w:rPr>
      </w:pPr>
      <w:r w:rsidRPr="000C1BE6">
        <w:rPr>
          <w:rFonts w:ascii="Tahoma" w:hAnsi="Tahoma" w:cs="Tahoma"/>
        </w:rPr>
        <w:t>E</w:t>
      </w:r>
      <w:r w:rsidRPr="000C1BE6">
        <w:rPr>
          <w:rFonts w:ascii="Tahoma" w:hAnsi="Tahoma" w:cs="Tahoma"/>
          <w:lang w:val="es-ES_tradnl"/>
        </w:rPr>
        <w:t xml:space="preserve">n razón a lo expuesto, habiéndose acreditado que la </w:t>
      </w:r>
      <w:r w:rsidRPr="000C1BE6">
        <w:rPr>
          <w:rFonts w:ascii="Tahoma" w:hAnsi="Tahoma" w:cs="Tahoma"/>
        </w:rPr>
        <w:t xml:space="preserve">Entidad requirió válidamente </w:t>
      </w:r>
      <w:r>
        <w:rPr>
          <w:rFonts w:ascii="Tahoma" w:hAnsi="Tahoma" w:cs="Tahoma"/>
        </w:rPr>
        <w:t>al Postor</w:t>
      </w:r>
      <w:r w:rsidRPr="000C1BE6">
        <w:rPr>
          <w:rFonts w:ascii="Tahoma" w:hAnsi="Tahoma" w:cs="Tahoma"/>
        </w:rPr>
        <w:t xml:space="preserve"> para que cumpla sus obligaciones,</w:t>
      </w:r>
      <w:r>
        <w:rPr>
          <w:rFonts w:ascii="Tahoma" w:hAnsi="Tahoma" w:cs="Tahoma"/>
        </w:rPr>
        <w:t xml:space="preserve"> corresponde a este Colegiado verificar si dicho incumplimiento se debió a causa justificada, situación que haya imposibilitado fehacientemente  la realización de las obligaciones previamente adquiridas,  </w:t>
      </w:r>
      <w:r w:rsidRPr="000C1BE6">
        <w:rPr>
          <w:rFonts w:ascii="Tahoma" w:hAnsi="Tahoma" w:cs="Tahoma"/>
          <w:lang w:val="es-ES_tradnl"/>
        </w:rPr>
        <w:t xml:space="preserve">en tanto que solamente el incumplimiento que obedece a causas injustificadas es sancionable administrativamente.  </w:t>
      </w:r>
    </w:p>
    <w:p w:rsidR="00E22FF9" w:rsidRDefault="00E22FF9" w:rsidP="00E22FF9">
      <w:pPr>
        <w:jc w:val="both"/>
        <w:rPr>
          <w:rFonts w:ascii="Tahoma" w:hAnsi="Tahoma" w:cs="Tahoma"/>
        </w:rPr>
      </w:pPr>
    </w:p>
    <w:p w:rsidR="00E22FF9" w:rsidRPr="00082026" w:rsidRDefault="00E22FF9" w:rsidP="00E22FF9">
      <w:pPr>
        <w:ind w:left="540"/>
        <w:jc w:val="both"/>
        <w:rPr>
          <w:rFonts w:ascii="Tahoma" w:hAnsi="Tahoma" w:cs="Tahoma"/>
        </w:rPr>
      </w:pPr>
      <w:r w:rsidRPr="00082026">
        <w:rPr>
          <w:rFonts w:ascii="Tahoma" w:hAnsi="Tahoma" w:cs="Tahoma"/>
        </w:rPr>
        <w:t xml:space="preserve">Al respecto, se ha podido verificar de la revisión a los documentos obrantes en el expediente administrativo, que el Postor no cumplió con presentar argumentos de defensa, que justifiquen </w:t>
      </w:r>
      <w:r>
        <w:rPr>
          <w:rFonts w:ascii="Tahoma" w:hAnsi="Tahoma" w:cs="Tahoma"/>
        </w:rPr>
        <w:t>el</w:t>
      </w:r>
      <w:r w:rsidRPr="00082026">
        <w:rPr>
          <w:rFonts w:ascii="Tahoma" w:hAnsi="Tahoma" w:cs="Tahoma"/>
        </w:rPr>
        <w:t xml:space="preserve"> incumplimiento</w:t>
      </w:r>
      <w:r>
        <w:rPr>
          <w:rFonts w:ascii="Tahoma" w:hAnsi="Tahoma" w:cs="Tahoma"/>
        </w:rPr>
        <w:t xml:space="preserve"> antes descrito</w:t>
      </w:r>
      <w:r w:rsidRPr="00082026">
        <w:rPr>
          <w:rFonts w:ascii="Tahoma" w:hAnsi="Tahoma" w:cs="Tahoma"/>
        </w:rPr>
        <w:t>, aplicándose válidamente ante esta situación la presunción legal</w:t>
      </w:r>
      <w:r w:rsidRPr="00082026">
        <w:rPr>
          <w:rStyle w:val="Refdenotaalpie"/>
          <w:rFonts w:ascii="Tahoma" w:hAnsi="Tahoma" w:cs="Tahoma"/>
        </w:rPr>
        <w:footnoteReference w:id="5"/>
      </w:r>
      <w:r>
        <w:rPr>
          <w:rFonts w:ascii="Tahoma" w:hAnsi="Tahoma" w:cs="Tahoma"/>
        </w:rPr>
        <w:t xml:space="preserve"> establecida en el artículo 1329 del Código Civil, </w:t>
      </w:r>
      <w:r w:rsidRPr="00082026">
        <w:rPr>
          <w:rFonts w:ascii="Tahoma" w:hAnsi="Tahoma" w:cs="Tahoma"/>
        </w:rPr>
        <w:t xml:space="preserve"> que supone el incumplimiento de obligaciones o su cumplimiento parcial, tardío o defectuoso, como atribuible a la parte que debió ejecutarlas, salvo que ésta demuestre que el incumplimiento se produjo a pesar de haber actuado con la diligencia ordinaria exigida por la naturaleza de la prestación, o que la causa de ella fue un caso fortuito o fuerza mayor.  </w:t>
      </w:r>
      <w:r>
        <w:rPr>
          <w:rFonts w:ascii="Tahoma" w:hAnsi="Tahoma" w:cs="Tahoma"/>
        </w:rPr>
        <w:t>De esta manera queda configurada la causal invocada.</w:t>
      </w:r>
    </w:p>
    <w:p w:rsidR="00E22FF9" w:rsidRDefault="00E22FF9" w:rsidP="00E22FF9">
      <w:pPr>
        <w:jc w:val="both"/>
        <w:rPr>
          <w:rFonts w:ascii="Tahoma" w:hAnsi="Tahoma" w:cs="Tahoma"/>
        </w:rPr>
      </w:pPr>
    </w:p>
    <w:p w:rsidR="00E22FF9" w:rsidRDefault="00E22FF9" w:rsidP="00E22FF9">
      <w:pPr>
        <w:numPr>
          <w:ilvl w:val="0"/>
          <w:numId w:val="4"/>
        </w:numPr>
        <w:tabs>
          <w:tab w:val="clear" w:pos="720"/>
          <w:tab w:val="num" w:pos="540"/>
        </w:tabs>
        <w:ind w:left="540" w:hanging="540"/>
        <w:jc w:val="both"/>
        <w:rPr>
          <w:rFonts w:ascii="Tahoma" w:hAnsi="Tahoma" w:cs="Tahoma"/>
        </w:rPr>
      </w:pPr>
      <w:r>
        <w:rPr>
          <w:rFonts w:ascii="Tahoma" w:hAnsi="Tahoma" w:cs="Tahoma"/>
        </w:rPr>
        <w:t xml:space="preserve">Por otro lado, debe realizarse ciertas precisiones respecto a hechos que han sido parte del proceso de selección referido, y que este Tribunal considera pertinente pronunciarse de oficio. Como consecuencia del otorgamiento de la Buena Pro al Postor, se suscribió el contrato de fecha 05 de mayo de 2006, el cual señaló en su Cláusula Décima, numeral 4 lo siguiente: </w:t>
      </w:r>
      <w:r w:rsidRPr="0014708B">
        <w:rPr>
          <w:rFonts w:ascii="Tahoma" w:hAnsi="Tahoma" w:cs="Tahoma"/>
          <w:b/>
          <w:i/>
        </w:rPr>
        <w:t xml:space="preserve">“(…) las partes </w:t>
      </w:r>
      <w:r w:rsidRPr="0014708B">
        <w:rPr>
          <w:rFonts w:ascii="Tahoma" w:hAnsi="Tahoma" w:cs="Tahoma"/>
          <w:b/>
          <w:i/>
        </w:rPr>
        <w:lastRenderedPageBreak/>
        <w:t>acuerdan que podrán resolver el presente contrato, sin expresión de causa y con el sólo mérito de una comunicación escrita cursada a la otra parte, con una anticipación no menor de cinco días naturales, sin que ello implique el pago de suma adicional alguna a aquella que pueda corresponder a la parte proporcional de los servicios prestados hasta la fecha de la resolución.”</w:t>
      </w:r>
    </w:p>
    <w:p w:rsidR="00E22FF9" w:rsidRDefault="00E22FF9" w:rsidP="00E22FF9">
      <w:pPr>
        <w:jc w:val="both"/>
        <w:rPr>
          <w:rFonts w:ascii="Tahoma" w:hAnsi="Tahoma" w:cs="Tahoma"/>
        </w:rPr>
      </w:pPr>
      <w:r>
        <w:rPr>
          <w:rFonts w:ascii="Tahoma" w:hAnsi="Tahoma" w:cs="Tahoma"/>
        </w:rPr>
        <w:t xml:space="preserve"> </w:t>
      </w:r>
    </w:p>
    <w:p w:rsidR="00E22FF9" w:rsidRDefault="00E22FF9" w:rsidP="00E22FF9">
      <w:pPr>
        <w:ind w:left="540"/>
        <w:jc w:val="both"/>
        <w:rPr>
          <w:rFonts w:ascii="Tahoma" w:hAnsi="Tahoma" w:cs="Tahoma"/>
        </w:rPr>
      </w:pPr>
      <w:r w:rsidRPr="00534C42">
        <w:rPr>
          <w:rFonts w:ascii="Tahoma" w:hAnsi="Tahoma" w:cs="Tahoma"/>
        </w:rPr>
        <w:t>Al respecto, debe precisarse que los procesos de selección se realizan con el objeto de satisfacer las necesidades que surgen en las diversas dependencias del Estado</w:t>
      </w:r>
      <w:r>
        <w:rPr>
          <w:rFonts w:ascii="Tahoma" w:hAnsi="Tahoma" w:cs="Tahoma"/>
        </w:rPr>
        <w:t>, las cuales no pueden privarse injustificadamente de los bienes o servicios que están siendo proveídos, o de las obras que se están ejecutando, toda vez que, el resultado de dichas prestaciones tiene como finalidad brindar una mejora en la necesidades de la población, o la continuidad de un servicio de carácter primordial.</w:t>
      </w:r>
    </w:p>
    <w:p w:rsidR="00E22FF9" w:rsidRDefault="00E22FF9" w:rsidP="00E22FF9">
      <w:pPr>
        <w:jc w:val="both"/>
        <w:rPr>
          <w:rFonts w:ascii="Tahoma" w:hAnsi="Tahoma" w:cs="Tahoma"/>
        </w:rPr>
      </w:pPr>
    </w:p>
    <w:p w:rsidR="00E22FF9" w:rsidRDefault="00E22FF9" w:rsidP="00E22FF9">
      <w:pPr>
        <w:ind w:left="540"/>
        <w:jc w:val="both"/>
        <w:rPr>
          <w:rFonts w:ascii="Tahoma" w:hAnsi="Tahoma" w:cs="Tahoma"/>
        </w:rPr>
      </w:pPr>
      <w:r>
        <w:rPr>
          <w:rFonts w:ascii="Tahoma" w:hAnsi="Tahoma" w:cs="Tahoma"/>
        </w:rPr>
        <w:t xml:space="preserve">Por tales motivos, la normativa de contrataciones vigente al momento de la ocurrencia de los hechos antes descritos, en su artículo 224 del Reglamento ha previsto que los contratos celebrados como consecuencia de un proceso de selección, </w:t>
      </w:r>
      <w:r w:rsidRPr="00EF1D42">
        <w:rPr>
          <w:rFonts w:ascii="Tahoma" w:hAnsi="Tahoma" w:cs="Tahoma"/>
          <w:b/>
          <w:i/>
        </w:rPr>
        <w:t>podrán ser resueltos por cualquiera de las partes cuando exista un hecho sobreviviente a la suscripción del mismo</w:t>
      </w:r>
      <w:r>
        <w:rPr>
          <w:rStyle w:val="Refdenotaalpie"/>
          <w:rFonts w:ascii="Tahoma" w:hAnsi="Tahoma" w:cs="Tahoma"/>
          <w:b/>
          <w:i/>
        </w:rPr>
        <w:footnoteReference w:id="6"/>
      </w:r>
      <w:r>
        <w:rPr>
          <w:rFonts w:ascii="Tahoma" w:hAnsi="Tahoma" w:cs="Tahoma"/>
          <w:b/>
          <w:i/>
        </w:rPr>
        <w:t xml:space="preserve">, </w:t>
      </w:r>
      <w:r w:rsidRPr="00EF1D42">
        <w:rPr>
          <w:rFonts w:ascii="Tahoma" w:hAnsi="Tahoma" w:cs="Tahoma"/>
        </w:rPr>
        <w:t xml:space="preserve">es decir, no puede realizarse en cualquier supuesto, sino que </w:t>
      </w:r>
      <w:r>
        <w:rPr>
          <w:rFonts w:ascii="Tahoma" w:hAnsi="Tahoma" w:cs="Tahoma"/>
        </w:rPr>
        <w:t>se requiere</w:t>
      </w:r>
      <w:r w:rsidRPr="00EF1D42">
        <w:rPr>
          <w:rFonts w:ascii="Tahoma" w:hAnsi="Tahoma" w:cs="Tahoma"/>
        </w:rPr>
        <w:t xml:space="preserve"> la existencia de un hecho nuevo que </w:t>
      </w:r>
      <w:r>
        <w:rPr>
          <w:rFonts w:ascii="Tahoma" w:hAnsi="Tahoma" w:cs="Tahoma"/>
        </w:rPr>
        <w:t xml:space="preserve">haya surgido después del nacimiento al vínculo contractual y, que por </w:t>
      </w:r>
      <w:proofErr w:type="spellStart"/>
      <w:r>
        <w:rPr>
          <w:rFonts w:ascii="Tahoma" w:hAnsi="Tahoma" w:cs="Tahoma"/>
        </w:rPr>
        <w:t>si</w:t>
      </w:r>
      <w:proofErr w:type="spellEnd"/>
      <w:r>
        <w:rPr>
          <w:rFonts w:ascii="Tahoma" w:hAnsi="Tahoma" w:cs="Tahoma"/>
        </w:rPr>
        <w:t xml:space="preserve"> solo imposibilite la continuidad de su realización. En el mismo sentido, el artículo 45</w:t>
      </w:r>
      <w:r>
        <w:rPr>
          <w:rStyle w:val="Refdenotaalpie"/>
          <w:rFonts w:ascii="Tahoma" w:hAnsi="Tahoma" w:cs="Tahoma"/>
        </w:rPr>
        <w:footnoteReference w:id="7"/>
      </w:r>
      <w:r>
        <w:rPr>
          <w:rFonts w:ascii="Tahoma" w:hAnsi="Tahoma" w:cs="Tahoma"/>
        </w:rPr>
        <w:t xml:space="preserve"> del Texto Único de la Ley de Contrataciones y Adquisiciones del Estado dispone que las partes </w:t>
      </w:r>
      <w:proofErr w:type="gramStart"/>
      <w:r>
        <w:rPr>
          <w:rFonts w:ascii="Tahoma" w:hAnsi="Tahoma" w:cs="Tahoma"/>
        </w:rPr>
        <w:t>podrán</w:t>
      </w:r>
      <w:proofErr w:type="gramEnd"/>
      <w:r>
        <w:rPr>
          <w:rFonts w:ascii="Tahoma" w:hAnsi="Tahoma" w:cs="Tahoma"/>
        </w:rPr>
        <w:t xml:space="preserve"> resolver el contrato de mutuo acuerdo, cuando existan causas no atribuibles a éstas o por caso fortuito o fuerza mayor. </w:t>
      </w:r>
    </w:p>
    <w:p w:rsidR="00E22FF9" w:rsidRDefault="00E22FF9" w:rsidP="00E22FF9">
      <w:pPr>
        <w:ind w:left="540"/>
        <w:jc w:val="both"/>
        <w:rPr>
          <w:rFonts w:ascii="Tahoma" w:hAnsi="Tahoma" w:cs="Tahoma"/>
        </w:rPr>
      </w:pPr>
      <w:r>
        <w:rPr>
          <w:rFonts w:ascii="Tahoma" w:hAnsi="Tahoma" w:cs="Tahoma"/>
        </w:rPr>
        <w:t>Es en virtud a dichas disposiciones que todos los lineamientos establecidos en las Bases Administrativas y en los referidos contratos, deben respetar los preceptos normativos antes descritos, por tal motivo, cualquier estipulación contraria deviene en nula.</w:t>
      </w:r>
    </w:p>
    <w:p w:rsidR="00E22FF9" w:rsidRDefault="00E22FF9" w:rsidP="00E22FF9">
      <w:pPr>
        <w:ind w:left="540"/>
        <w:jc w:val="both"/>
        <w:rPr>
          <w:rFonts w:ascii="Tahoma" w:hAnsi="Tahoma" w:cs="Tahoma"/>
        </w:rPr>
      </w:pPr>
    </w:p>
    <w:p w:rsidR="00E22FF9" w:rsidRDefault="00E22FF9" w:rsidP="00E22FF9">
      <w:pPr>
        <w:ind w:left="540"/>
        <w:jc w:val="both"/>
        <w:rPr>
          <w:rFonts w:ascii="Tahoma" w:hAnsi="Tahoma" w:cs="Tahoma"/>
        </w:rPr>
      </w:pPr>
      <w:r>
        <w:rPr>
          <w:rFonts w:ascii="Tahoma" w:hAnsi="Tahoma" w:cs="Tahoma"/>
        </w:rPr>
        <w:t>En el caso materia de autos, la Entidad erróneamente ha señalado la posibilidad de que el contrato sea resuelto sin causa justificada, con la sola comunicación a la otra parte por escrito, sin tomar en consideración la naturaleza de un contrato administrativo, que a diferencia de una relación privada,  busca proteger los intereses del Estado, y por ende, no puede estar sujeto a la libre voluntad de la contraparte de desvincularse sin causa que lo ampare.</w:t>
      </w:r>
    </w:p>
    <w:p w:rsidR="00E22FF9" w:rsidRDefault="00E22FF9" w:rsidP="00E22FF9">
      <w:pPr>
        <w:ind w:left="540"/>
        <w:jc w:val="both"/>
        <w:rPr>
          <w:rFonts w:ascii="Tahoma" w:hAnsi="Tahoma" w:cs="Tahoma"/>
        </w:rPr>
      </w:pPr>
    </w:p>
    <w:p w:rsidR="00E22FF9" w:rsidRDefault="00E22FF9" w:rsidP="00E22FF9">
      <w:pPr>
        <w:ind w:left="540"/>
        <w:jc w:val="both"/>
        <w:rPr>
          <w:rFonts w:ascii="Tahoma" w:hAnsi="Tahoma" w:cs="Tahoma"/>
        </w:rPr>
      </w:pPr>
      <w:r>
        <w:rPr>
          <w:rFonts w:ascii="Tahoma" w:hAnsi="Tahoma" w:cs="Tahoma"/>
        </w:rPr>
        <w:t>Adicionalmente a la imprecisión normativa establecida por la Entidad, debe señalarse que la comunicación por escrito que se curse al renunciar a determinada condición, no podrá basarse únicamente en un formulario, pues como todo acto jurídico, en este caso destinado a extinguir una relación jurídica, deberá expresar indubitablemente su voluntad.</w:t>
      </w:r>
    </w:p>
    <w:p w:rsidR="00E22FF9" w:rsidRDefault="00E22FF9" w:rsidP="00E22FF9">
      <w:pPr>
        <w:ind w:left="540"/>
        <w:jc w:val="both"/>
        <w:rPr>
          <w:rFonts w:ascii="Tahoma" w:hAnsi="Tahoma" w:cs="Tahoma"/>
        </w:rPr>
      </w:pPr>
    </w:p>
    <w:p w:rsidR="00E22FF9" w:rsidRDefault="00E22FF9" w:rsidP="00E22FF9">
      <w:pPr>
        <w:ind w:left="540"/>
        <w:jc w:val="both"/>
        <w:rPr>
          <w:rFonts w:ascii="Tahoma" w:hAnsi="Tahoma" w:cs="Tahoma"/>
        </w:rPr>
      </w:pPr>
      <w:r>
        <w:rPr>
          <w:rFonts w:ascii="Tahoma" w:hAnsi="Tahoma" w:cs="Tahoma"/>
        </w:rPr>
        <w:t xml:space="preserve">El Código Civil ha establecido que las partes pueden optar por cualquier modalidad o forma del acto jurídico, a excepción de los casos en que la norma aplicable establezca  una forma </w:t>
      </w:r>
      <w:proofErr w:type="spellStart"/>
      <w:r>
        <w:rPr>
          <w:rFonts w:ascii="Tahoma" w:hAnsi="Tahoma" w:cs="Tahoma"/>
        </w:rPr>
        <w:t>especifica</w:t>
      </w:r>
      <w:proofErr w:type="spellEnd"/>
      <w:r>
        <w:rPr>
          <w:rFonts w:ascii="Tahoma" w:hAnsi="Tahoma" w:cs="Tahoma"/>
        </w:rPr>
        <w:t>.</w:t>
      </w:r>
      <w:r>
        <w:rPr>
          <w:rStyle w:val="Refdenotaalpie"/>
          <w:rFonts w:ascii="Tahoma" w:hAnsi="Tahoma" w:cs="Tahoma"/>
        </w:rPr>
        <w:footnoteReference w:id="8"/>
      </w:r>
      <w:r>
        <w:rPr>
          <w:rFonts w:ascii="Tahoma" w:hAnsi="Tahoma" w:cs="Tahoma"/>
        </w:rPr>
        <w:t xml:space="preserve"> En tal sentido, resulta ineficaz cualquier acto realizado por los administrados que no cumplan con los </w:t>
      </w:r>
      <w:r>
        <w:rPr>
          <w:rFonts w:ascii="Tahoma" w:hAnsi="Tahoma" w:cs="Tahoma"/>
        </w:rPr>
        <w:lastRenderedPageBreak/>
        <w:t>requisitos de formalidad legalmente previstos, ya sea por lo señalado en la Ley y su  Reglamento de Contrataciones y Adquisiciones, o por la Ley del Procedimiento Administrativo General. En el presente caso, el administrado decidió desvincularse contractualmente de la Entidad mediante la presentación de un “formulario único de trámite”  cuyo uso está destinado a las solicitudes o pedidos que realiza el administrado a la Entidad para la ejecución de algún servicio.</w:t>
      </w:r>
    </w:p>
    <w:p w:rsidR="00E22FF9" w:rsidRDefault="00E22FF9" w:rsidP="00E22FF9">
      <w:pPr>
        <w:ind w:left="540"/>
        <w:jc w:val="both"/>
        <w:rPr>
          <w:rFonts w:ascii="Tahoma" w:hAnsi="Tahoma" w:cs="Tahoma"/>
        </w:rPr>
      </w:pPr>
    </w:p>
    <w:p w:rsidR="00E22FF9" w:rsidRDefault="00E22FF9" w:rsidP="00E22FF9">
      <w:pPr>
        <w:ind w:left="540"/>
        <w:jc w:val="both"/>
        <w:rPr>
          <w:rFonts w:ascii="Tahoma" w:hAnsi="Tahoma" w:cs="Tahoma"/>
        </w:rPr>
      </w:pPr>
      <w:r>
        <w:rPr>
          <w:rFonts w:ascii="Tahoma" w:hAnsi="Tahoma" w:cs="Tahoma"/>
        </w:rPr>
        <w:t>Este Tribunal considera que la presentación del mencionado documento no constituye la forma idónea para la renuncia a una condición antes lograda, pues la misma, a consideración de éste Colegiado debe contener los siguientes elementos de conformidad a lo descrito en el artículo 113 de la Ley del Procedimiento Administrativo General:</w:t>
      </w:r>
    </w:p>
    <w:p w:rsidR="00E22FF9" w:rsidRDefault="00E22FF9" w:rsidP="00E22FF9">
      <w:pPr>
        <w:jc w:val="both"/>
        <w:rPr>
          <w:rFonts w:ascii="Tahoma" w:hAnsi="Tahoma" w:cs="Tahoma"/>
        </w:rPr>
      </w:pPr>
    </w:p>
    <w:p w:rsidR="00E22FF9" w:rsidRDefault="00E22FF9" w:rsidP="00E22FF9">
      <w:pPr>
        <w:numPr>
          <w:ilvl w:val="0"/>
          <w:numId w:val="5"/>
        </w:numPr>
        <w:jc w:val="both"/>
        <w:rPr>
          <w:rFonts w:ascii="Tahoma" w:hAnsi="Tahoma" w:cs="Tahoma"/>
          <w:b/>
          <w:i/>
        </w:rPr>
      </w:pPr>
      <w:r w:rsidRPr="000F0B4D">
        <w:rPr>
          <w:rFonts w:ascii="Tahoma" w:hAnsi="Tahoma" w:cs="Tahoma"/>
          <w:b/>
          <w:i/>
        </w:rPr>
        <w:t>Nombre y apellidos completos, domicilio y número de Docume</w:t>
      </w:r>
      <w:r>
        <w:rPr>
          <w:rFonts w:ascii="Tahoma" w:hAnsi="Tahoma" w:cs="Tahoma"/>
          <w:b/>
          <w:i/>
        </w:rPr>
        <w:t>nto Nacional de Identidad.</w:t>
      </w:r>
    </w:p>
    <w:p w:rsidR="00E22FF9" w:rsidRDefault="00E22FF9" w:rsidP="00E22FF9">
      <w:pPr>
        <w:ind w:left="900"/>
        <w:jc w:val="both"/>
        <w:rPr>
          <w:rFonts w:ascii="Tahoma" w:hAnsi="Tahoma" w:cs="Tahoma"/>
          <w:b/>
          <w:i/>
        </w:rPr>
      </w:pPr>
    </w:p>
    <w:p w:rsidR="00E22FF9" w:rsidRDefault="00E22FF9" w:rsidP="00E22FF9">
      <w:pPr>
        <w:ind w:left="1260"/>
        <w:jc w:val="both"/>
        <w:rPr>
          <w:rFonts w:ascii="Tahoma" w:hAnsi="Tahoma" w:cs="Tahoma"/>
        </w:rPr>
      </w:pPr>
      <w:r>
        <w:rPr>
          <w:rFonts w:ascii="Tahoma" w:hAnsi="Tahoma" w:cs="Tahoma"/>
        </w:rPr>
        <w:t>El administrado deberá identificarse de manera expresa y sin lugar a error o ambigüedad, evitando de esta manera confundirlo con otra identidad, por ello, no sólo se deberá consignar el nombre completo, sino que además deberá señalar su número de documento nacional de identidad y su domicilio legal, de tal forma que con estos elementos se pueda individualizar e identificar de manera exacta al administrado.</w:t>
      </w:r>
    </w:p>
    <w:p w:rsidR="00E22FF9" w:rsidRPr="00572E6F" w:rsidRDefault="00E22FF9" w:rsidP="00E22FF9">
      <w:pPr>
        <w:ind w:left="1260"/>
        <w:jc w:val="both"/>
        <w:rPr>
          <w:rFonts w:ascii="Tahoma" w:hAnsi="Tahoma" w:cs="Tahoma"/>
        </w:rPr>
      </w:pPr>
      <w:r>
        <w:rPr>
          <w:rFonts w:ascii="Tahoma" w:hAnsi="Tahoma" w:cs="Tahoma"/>
        </w:rPr>
        <w:t xml:space="preserve">   </w:t>
      </w:r>
    </w:p>
    <w:p w:rsidR="00E22FF9" w:rsidRDefault="00E22FF9" w:rsidP="00E22FF9">
      <w:pPr>
        <w:numPr>
          <w:ilvl w:val="0"/>
          <w:numId w:val="5"/>
        </w:numPr>
        <w:jc w:val="both"/>
        <w:rPr>
          <w:rFonts w:ascii="Tahoma" w:hAnsi="Tahoma" w:cs="Tahoma"/>
          <w:b/>
          <w:i/>
        </w:rPr>
      </w:pPr>
      <w:r>
        <w:rPr>
          <w:rFonts w:ascii="Tahoma" w:hAnsi="Tahoma" w:cs="Tahoma"/>
          <w:b/>
          <w:i/>
        </w:rPr>
        <w:t>La expresión concreta  de lo pedido o solicitado, los fundamentos de hechos que lo apoye.</w:t>
      </w:r>
    </w:p>
    <w:p w:rsidR="00E22FF9" w:rsidRDefault="00E22FF9" w:rsidP="00E22FF9">
      <w:pPr>
        <w:ind w:left="1260"/>
        <w:jc w:val="both"/>
        <w:rPr>
          <w:rFonts w:ascii="Tahoma" w:hAnsi="Tahoma" w:cs="Tahoma"/>
          <w:b/>
          <w:i/>
        </w:rPr>
      </w:pPr>
    </w:p>
    <w:p w:rsidR="00E22FF9" w:rsidRDefault="00E22FF9" w:rsidP="00E22FF9">
      <w:pPr>
        <w:ind w:left="1260"/>
        <w:jc w:val="both"/>
        <w:rPr>
          <w:rFonts w:ascii="Tahoma" w:hAnsi="Tahoma" w:cs="Tahoma"/>
        </w:rPr>
      </w:pPr>
      <w:r>
        <w:rPr>
          <w:rFonts w:ascii="Tahoma" w:hAnsi="Tahoma" w:cs="Tahoma"/>
        </w:rPr>
        <w:t xml:space="preserve">Toda solicitud o escrito que se presente deberá fundamentar </w:t>
      </w:r>
      <w:proofErr w:type="spellStart"/>
      <w:r>
        <w:rPr>
          <w:rFonts w:ascii="Tahoma" w:hAnsi="Tahoma" w:cs="Tahoma"/>
        </w:rPr>
        <w:t>validamente</w:t>
      </w:r>
      <w:proofErr w:type="spellEnd"/>
      <w:r>
        <w:rPr>
          <w:rFonts w:ascii="Tahoma" w:hAnsi="Tahoma" w:cs="Tahoma"/>
        </w:rPr>
        <w:t xml:space="preserve"> su petición, de tal forma que delimiten el objeto del procedimiento, señalando expresamente lo requerido o peticionado, y de ser el caso, adicionalmente a los fundamentos de hecho, establecer los fundamentos de derecho</w:t>
      </w:r>
    </w:p>
    <w:p w:rsidR="00E22FF9" w:rsidRPr="003109D8" w:rsidRDefault="00E22FF9" w:rsidP="00E22FF9">
      <w:pPr>
        <w:ind w:left="1260"/>
        <w:jc w:val="both"/>
        <w:rPr>
          <w:rFonts w:ascii="Tahoma" w:hAnsi="Tahoma" w:cs="Tahoma"/>
        </w:rPr>
      </w:pPr>
    </w:p>
    <w:p w:rsidR="00E22FF9" w:rsidRDefault="00E22FF9" w:rsidP="00E22FF9">
      <w:pPr>
        <w:numPr>
          <w:ilvl w:val="0"/>
          <w:numId w:val="5"/>
        </w:numPr>
        <w:jc w:val="both"/>
        <w:rPr>
          <w:rFonts w:ascii="Tahoma" w:hAnsi="Tahoma" w:cs="Tahoma"/>
          <w:b/>
          <w:i/>
        </w:rPr>
      </w:pPr>
      <w:r>
        <w:rPr>
          <w:rFonts w:ascii="Tahoma" w:hAnsi="Tahoma" w:cs="Tahoma"/>
          <w:b/>
          <w:i/>
        </w:rPr>
        <w:t>Indicar el Órgano, o la Autoridad a la cual es dirigida, con competencia para atender lo señalado.</w:t>
      </w:r>
    </w:p>
    <w:p w:rsidR="00E22FF9" w:rsidRDefault="00E22FF9" w:rsidP="00E22FF9">
      <w:pPr>
        <w:ind w:left="900"/>
        <w:jc w:val="both"/>
        <w:rPr>
          <w:rFonts w:ascii="Tahoma" w:hAnsi="Tahoma" w:cs="Tahoma"/>
          <w:b/>
          <w:i/>
        </w:rPr>
      </w:pPr>
    </w:p>
    <w:p w:rsidR="00E22FF9" w:rsidRDefault="00E22FF9" w:rsidP="00E22FF9">
      <w:pPr>
        <w:ind w:left="1260"/>
        <w:jc w:val="both"/>
        <w:rPr>
          <w:rFonts w:ascii="Tahoma" w:hAnsi="Tahoma" w:cs="Tahoma"/>
        </w:rPr>
      </w:pPr>
      <w:r>
        <w:rPr>
          <w:rFonts w:ascii="Tahoma" w:hAnsi="Tahoma" w:cs="Tahoma"/>
        </w:rPr>
        <w:t xml:space="preserve">Debe </w:t>
      </w:r>
      <w:r w:rsidRPr="00166861">
        <w:rPr>
          <w:rFonts w:ascii="Tahoma" w:hAnsi="Tahoma" w:cs="Tahoma"/>
        </w:rPr>
        <w:t xml:space="preserve">especificarse la autoridad </w:t>
      </w:r>
      <w:r>
        <w:rPr>
          <w:rFonts w:ascii="Tahoma" w:hAnsi="Tahoma" w:cs="Tahoma"/>
        </w:rPr>
        <w:t>correspondiente para atender lo requerido, con la finalidad de dar un trámite eficiente, sin embargo, si éste no es señalado, deberá ser la Entidad quien reconduzca el escrito presentado ante la autoridad competente.</w:t>
      </w:r>
    </w:p>
    <w:p w:rsidR="00E22FF9" w:rsidRDefault="00E22FF9" w:rsidP="00E22FF9">
      <w:pPr>
        <w:ind w:left="1260"/>
        <w:jc w:val="both"/>
        <w:rPr>
          <w:rFonts w:ascii="Tahoma" w:hAnsi="Tahoma" w:cs="Tahoma"/>
        </w:rPr>
      </w:pPr>
    </w:p>
    <w:p w:rsidR="00E22FF9" w:rsidRDefault="00E22FF9" w:rsidP="00E22FF9">
      <w:pPr>
        <w:numPr>
          <w:ilvl w:val="0"/>
          <w:numId w:val="5"/>
        </w:numPr>
        <w:jc w:val="both"/>
        <w:rPr>
          <w:rFonts w:ascii="Tahoma" w:hAnsi="Tahoma" w:cs="Tahoma"/>
          <w:b/>
          <w:i/>
        </w:rPr>
      </w:pPr>
      <w:r>
        <w:rPr>
          <w:rFonts w:ascii="Tahoma" w:hAnsi="Tahoma" w:cs="Tahoma"/>
          <w:b/>
          <w:i/>
        </w:rPr>
        <w:t>La dirección del lugar donde se desea recibir las notificaciones del procedimiento y la fecha del momento en el cual se ha presentado la solicitud.</w:t>
      </w:r>
    </w:p>
    <w:p w:rsidR="00E22FF9" w:rsidRDefault="00E22FF9" w:rsidP="00E22FF9">
      <w:pPr>
        <w:ind w:left="900"/>
        <w:jc w:val="both"/>
        <w:rPr>
          <w:rFonts w:ascii="Tahoma" w:hAnsi="Tahoma" w:cs="Tahoma"/>
          <w:b/>
          <w:i/>
        </w:rPr>
      </w:pPr>
    </w:p>
    <w:p w:rsidR="00E22FF9" w:rsidRDefault="00E22FF9" w:rsidP="00E22FF9">
      <w:pPr>
        <w:ind w:left="1260"/>
        <w:jc w:val="both"/>
        <w:rPr>
          <w:rFonts w:ascii="Tahoma" w:hAnsi="Tahoma" w:cs="Tahoma"/>
        </w:rPr>
      </w:pPr>
      <w:r>
        <w:rPr>
          <w:rFonts w:ascii="Tahoma" w:hAnsi="Tahoma" w:cs="Tahoma"/>
        </w:rPr>
        <w:t>Este domicilio deberá ser consignado para que le sea notificado todos los actos referidos al procedimiento administrativo que haya iniciado o a la solicitud presentada, consiste en el domicilio especial constituido para efectos administrativos. Este domicilio es distinto al presentado como domicilio legal, no obstante, de no señalarse un domicilio especial, se entenderá como válido para todo tipo de notificaciones el domicilio originariamente señalado.</w:t>
      </w:r>
    </w:p>
    <w:p w:rsidR="00E22FF9" w:rsidRDefault="00E22FF9" w:rsidP="00E22FF9">
      <w:pPr>
        <w:ind w:left="1260"/>
        <w:jc w:val="both"/>
        <w:rPr>
          <w:rFonts w:ascii="Tahoma" w:hAnsi="Tahoma" w:cs="Tahoma"/>
        </w:rPr>
      </w:pPr>
      <w:r>
        <w:rPr>
          <w:rFonts w:ascii="Tahoma" w:hAnsi="Tahoma" w:cs="Tahoma"/>
        </w:rPr>
        <w:t>Respecto a la fecha en que se presenta la comunicación, de no encontrarse señalada, la Entidad está en la obligación de detallarla o consignarla al momento de registrar el ingreso de la solicitud a la Entidad.</w:t>
      </w:r>
    </w:p>
    <w:p w:rsidR="00E22FF9" w:rsidRDefault="00E22FF9" w:rsidP="00E22FF9">
      <w:pPr>
        <w:jc w:val="both"/>
        <w:rPr>
          <w:rFonts w:ascii="Tahoma" w:hAnsi="Tahoma" w:cs="Tahoma"/>
        </w:rPr>
      </w:pPr>
    </w:p>
    <w:p w:rsidR="00E22FF9" w:rsidRDefault="00E22FF9" w:rsidP="00E22FF9">
      <w:pPr>
        <w:ind w:left="540"/>
        <w:jc w:val="both"/>
        <w:rPr>
          <w:rFonts w:ascii="Tahoma" w:hAnsi="Tahoma" w:cs="Tahoma"/>
        </w:rPr>
      </w:pPr>
      <w:r>
        <w:rPr>
          <w:rFonts w:ascii="Tahoma" w:hAnsi="Tahoma" w:cs="Tahoma"/>
        </w:rPr>
        <w:t>Asimismo, deberá señalarse expresamente si se adjunta algún tipo de anexos para tener plena certeza de la documentación ingresada en su totalidad.</w:t>
      </w:r>
    </w:p>
    <w:p w:rsidR="00E22FF9" w:rsidRDefault="00E22FF9" w:rsidP="00E22FF9">
      <w:pPr>
        <w:jc w:val="both"/>
        <w:rPr>
          <w:rFonts w:ascii="Tahoma" w:hAnsi="Tahoma" w:cs="Tahoma"/>
        </w:rPr>
      </w:pPr>
    </w:p>
    <w:p w:rsidR="00E22FF9" w:rsidRDefault="00E22FF9" w:rsidP="00E22FF9">
      <w:pPr>
        <w:ind w:left="540"/>
        <w:jc w:val="both"/>
        <w:rPr>
          <w:rFonts w:ascii="Tahoma" w:hAnsi="Tahoma" w:cs="Tahoma"/>
        </w:rPr>
      </w:pPr>
      <w:r>
        <w:rPr>
          <w:rFonts w:ascii="Tahoma" w:hAnsi="Tahoma" w:cs="Tahoma"/>
        </w:rPr>
        <w:t>El Tribunal de Contrataciones considera sentar como precedente que para actos que impliquen disposición de algún derecho a favor de terceros, o que supongan la mera renuncia a una condición generada por el  vínculo con la Entidad, deberán contener como mínimo los elementos antes mencionados, de tal forma que se estandaricen las manifestaciones de voluntad de los administrados dentro del ámbito de un proceso administrativo.</w:t>
      </w:r>
    </w:p>
    <w:p w:rsidR="00E22FF9" w:rsidRPr="00513E4A" w:rsidRDefault="00E22FF9" w:rsidP="00E22FF9">
      <w:pPr>
        <w:ind w:left="540"/>
        <w:jc w:val="both"/>
        <w:rPr>
          <w:rFonts w:ascii="Tahoma" w:hAnsi="Tahoma" w:cs="Tahoma"/>
        </w:rPr>
      </w:pPr>
    </w:p>
    <w:p w:rsidR="00E22FF9" w:rsidRPr="00F65F74" w:rsidRDefault="00E22FF9" w:rsidP="00E22FF9">
      <w:pPr>
        <w:numPr>
          <w:ilvl w:val="0"/>
          <w:numId w:val="4"/>
        </w:numPr>
        <w:tabs>
          <w:tab w:val="clear" w:pos="720"/>
          <w:tab w:val="num" w:pos="540"/>
        </w:tabs>
        <w:ind w:left="540" w:hanging="540"/>
        <w:jc w:val="both"/>
        <w:rPr>
          <w:rFonts w:ascii="Tahoma" w:hAnsi="Tahoma" w:cs="Tahoma"/>
        </w:rPr>
      </w:pPr>
      <w:r>
        <w:rPr>
          <w:rFonts w:ascii="Tahoma" w:hAnsi="Tahoma" w:cs="Tahoma"/>
        </w:rPr>
        <w:t>Asimismo, resulta ineludible tomar en consideración para graduar la sanción a imponer, el error incurrido por la Entidad al momento de establecer las cláusulas integrantes del contrato, las cuales ocasionaron  una interpretación errónea por parte del administrado respecto a la culminación del vínculo contractual, incluyendo una disposición contraria a lo señalado en la normativa de contrataciones; situación que no excluye la responsabilidad del Postor por no cumplir con sus obligaciones sin la existencia de una causa que así lo justifique.</w:t>
      </w:r>
    </w:p>
    <w:p w:rsidR="00E22FF9" w:rsidRPr="0071538E" w:rsidRDefault="00E22FF9" w:rsidP="00E22FF9">
      <w:pPr>
        <w:jc w:val="both"/>
        <w:rPr>
          <w:rFonts w:ascii="Tahoma" w:hAnsi="Tahoma" w:cs="Tahoma"/>
        </w:rPr>
      </w:pPr>
    </w:p>
    <w:p w:rsidR="00E22FF9" w:rsidRPr="00E11770" w:rsidRDefault="00E22FF9" w:rsidP="00E22FF9">
      <w:pPr>
        <w:numPr>
          <w:ilvl w:val="1"/>
          <w:numId w:val="3"/>
        </w:numPr>
        <w:tabs>
          <w:tab w:val="clear" w:pos="2055"/>
        </w:tabs>
        <w:ind w:left="540" w:hanging="540"/>
        <w:jc w:val="both"/>
        <w:rPr>
          <w:rFonts w:ascii="Tahoma" w:hAnsi="Tahoma" w:cs="Tahoma"/>
        </w:rPr>
      </w:pPr>
      <w:r>
        <w:rPr>
          <w:rFonts w:ascii="Tahoma" w:hAnsi="Tahoma" w:cs="Tahoma"/>
          <w:lang w:val="es-ES_tradnl"/>
        </w:rPr>
        <w:t>Por los argumentos antes expuestos,</w:t>
      </w:r>
      <w:r>
        <w:rPr>
          <w:rFonts w:ascii="Tahoma" w:hAnsi="Tahoma" w:cs="Tahoma"/>
          <w:szCs w:val="22"/>
        </w:rPr>
        <w:t xml:space="preserve"> no habiendo presentado prueba instrumental alguna el Postor que permita desvirtuar las imputaciones formuladas en su contra, para acreditar que el incumplimiento se debió a causas justificadas ajenas a su voluntad</w:t>
      </w:r>
      <w:r>
        <w:rPr>
          <w:rFonts w:ascii="Tahoma" w:hAnsi="Tahoma" w:cs="Tahoma"/>
          <w:lang w:val="es-ES_tradnl"/>
        </w:rPr>
        <w:t xml:space="preserve">, este Tribunal considera que se ha configurado la causal invocada, </w:t>
      </w:r>
      <w:r>
        <w:rPr>
          <w:rFonts w:ascii="Tahoma" w:hAnsi="Tahoma" w:cs="Tahoma"/>
        </w:rPr>
        <w:t xml:space="preserve">y considerando que la infracción cometida por el Postor se encuentra tipificada en el Reglamento, el cual dispone que debe imponerse sanción de inhabilitación para contratar con el estado por un periodo </w:t>
      </w:r>
      <w:r>
        <w:rPr>
          <w:rFonts w:ascii="Tahoma" w:hAnsi="Tahoma" w:cs="Tahoma"/>
          <w:lang w:val="es-MX"/>
        </w:rPr>
        <w:t>no menor de  un (01) año ni mayor de dos (02) años</w:t>
      </w:r>
      <w:r>
        <w:rPr>
          <w:rFonts w:ascii="Tahoma" w:hAnsi="Tahoma" w:cs="Tahoma"/>
        </w:rPr>
        <w:t xml:space="preserve">, </w:t>
      </w:r>
      <w:r>
        <w:rPr>
          <w:rFonts w:ascii="Tahoma" w:hAnsi="Tahoma" w:cs="Tahoma"/>
          <w:szCs w:val="22"/>
        </w:rPr>
        <w:t>este Tribunal considera pertinente imponer doce (12) meses de inhabilitación temporal al contratista,</w:t>
      </w:r>
      <w:r>
        <w:rPr>
          <w:rFonts w:ascii="Tahoma" w:hAnsi="Tahoma" w:cs="Tahoma"/>
        </w:rPr>
        <w:t xml:space="preserve"> teniendo en cuanta para  la graduación de la sanción imponible, </w:t>
      </w:r>
      <w:r>
        <w:rPr>
          <w:rFonts w:ascii="Tahoma" w:hAnsi="Tahoma" w:cs="Tahoma"/>
          <w:szCs w:val="22"/>
        </w:rPr>
        <w:t xml:space="preserve"> el principio de razonabilidad</w:t>
      </w:r>
      <w:r>
        <w:rPr>
          <w:rStyle w:val="Refdenotaalpie"/>
          <w:rFonts w:ascii="Tahoma" w:hAnsi="Tahoma" w:cs="Tahoma"/>
          <w:szCs w:val="22"/>
        </w:rPr>
        <w:footnoteReference w:id="9"/>
      </w:r>
      <w:r>
        <w:rPr>
          <w:rFonts w:ascii="Tahoma" w:hAnsi="Tahoma" w:cs="Tahoma"/>
          <w:szCs w:val="22"/>
        </w:rPr>
        <w:t>, la naturaleza de la infracción cometida, el monto involucrado en el proceso de selección, la conducta procesal del infractor; así como el daño causado a la Entidad, puesto que la infracción cometida ha retrasado el cumplimiento de sus objetivos previamente programados.</w:t>
      </w:r>
    </w:p>
    <w:p w:rsidR="00E22FF9" w:rsidRDefault="00E22FF9" w:rsidP="00E22FF9">
      <w:pPr>
        <w:ind w:left="900" w:hanging="720"/>
        <w:jc w:val="both"/>
        <w:rPr>
          <w:rFonts w:ascii="Tahoma" w:hAnsi="Tahoma" w:cs="Tahoma"/>
        </w:rPr>
      </w:pPr>
    </w:p>
    <w:p w:rsidR="00E22FF9" w:rsidRPr="00F107B5" w:rsidRDefault="00E22FF9" w:rsidP="00E22FF9">
      <w:pPr>
        <w:ind w:left="900" w:hanging="720"/>
        <w:jc w:val="both"/>
        <w:rPr>
          <w:rFonts w:ascii="Tahoma" w:hAnsi="Tahoma" w:cs="Tahoma"/>
        </w:rPr>
      </w:pPr>
    </w:p>
    <w:p w:rsidR="00E22FF9" w:rsidRPr="00F107B5" w:rsidRDefault="00E22FF9" w:rsidP="00E22FF9">
      <w:pPr>
        <w:jc w:val="both"/>
        <w:rPr>
          <w:rFonts w:ascii="Tahoma" w:hAnsi="Tahoma" w:cs="Tahoma"/>
        </w:rPr>
      </w:pPr>
      <w:r w:rsidRPr="00F107B5">
        <w:rPr>
          <w:rFonts w:ascii="Tahoma" w:hAnsi="Tahoma" w:cs="Tahoma"/>
        </w:rPr>
        <w:t xml:space="preserve">Por estos fundamentos, de conformidad con el informe de la Vocal Ponente doctora </w:t>
      </w:r>
      <w:proofErr w:type="spellStart"/>
      <w:r w:rsidRPr="00F107B5">
        <w:rPr>
          <w:rFonts w:ascii="Tahoma" w:hAnsi="Tahoma" w:cs="Tahoma"/>
        </w:rPr>
        <w:t>Janette</w:t>
      </w:r>
      <w:proofErr w:type="spellEnd"/>
      <w:r w:rsidRPr="00F107B5">
        <w:rPr>
          <w:rFonts w:ascii="Tahoma" w:hAnsi="Tahoma" w:cs="Tahoma"/>
        </w:rPr>
        <w:t xml:space="preserve"> </w:t>
      </w:r>
      <w:proofErr w:type="spellStart"/>
      <w:r w:rsidRPr="00F107B5">
        <w:rPr>
          <w:rFonts w:ascii="Tahoma" w:hAnsi="Tahoma" w:cs="Tahoma"/>
        </w:rPr>
        <w:t>Elke</w:t>
      </w:r>
      <w:proofErr w:type="spellEnd"/>
      <w:r w:rsidRPr="00F107B5">
        <w:rPr>
          <w:rFonts w:ascii="Tahoma" w:hAnsi="Tahoma" w:cs="Tahoma"/>
        </w:rPr>
        <w:t xml:space="preserve"> Ramírez </w:t>
      </w:r>
      <w:proofErr w:type="spellStart"/>
      <w:r w:rsidRPr="00F107B5">
        <w:rPr>
          <w:rFonts w:ascii="Tahoma" w:hAnsi="Tahoma" w:cs="Tahoma"/>
        </w:rPr>
        <w:t>Maynetto</w:t>
      </w:r>
      <w:proofErr w:type="spellEnd"/>
      <w:r w:rsidRPr="00F107B5">
        <w:rPr>
          <w:rFonts w:ascii="Tahoma" w:hAnsi="Tahoma" w:cs="Tahoma"/>
        </w:rPr>
        <w:t xml:space="preserve">, con la intervención de los doctores Juan Carlos Valdivia </w:t>
      </w:r>
      <w:proofErr w:type="spellStart"/>
      <w:r w:rsidRPr="00F107B5">
        <w:rPr>
          <w:rFonts w:ascii="Tahoma" w:hAnsi="Tahoma" w:cs="Tahoma"/>
        </w:rPr>
        <w:t>Huaringa</w:t>
      </w:r>
      <w:proofErr w:type="spellEnd"/>
      <w:r w:rsidRPr="00F107B5">
        <w:rPr>
          <w:rFonts w:ascii="Tahoma" w:hAnsi="Tahoma" w:cs="Tahoma"/>
        </w:rPr>
        <w:t xml:space="preserve"> y Carlos Vicente Navas Rondón, atendiendo a la </w:t>
      </w:r>
      <w:proofErr w:type="spellStart"/>
      <w:r w:rsidRPr="00F107B5">
        <w:rPr>
          <w:rFonts w:ascii="Tahoma" w:hAnsi="Tahoma" w:cs="Tahoma"/>
        </w:rPr>
        <w:t>reconformación</w:t>
      </w:r>
      <w:proofErr w:type="spellEnd"/>
      <w:r w:rsidRPr="00F107B5">
        <w:rPr>
          <w:rFonts w:ascii="Tahoma" w:hAnsi="Tahoma" w:cs="Tahoma"/>
        </w:rPr>
        <w:t xml:space="preserve"> de </w:t>
      </w:r>
      <w:smartTag w:uri="urn:schemas-microsoft-com:office:smarttags" w:element="PersonName">
        <w:smartTagPr>
          <w:attr w:name="ProductID" w:val="la Tercera Sala"/>
        </w:smartTagPr>
        <w:r w:rsidRPr="00F107B5">
          <w:rPr>
            <w:rFonts w:ascii="Tahoma" w:hAnsi="Tahoma" w:cs="Tahoma"/>
          </w:rPr>
          <w:t>la Tercera Sala</w:t>
        </w:r>
      </w:smartTag>
      <w:r w:rsidRPr="00F107B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107B5">
          <w:rPr>
            <w:rFonts w:ascii="Tahoma" w:hAnsi="Tahoma" w:cs="Tahoma"/>
          </w:rPr>
          <w:t>la Resolución N.º</w:t>
        </w:r>
      </w:smartTag>
      <w:r w:rsidRPr="00F107B5">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107B5">
          <w:rPr>
            <w:rFonts w:ascii="Tahoma" w:hAnsi="Tahoma" w:cs="Tahoma"/>
          </w:rPr>
          <w:t>la Ley</w:t>
        </w:r>
      </w:smartTag>
      <w:r w:rsidRPr="00F107B5">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E22FF9" w:rsidRDefault="00E22FF9" w:rsidP="00E22FF9">
      <w:pPr>
        <w:tabs>
          <w:tab w:val="num" w:pos="360"/>
        </w:tabs>
        <w:ind w:left="-180" w:firstLine="180"/>
        <w:jc w:val="both"/>
        <w:rPr>
          <w:rFonts w:ascii="Tahoma" w:hAnsi="Tahoma" w:cs="Tahoma"/>
          <w:b/>
          <w:shadow/>
        </w:rPr>
      </w:pPr>
    </w:p>
    <w:p w:rsidR="00E22FF9" w:rsidRPr="00F107B5" w:rsidRDefault="00E22FF9" w:rsidP="00E22FF9">
      <w:pPr>
        <w:tabs>
          <w:tab w:val="num" w:pos="360"/>
        </w:tabs>
        <w:ind w:left="-180" w:firstLine="180"/>
        <w:jc w:val="both"/>
        <w:rPr>
          <w:rFonts w:ascii="Tahoma" w:hAnsi="Tahoma" w:cs="Tahoma"/>
          <w:b/>
          <w:shadow/>
        </w:rPr>
      </w:pPr>
    </w:p>
    <w:p w:rsidR="00E22FF9" w:rsidRPr="00F107B5" w:rsidRDefault="00E22FF9" w:rsidP="00E22FF9">
      <w:pPr>
        <w:tabs>
          <w:tab w:val="num" w:pos="360"/>
        </w:tabs>
        <w:ind w:left="-180" w:firstLine="180"/>
        <w:jc w:val="both"/>
        <w:rPr>
          <w:rFonts w:ascii="Tahoma" w:hAnsi="Tahoma" w:cs="Tahoma"/>
          <w:b/>
          <w:shadow/>
        </w:rPr>
      </w:pPr>
      <w:r w:rsidRPr="00F107B5">
        <w:rPr>
          <w:rFonts w:ascii="Tahoma" w:hAnsi="Tahoma" w:cs="Tahoma"/>
          <w:b/>
          <w:shadow/>
        </w:rPr>
        <w:t>LA SALA RESUELVE:</w:t>
      </w:r>
    </w:p>
    <w:p w:rsidR="00E22FF9" w:rsidRDefault="00E22FF9" w:rsidP="00E22FF9">
      <w:pPr>
        <w:jc w:val="both"/>
        <w:rPr>
          <w:rFonts w:ascii="Tahoma" w:hAnsi="Tahoma" w:cs="Tahoma"/>
          <w:b/>
          <w:shadow/>
        </w:rPr>
      </w:pPr>
    </w:p>
    <w:p w:rsidR="00E22FF9" w:rsidRDefault="00E22FF9" w:rsidP="00E22FF9">
      <w:pPr>
        <w:jc w:val="both"/>
        <w:rPr>
          <w:rFonts w:ascii="Tahoma" w:hAnsi="Tahoma" w:cs="Tahoma"/>
          <w:b/>
          <w:shadow/>
        </w:rPr>
      </w:pPr>
    </w:p>
    <w:p w:rsidR="00E22FF9" w:rsidRDefault="00E22FF9" w:rsidP="00E22FF9">
      <w:pPr>
        <w:numPr>
          <w:ilvl w:val="0"/>
          <w:numId w:val="1"/>
        </w:numPr>
        <w:tabs>
          <w:tab w:val="clear" w:pos="720"/>
          <w:tab w:val="num" w:pos="360"/>
          <w:tab w:val="num" w:pos="900"/>
        </w:tabs>
        <w:ind w:left="360"/>
        <w:jc w:val="both"/>
        <w:rPr>
          <w:rFonts w:ascii="Tahoma" w:hAnsi="Tahoma" w:cs="Tahoma"/>
        </w:rPr>
      </w:pPr>
      <w:r>
        <w:rPr>
          <w:rFonts w:ascii="Tahoma" w:hAnsi="Tahoma" w:cs="Tahoma"/>
        </w:rPr>
        <w:lastRenderedPageBreak/>
        <w:t xml:space="preserve">Sancionar a </w:t>
      </w:r>
      <w:r w:rsidRPr="00D63ABF">
        <w:rPr>
          <w:rFonts w:ascii="Tahoma" w:hAnsi="Tahoma" w:cs="Tahoma"/>
          <w:b/>
        </w:rPr>
        <w:t xml:space="preserve">Señor Vidal </w:t>
      </w:r>
      <w:proofErr w:type="spellStart"/>
      <w:r w:rsidRPr="00D63ABF">
        <w:rPr>
          <w:rFonts w:ascii="Tahoma" w:hAnsi="Tahoma" w:cs="Tahoma"/>
          <w:b/>
        </w:rPr>
        <w:t>Mayorga</w:t>
      </w:r>
      <w:proofErr w:type="spellEnd"/>
      <w:r w:rsidRPr="00D63ABF">
        <w:rPr>
          <w:rFonts w:ascii="Tahoma" w:hAnsi="Tahoma" w:cs="Tahoma"/>
          <w:b/>
        </w:rPr>
        <w:t xml:space="preserve"> Gutiérrez</w:t>
      </w:r>
      <w:r>
        <w:rPr>
          <w:rFonts w:ascii="Tahoma" w:hAnsi="Tahoma" w:cs="Tahoma"/>
        </w:rPr>
        <w:t xml:space="preserve"> con </w:t>
      </w:r>
      <w:r>
        <w:rPr>
          <w:rFonts w:ascii="Tahoma" w:hAnsi="Tahoma" w:cs="Tahoma"/>
          <w:b/>
        </w:rPr>
        <w:t>doce</w:t>
      </w:r>
      <w:r>
        <w:rPr>
          <w:rFonts w:ascii="Tahoma" w:hAnsi="Tahoma" w:cs="Tahoma"/>
        </w:rPr>
        <w:t xml:space="preserve"> </w:t>
      </w:r>
      <w:r>
        <w:rPr>
          <w:rFonts w:ascii="Tahoma" w:hAnsi="Tahoma" w:cs="Tahoma"/>
          <w:b/>
        </w:rPr>
        <w:t xml:space="preserve">(12) meses de inhabilitación temporal </w:t>
      </w:r>
      <w:r>
        <w:rPr>
          <w:rFonts w:ascii="Tahoma" w:hAnsi="Tahoma" w:cs="Tahoma"/>
        </w:rPr>
        <w:t>en su derecho de participar en procesos de selección y contratar con el Estado; sanción que tendrá vigencia a partir del cuarto día hábil siguiente de notificada la presente resolución.</w:t>
      </w:r>
    </w:p>
    <w:p w:rsidR="00E22FF9" w:rsidRDefault="00E22FF9" w:rsidP="00E22FF9">
      <w:pPr>
        <w:tabs>
          <w:tab w:val="num" w:pos="900"/>
        </w:tabs>
        <w:jc w:val="both"/>
        <w:rPr>
          <w:rFonts w:ascii="Tahoma" w:hAnsi="Tahoma" w:cs="Tahoma"/>
        </w:rPr>
      </w:pPr>
    </w:p>
    <w:p w:rsidR="00E22FF9" w:rsidRPr="005540FC" w:rsidRDefault="00E22FF9" w:rsidP="00E22FF9">
      <w:pPr>
        <w:numPr>
          <w:ilvl w:val="0"/>
          <w:numId w:val="1"/>
        </w:numPr>
        <w:tabs>
          <w:tab w:val="clear" w:pos="720"/>
          <w:tab w:val="num" w:pos="360"/>
          <w:tab w:val="num" w:pos="900"/>
        </w:tabs>
        <w:ind w:left="360"/>
        <w:jc w:val="both"/>
        <w:rPr>
          <w:rFonts w:ascii="Tahoma" w:hAnsi="Tahoma" w:cs="Tahoma"/>
        </w:rPr>
      </w:pPr>
      <w:r w:rsidRPr="005540FC">
        <w:rPr>
          <w:rFonts w:ascii="Tahoma" w:hAnsi="Tahoma" w:cs="Tahoma"/>
        </w:rPr>
        <w:t>Poner la presente resolución en conocimiento de la Subdirección del Registro Nacional de Proveedores del CONSUCODE para las anotaciones de ley.</w:t>
      </w:r>
    </w:p>
    <w:p w:rsidR="00E22FF9" w:rsidRDefault="00E22FF9" w:rsidP="00E22FF9">
      <w:pPr>
        <w:pStyle w:val="BodyText2"/>
        <w:rPr>
          <w:rFonts w:cs="Tahoma"/>
          <w:sz w:val="20"/>
        </w:rPr>
      </w:pPr>
    </w:p>
    <w:p w:rsidR="00E22FF9" w:rsidRPr="00F107B5" w:rsidRDefault="00E22FF9" w:rsidP="00E22FF9">
      <w:pPr>
        <w:pStyle w:val="BodyText2"/>
        <w:ind w:firstLine="360"/>
        <w:rPr>
          <w:rFonts w:cs="Tahoma"/>
          <w:sz w:val="20"/>
        </w:rPr>
      </w:pPr>
      <w:r w:rsidRPr="00F107B5">
        <w:rPr>
          <w:rFonts w:cs="Tahoma"/>
          <w:sz w:val="20"/>
        </w:rPr>
        <w:t>Regístrese, comuníquese y publíquese.</w:t>
      </w:r>
    </w:p>
    <w:p w:rsidR="00E22FF9" w:rsidRPr="00F107B5" w:rsidRDefault="00E22FF9" w:rsidP="00E22FF9">
      <w:pPr>
        <w:jc w:val="center"/>
        <w:rPr>
          <w:rFonts w:ascii="Tahoma" w:hAnsi="Tahoma" w:cs="Tahoma"/>
          <w:b/>
          <w:lang w:val="es-ES_tradnl"/>
        </w:rPr>
      </w:pPr>
    </w:p>
    <w:p w:rsidR="00E22FF9" w:rsidRPr="00F107B5" w:rsidRDefault="00E22FF9" w:rsidP="00E22FF9">
      <w:pPr>
        <w:jc w:val="center"/>
        <w:rPr>
          <w:rFonts w:ascii="Tahoma" w:hAnsi="Tahoma" w:cs="Tahoma"/>
          <w:b/>
          <w:lang w:val="es-ES_tradnl"/>
        </w:rPr>
      </w:pPr>
    </w:p>
    <w:p w:rsidR="00E22FF9" w:rsidRDefault="00E22FF9" w:rsidP="00E22FF9">
      <w:pPr>
        <w:jc w:val="center"/>
        <w:rPr>
          <w:rFonts w:ascii="Tahoma" w:hAnsi="Tahoma" w:cs="Tahoma"/>
          <w:b/>
        </w:rPr>
      </w:pPr>
    </w:p>
    <w:p w:rsidR="00E22FF9" w:rsidRDefault="00E22FF9" w:rsidP="00E22FF9">
      <w:pPr>
        <w:jc w:val="center"/>
        <w:rPr>
          <w:rFonts w:ascii="Tahoma" w:hAnsi="Tahoma" w:cs="Tahoma"/>
          <w:b/>
        </w:rPr>
      </w:pPr>
    </w:p>
    <w:p w:rsidR="00E22FF9" w:rsidRDefault="00E22FF9" w:rsidP="00E22FF9">
      <w:pPr>
        <w:jc w:val="center"/>
        <w:rPr>
          <w:rFonts w:ascii="Tahoma" w:hAnsi="Tahoma" w:cs="Tahoma"/>
          <w:b/>
        </w:rPr>
      </w:pPr>
    </w:p>
    <w:p w:rsidR="00E22FF9" w:rsidRDefault="00E22FF9" w:rsidP="00E22FF9">
      <w:pPr>
        <w:jc w:val="center"/>
        <w:rPr>
          <w:rFonts w:ascii="Tahoma" w:hAnsi="Tahoma" w:cs="Tahoma"/>
          <w:b/>
        </w:rPr>
      </w:pPr>
    </w:p>
    <w:p w:rsidR="00E22FF9" w:rsidRDefault="00E22FF9" w:rsidP="00E22FF9">
      <w:pPr>
        <w:jc w:val="center"/>
        <w:rPr>
          <w:rFonts w:ascii="Tahoma" w:hAnsi="Tahoma" w:cs="Tahoma"/>
          <w:b/>
        </w:rPr>
      </w:pPr>
    </w:p>
    <w:p w:rsidR="00E22FF9" w:rsidRPr="00F107B5" w:rsidRDefault="00E22FF9" w:rsidP="00E22FF9">
      <w:pPr>
        <w:jc w:val="center"/>
        <w:rPr>
          <w:rFonts w:ascii="Tahoma" w:hAnsi="Tahoma" w:cs="Tahoma"/>
          <w:b/>
        </w:rPr>
      </w:pPr>
    </w:p>
    <w:p w:rsidR="00E22FF9" w:rsidRPr="00F107B5" w:rsidRDefault="00E22FF9" w:rsidP="00E22FF9">
      <w:pPr>
        <w:jc w:val="center"/>
        <w:rPr>
          <w:rFonts w:ascii="Tahoma" w:hAnsi="Tahoma" w:cs="Tahoma"/>
          <w:b/>
        </w:rPr>
      </w:pPr>
    </w:p>
    <w:p w:rsidR="00E22FF9" w:rsidRPr="00F107B5" w:rsidRDefault="00E22FF9" w:rsidP="00E22FF9">
      <w:pPr>
        <w:jc w:val="center"/>
        <w:rPr>
          <w:rFonts w:ascii="Tahoma" w:hAnsi="Tahoma" w:cs="Tahoma"/>
          <w:b/>
          <w:shadow/>
          <w:lang w:val="pt-BR"/>
        </w:rPr>
      </w:pPr>
      <w:r w:rsidRPr="00F107B5">
        <w:rPr>
          <w:rFonts w:ascii="Tahoma" w:hAnsi="Tahoma" w:cs="Tahoma"/>
          <w:b/>
          <w:shadow/>
          <w:lang w:val="pt-BR"/>
        </w:rPr>
        <w:t>PRESIDENTE</w:t>
      </w:r>
    </w:p>
    <w:p w:rsidR="00E22FF9" w:rsidRPr="00F107B5" w:rsidRDefault="00E22FF9" w:rsidP="00E22FF9">
      <w:pPr>
        <w:jc w:val="center"/>
        <w:rPr>
          <w:rFonts w:ascii="Tahoma" w:hAnsi="Tahoma" w:cs="Tahoma"/>
          <w:b/>
          <w:shadow/>
          <w:lang w:val="pt-BR"/>
        </w:rPr>
      </w:pPr>
    </w:p>
    <w:p w:rsidR="00E22FF9" w:rsidRPr="00F107B5" w:rsidRDefault="00E22FF9" w:rsidP="00E22FF9">
      <w:pPr>
        <w:jc w:val="center"/>
        <w:rPr>
          <w:rFonts w:ascii="Tahoma" w:hAnsi="Tahoma" w:cs="Tahoma"/>
          <w:b/>
          <w:shadow/>
          <w:lang w:val="pt-BR"/>
        </w:rPr>
      </w:pPr>
    </w:p>
    <w:p w:rsidR="00E22FF9" w:rsidRPr="00F107B5" w:rsidRDefault="00E22FF9" w:rsidP="00E22FF9">
      <w:pPr>
        <w:jc w:val="center"/>
        <w:rPr>
          <w:rFonts w:ascii="Tahoma" w:hAnsi="Tahoma" w:cs="Tahoma"/>
          <w:b/>
          <w:shadow/>
          <w:lang w:val="pt-BR"/>
        </w:rPr>
      </w:pPr>
    </w:p>
    <w:p w:rsidR="00E22FF9" w:rsidRPr="00F107B5" w:rsidRDefault="00E22FF9" w:rsidP="00E22FF9">
      <w:pPr>
        <w:jc w:val="center"/>
        <w:rPr>
          <w:rFonts w:ascii="Tahoma" w:hAnsi="Tahoma" w:cs="Tahoma"/>
          <w:b/>
          <w:shadow/>
          <w:lang w:val="pt-BR"/>
        </w:rPr>
      </w:pPr>
    </w:p>
    <w:p w:rsidR="00E22FF9" w:rsidRPr="00F107B5" w:rsidRDefault="00E22FF9" w:rsidP="00E22FF9">
      <w:pPr>
        <w:jc w:val="center"/>
        <w:rPr>
          <w:rFonts w:ascii="Tahoma" w:hAnsi="Tahoma" w:cs="Tahoma"/>
          <w:b/>
          <w:shadow/>
          <w:lang w:val="pt-BR"/>
        </w:rPr>
      </w:pPr>
    </w:p>
    <w:p w:rsidR="00E22FF9" w:rsidRPr="00F107B5" w:rsidRDefault="00E22FF9" w:rsidP="00E22FF9">
      <w:pPr>
        <w:ind w:left="708"/>
        <w:jc w:val="both"/>
        <w:rPr>
          <w:rFonts w:ascii="Tahoma" w:hAnsi="Tahoma" w:cs="Tahoma"/>
          <w:b/>
          <w:shadow/>
          <w:lang w:val="pt-BR"/>
        </w:rPr>
      </w:pPr>
      <w:r w:rsidRPr="00F107B5">
        <w:rPr>
          <w:rFonts w:ascii="Tahoma" w:hAnsi="Tahoma" w:cs="Tahoma"/>
          <w:b/>
          <w:shadow/>
          <w:lang w:val="pt-BR"/>
        </w:rPr>
        <w:t xml:space="preserve"> VOCAL           </w:t>
      </w:r>
      <w:r w:rsidRPr="00F107B5">
        <w:rPr>
          <w:rFonts w:ascii="Tahoma" w:hAnsi="Tahoma" w:cs="Tahoma"/>
          <w:b/>
          <w:shadow/>
          <w:lang w:val="pt-BR"/>
        </w:rPr>
        <w:tab/>
      </w:r>
      <w:r w:rsidRPr="00F107B5">
        <w:rPr>
          <w:rFonts w:ascii="Tahoma" w:hAnsi="Tahoma" w:cs="Tahoma"/>
          <w:b/>
          <w:shadow/>
          <w:lang w:val="pt-BR"/>
        </w:rPr>
        <w:tab/>
        <w:t xml:space="preserve">                                                                    VOCAL</w:t>
      </w:r>
    </w:p>
    <w:p w:rsidR="00E22FF9" w:rsidRPr="00F107B5" w:rsidRDefault="00E22FF9" w:rsidP="00E22FF9">
      <w:pPr>
        <w:ind w:firstLine="708"/>
        <w:rPr>
          <w:rFonts w:ascii="Tahoma" w:hAnsi="Tahoma" w:cs="Tahoma"/>
          <w:b/>
          <w:shadow/>
          <w:lang w:val="pt-BR"/>
        </w:rPr>
      </w:pPr>
    </w:p>
    <w:p w:rsidR="00E22FF9" w:rsidRPr="00F107B5" w:rsidRDefault="00E22FF9" w:rsidP="00E22FF9">
      <w:pPr>
        <w:ind w:firstLine="708"/>
        <w:rPr>
          <w:rFonts w:ascii="Tahoma" w:hAnsi="Tahoma" w:cs="Tahoma"/>
          <w:b/>
          <w:shadow/>
          <w:lang w:val="pt-BR"/>
        </w:rPr>
      </w:pPr>
    </w:p>
    <w:p w:rsidR="00E22FF9" w:rsidRPr="00F107B5" w:rsidRDefault="00E22FF9" w:rsidP="00E22FF9">
      <w:pPr>
        <w:ind w:firstLine="708"/>
        <w:rPr>
          <w:rFonts w:ascii="Tahoma" w:hAnsi="Tahoma" w:cs="Tahoma"/>
          <w:b/>
          <w:shadow/>
          <w:lang w:val="pt-BR"/>
        </w:rPr>
      </w:pPr>
    </w:p>
    <w:p w:rsidR="00E22FF9" w:rsidRDefault="00E22FF9" w:rsidP="00E22FF9">
      <w:pPr>
        <w:ind w:firstLine="708"/>
        <w:rPr>
          <w:rFonts w:ascii="Tahoma" w:hAnsi="Tahoma" w:cs="Tahoma"/>
          <w:b/>
          <w:shadow/>
          <w:lang w:val="pt-BR"/>
        </w:rPr>
      </w:pPr>
    </w:p>
    <w:p w:rsidR="00E22FF9" w:rsidRDefault="00E22FF9" w:rsidP="00E22FF9">
      <w:pPr>
        <w:ind w:firstLine="708"/>
        <w:rPr>
          <w:rFonts w:ascii="Tahoma" w:hAnsi="Tahoma" w:cs="Tahoma"/>
          <w:b/>
          <w:shadow/>
          <w:lang w:val="pt-BR"/>
        </w:rPr>
      </w:pPr>
    </w:p>
    <w:p w:rsidR="00E22FF9" w:rsidRDefault="00E22FF9" w:rsidP="00E22FF9">
      <w:pPr>
        <w:ind w:firstLine="708"/>
        <w:rPr>
          <w:rFonts w:ascii="Tahoma" w:hAnsi="Tahoma" w:cs="Tahoma"/>
          <w:b/>
          <w:shadow/>
          <w:lang w:val="pt-BR"/>
        </w:rPr>
      </w:pPr>
    </w:p>
    <w:p w:rsidR="00E22FF9" w:rsidRDefault="00E22FF9" w:rsidP="00E22FF9">
      <w:pPr>
        <w:ind w:firstLine="708"/>
        <w:rPr>
          <w:rFonts w:ascii="Tahoma" w:hAnsi="Tahoma" w:cs="Tahoma"/>
          <w:b/>
          <w:shadow/>
          <w:lang w:val="pt-BR"/>
        </w:rPr>
      </w:pPr>
    </w:p>
    <w:p w:rsidR="00E22FF9" w:rsidRDefault="00E22FF9" w:rsidP="00E22FF9">
      <w:pPr>
        <w:ind w:firstLine="708"/>
        <w:rPr>
          <w:rFonts w:ascii="Tahoma" w:hAnsi="Tahoma" w:cs="Tahoma"/>
          <w:b/>
          <w:shadow/>
          <w:lang w:val="pt-BR"/>
        </w:rPr>
      </w:pPr>
    </w:p>
    <w:p w:rsidR="00E22FF9" w:rsidRPr="00F107B5" w:rsidRDefault="00E22FF9" w:rsidP="00E22FF9">
      <w:pPr>
        <w:ind w:firstLine="708"/>
        <w:rPr>
          <w:rFonts w:ascii="Tahoma" w:hAnsi="Tahoma" w:cs="Tahoma"/>
          <w:b/>
          <w:shadow/>
          <w:lang w:val="pt-BR"/>
        </w:rPr>
      </w:pPr>
    </w:p>
    <w:p w:rsidR="00E22FF9" w:rsidRPr="00F107B5" w:rsidRDefault="00E22FF9" w:rsidP="00E22FF9">
      <w:pPr>
        <w:ind w:firstLine="708"/>
        <w:rPr>
          <w:rFonts w:ascii="Tahoma" w:hAnsi="Tahoma" w:cs="Tahoma"/>
          <w:b/>
          <w:shadow/>
          <w:lang w:val="pt-BR"/>
        </w:rPr>
      </w:pPr>
    </w:p>
    <w:p w:rsidR="00E22FF9" w:rsidRPr="00F107B5" w:rsidRDefault="00E22FF9" w:rsidP="00E22FF9">
      <w:pPr>
        <w:ind w:firstLine="708"/>
        <w:rPr>
          <w:rFonts w:ascii="Tahoma" w:hAnsi="Tahoma" w:cs="Tahoma"/>
          <w:b/>
          <w:shadow/>
          <w:lang w:val="pt-BR"/>
        </w:rPr>
      </w:pPr>
    </w:p>
    <w:p w:rsidR="00E22FF9" w:rsidRPr="00F107B5" w:rsidRDefault="00E22FF9" w:rsidP="00E22FF9">
      <w:pPr>
        <w:ind w:firstLine="708"/>
        <w:rPr>
          <w:rFonts w:ascii="Tahoma" w:hAnsi="Tahoma" w:cs="Tahoma"/>
          <w:b/>
          <w:shadow/>
          <w:lang w:val="pt-BR"/>
        </w:rPr>
      </w:pPr>
    </w:p>
    <w:p w:rsidR="00E22FF9" w:rsidRPr="00E54A4A" w:rsidRDefault="00E22FF9" w:rsidP="00E22FF9">
      <w:pPr>
        <w:jc w:val="both"/>
        <w:rPr>
          <w:rFonts w:ascii="Tahoma" w:hAnsi="Tahoma" w:cs="Tahoma"/>
          <w:sz w:val="18"/>
          <w:szCs w:val="18"/>
          <w:lang w:val="pt-BR"/>
        </w:rPr>
      </w:pPr>
      <w:proofErr w:type="gramStart"/>
      <w:r w:rsidRPr="00E54A4A">
        <w:rPr>
          <w:rFonts w:ascii="Tahoma" w:hAnsi="Tahoma" w:cs="Tahoma"/>
          <w:sz w:val="18"/>
          <w:szCs w:val="18"/>
          <w:lang w:val="pt-BR"/>
        </w:rPr>
        <w:t>ss.</w:t>
      </w:r>
      <w:proofErr w:type="gramEnd"/>
    </w:p>
    <w:p w:rsidR="00E22FF9" w:rsidRPr="00E54A4A" w:rsidRDefault="00E22FF9" w:rsidP="00E22FF9">
      <w:pPr>
        <w:pStyle w:val="BodyText2"/>
        <w:rPr>
          <w:rFonts w:cs="Tahoma"/>
          <w:sz w:val="18"/>
          <w:szCs w:val="18"/>
          <w:lang w:val="pt-BR"/>
        </w:rPr>
      </w:pPr>
      <w:proofErr w:type="spellStart"/>
      <w:r w:rsidRPr="00E54A4A">
        <w:rPr>
          <w:rFonts w:cs="Tahoma"/>
          <w:sz w:val="18"/>
          <w:szCs w:val="18"/>
          <w:lang w:val="pt-BR"/>
        </w:rPr>
        <w:t>Valdivia</w:t>
      </w:r>
      <w:proofErr w:type="spellEnd"/>
      <w:r w:rsidRPr="00E54A4A">
        <w:rPr>
          <w:rFonts w:cs="Tahoma"/>
          <w:sz w:val="18"/>
          <w:szCs w:val="18"/>
          <w:lang w:val="pt-BR"/>
        </w:rPr>
        <w:t xml:space="preserve"> </w:t>
      </w:r>
      <w:proofErr w:type="spellStart"/>
      <w:r w:rsidRPr="00E54A4A">
        <w:rPr>
          <w:rFonts w:cs="Tahoma"/>
          <w:sz w:val="18"/>
          <w:szCs w:val="18"/>
          <w:lang w:val="pt-BR"/>
        </w:rPr>
        <w:t>Huaringa</w:t>
      </w:r>
      <w:proofErr w:type="spellEnd"/>
      <w:r w:rsidRPr="00E54A4A">
        <w:rPr>
          <w:rFonts w:cs="Tahoma"/>
          <w:sz w:val="18"/>
          <w:szCs w:val="18"/>
          <w:lang w:val="pt-BR"/>
        </w:rPr>
        <w:t>.</w:t>
      </w:r>
    </w:p>
    <w:p w:rsidR="00E22FF9" w:rsidRPr="00E54A4A" w:rsidRDefault="00E22FF9" w:rsidP="00E22FF9">
      <w:pPr>
        <w:pStyle w:val="BodyText2"/>
        <w:rPr>
          <w:rFonts w:cs="Tahoma"/>
          <w:sz w:val="18"/>
          <w:szCs w:val="18"/>
        </w:rPr>
      </w:pPr>
      <w:r w:rsidRPr="00E54A4A">
        <w:rPr>
          <w:rFonts w:cs="Tahoma"/>
          <w:sz w:val="18"/>
          <w:szCs w:val="18"/>
        </w:rPr>
        <w:t xml:space="preserve">Ramírez </w:t>
      </w:r>
      <w:proofErr w:type="spellStart"/>
      <w:r w:rsidRPr="00E54A4A">
        <w:rPr>
          <w:rFonts w:cs="Tahoma"/>
          <w:sz w:val="18"/>
          <w:szCs w:val="18"/>
        </w:rPr>
        <w:t>Maynetto</w:t>
      </w:r>
      <w:proofErr w:type="spellEnd"/>
      <w:r w:rsidRPr="00E54A4A">
        <w:rPr>
          <w:rFonts w:cs="Tahoma"/>
          <w:sz w:val="18"/>
          <w:szCs w:val="18"/>
        </w:rPr>
        <w:t>.</w:t>
      </w:r>
    </w:p>
    <w:p w:rsidR="00E22FF9" w:rsidRPr="00E54A4A" w:rsidRDefault="00E22FF9" w:rsidP="00E22FF9">
      <w:pPr>
        <w:pStyle w:val="BodyText2"/>
        <w:tabs>
          <w:tab w:val="left" w:pos="7740"/>
        </w:tabs>
        <w:rPr>
          <w:rFonts w:cs="Tahoma"/>
          <w:sz w:val="18"/>
          <w:szCs w:val="18"/>
        </w:rPr>
      </w:pPr>
      <w:r w:rsidRPr="00E54A4A">
        <w:rPr>
          <w:rFonts w:cs="Tahoma"/>
          <w:sz w:val="18"/>
          <w:szCs w:val="18"/>
        </w:rPr>
        <w:t>Navas Rondón.</w:t>
      </w:r>
    </w:p>
    <w:p w:rsidR="00E22FF9" w:rsidRDefault="00E22FF9" w:rsidP="00E22FF9"/>
    <w:p w:rsidR="00DD5730" w:rsidRDefault="002002AB"/>
    <w:sectPr w:rsidR="00DD5730" w:rsidSect="001C2AE2">
      <w:footerReference w:type="even" r:id="rId7"/>
      <w:footerReference w:type="default" r:id="rId8"/>
      <w:pgSz w:w="11907" w:h="16840" w:code="9"/>
      <w:pgMar w:top="3235" w:right="1107" w:bottom="161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FF9" w:rsidRDefault="00E22FF9" w:rsidP="00E22FF9">
      <w:r>
        <w:separator/>
      </w:r>
    </w:p>
  </w:endnote>
  <w:endnote w:type="continuationSeparator" w:id="1">
    <w:p w:rsidR="00E22FF9" w:rsidRDefault="00E22FF9" w:rsidP="00E22F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43" w:rsidRDefault="002002AB" w:rsidP="001C2AE2">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F66F43" w:rsidRDefault="002002AB">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43" w:rsidRPr="00864C03" w:rsidRDefault="002002AB">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E22FF9">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E22FF9">
      <w:rPr>
        <w:rStyle w:val="Nmerodepgina"/>
        <w:i/>
        <w:noProof/>
        <w:sz w:val="20"/>
      </w:rPr>
      <w:t>7</w:t>
    </w:r>
    <w:r w:rsidRPr="00864C03">
      <w:rPr>
        <w:rStyle w:val="Nmerodepgina"/>
        <w:i/>
        <w:sz w:val="20"/>
      </w:rPr>
      <w:fldChar w:fldCharType="end"/>
    </w:r>
  </w:p>
  <w:p w:rsidR="00F66F43" w:rsidRDefault="002002A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FF9" w:rsidRDefault="00E22FF9" w:rsidP="00E22FF9">
      <w:r>
        <w:separator/>
      </w:r>
    </w:p>
  </w:footnote>
  <w:footnote w:type="continuationSeparator" w:id="1">
    <w:p w:rsidR="00E22FF9" w:rsidRDefault="00E22FF9" w:rsidP="00E22FF9">
      <w:r>
        <w:continuationSeparator/>
      </w:r>
    </w:p>
  </w:footnote>
  <w:footnote w:id="2">
    <w:p w:rsidR="00E22FF9" w:rsidRPr="00232DA6" w:rsidRDefault="00E22FF9" w:rsidP="00E22FF9">
      <w:pPr>
        <w:pStyle w:val="Textonotapie"/>
        <w:jc w:val="both"/>
        <w:rPr>
          <w:rFonts w:ascii="Tahoma" w:hAnsi="Tahoma" w:cs="Tahoma"/>
          <w:i/>
          <w:sz w:val="18"/>
          <w:szCs w:val="18"/>
        </w:rPr>
      </w:pPr>
      <w:r w:rsidRPr="00232DA6">
        <w:rPr>
          <w:rStyle w:val="Refdenotaalpie"/>
          <w:rFonts w:ascii="Tahoma" w:hAnsi="Tahoma" w:cs="Tahoma"/>
          <w:i/>
          <w:sz w:val="18"/>
          <w:szCs w:val="18"/>
        </w:rPr>
        <w:footnoteRef/>
      </w:r>
      <w:r w:rsidRPr="00232DA6">
        <w:rPr>
          <w:rFonts w:ascii="Tahoma" w:hAnsi="Tahoma" w:cs="Tahoma"/>
          <w:i/>
          <w:sz w:val="18"/>
          <w:szCs w:val="18"/>
        </w:rPr>
        <w:t xml:space="preserve"> </w:t>
      </w:r>
      <w:r w:rsidRPr="009F264C">
        <w:rPr>
          <w:rFonts w:ascii="Tahoma" w:hAnsi="Tahoma" w:cs="Tahoma"/>
          <w:sz w:val="16"/>
          <w:szCs w:val="16"/>
        </w:rPr>
        <w:t>Documento obrante a fojas 0</w:t>
      </w:r>
      <w:r>
        <w:rPr>
          <w:rFonts w:ascii="Tahoma" w:hAnsi="Tahoma" w:cs="Tahoma"/>
          <w:sz w:val="16"/>
          <w:szCs w:val="16"/>
        </w:rPr>
        <w:t>23</w:t>
      </w:r>
      <w:r w:rsidRPr="009F264C">
        <w:rPr>
          <w:rFonts w:ascii="Tahoma" w:hAnsi="Tahoma" w:cs="Tahoma"/>
          <w:sz w:val="16"/>
          <w:szCs w:val="16"/>
        </w:rPr>
        <w:t xml:space="preserve">  del expediente administrativo.</w:t>
      </w:r>
    </w:p>
  </w:footnote>
  <w:footnote w:id="3">
    <w:p w:rsidR="00E22FF9" w:rsidRPr="00CE2513" w:rsidRDefault="00E22FF9" w:rsidP="00E22FF9">
      <w:pPr>
        <w:pStyle w:val="Textonotapie"/>
        <w:rPr>
          <w:rFonts w:ascii="Tahoma" w:hAnsi="Tahoma" w:cs="Tahoma"/>
          <w:sz w:val="16"/>
          <w:szCs w:val="16"/>
        </w:rPr>
      </w:pPr>
      <w:r>
        <w:rPr>
          <w:rStyle w:val="Refdenotaalpie"/>
        </w:rPr>
        <w:footnoteRef/>
      </w:r>
      <w:r>
        <w:rPr>
          <w:rFonts w:ascii="Tahoma" w:hAnsi="Tahoma" w:cs="Tahoma"/>
          <w:sz w:val="16"/>
          <w:szCs w:val="16"/>
        </w:rPr>
        <w:t xml:space="preserve"> Documento obrante a fojas 018 </w:t>
      </w:r>
      <w:r w:rsidRPr="00CE2513">
        <w:rPr>
          <w:rFonts w:ascii="Tahoma" w:hAnsi="Tahoma" w:cs="Tahoma"/>
          <w:sz w:val="16"/>
          <w:szCs w:val="16"/>
        </w:rPr>
        <w:t>del  expediente administrativo.</w:t>
      </w:r>
    </w:p>
  </w:footnote>
  <w:footnote w:id="4">
    <w:p w:rsidR="00E22FF9" w:rsidRPr="002D21D8" w:rsidRDefault="00E22FF9" w:rsidP="00E22FF9">
      <w:pPr>
        <w:pStyle w:val="Textonotapie"/>
        <w:rPr>
          <w:rFonts w:ascii="Tahoma" w:hAnsi="Tahoma" w:cs="Tahoma"/>
          <w:sz w:val="16"/>
          <w:szCs w:val="16"/>
        </w:rPr>
      </w:pPr>
      <w:r w:rsidRPr="002D21D8">
        <w:rPr>
          <w:rStyle w:val="Refdenotaalpie"/>
          <w:rFonts w:ascii="Tahoma" w:hAnsi="Tahoma" w:cs="Tahoma"/>
        </w:rPr>
        <w:footnoteRef/>
      </w:r>
      <w:r w:rsidRPr="002D21D8">
        <w:rPr>
          <w:rFonts w:ascii="Tahoma" w:hAnsi="Tahoma" w:cs="Tahoma"/>
          <w:sz w:val="16"/>
          <w:szCs w:val="16"/>
        </w:rPr>
        <w:t xml:space="preserve"> Documento obrante a fojas 015 del  expediente administrativo.</w:t>
      </w:r>
    </w:p>
  </w:footnote>
  <w:footnote w:id="5">
    <w:p w:rsidR="00E22FF9" w:rsidRPr="002D21D8" w:rsidRDefault="00E22FF9" w:rsidP="00E22FF9">
      <w:pPr>
        <w:pStyle w:val="Textonotapie"/>
        <w:jc w:val="both"/>
        <w:rPr>
          <w:rFonts w:ascii="Tahoma" w:hAnsi="Tahoma" w:cs="Tahoma"/>
          <w:sz w:val="16"/>
          <w:szCs w:val="16"/>
        </w:rPr>
      </w:pPr>
      <w:r w:rsidRPr="002D21D8">
        <w:rPr>
          <w:rStyle w:val="Refdenotaalpie"/>
          <w:rFonts w:ascii="Tahoma" w:hAnsi="Tahoma" w:cs="Tahoma"/>
          <w:i/>
        </w:rPr>
        <w:footnoteRef/>
      </w:r>
      <w:r w:rsidRPr="002D21D8">
        <w:rPr>
          <w:rFonts w:ascii="Tahoma" w:hAnsi="Tahoma" w:cs="Tahoma"/>
          <w:i/>
          <w:sz w:val="16"/>
          <w:szCs w:val="16"/>
        </w:rPr>
        <w:t xml:space="preserve"> </w:t>
      </w:r>
      <w:r w:rsidRPr="002D21D8">
        <w:rPr>
          <w:rFonts w:ascii="Tahoma" w:hAnsi="Tahoma" w:cs="Tahoma"/>
          <w:sz w:val="16"/>
          <w:szCs w:val="16"/>
        </w:rPr>
        <w:t>La anotada presunción legal se sustenta en el artículo 1329 del Código Civil, el cual establece que “se presume que la inejecución de la obligación, o su cumplimiento parcial, tardío o defectuoso, obedece a culpa leve del deudor”, artículo aplicable al presente caso de conformidad con el artículo IX, del Título Preliminar del mismo cuerpo normativo: “Las disposiciones del Código Civil se aplican supletoriamente a las relaciones y situaciones jurídicas reguladas por otras leyes, siempre que no sean incompatibles con su naturaleza”.</w:t>
      </w:r>
    </w:p>
  </w:footnote>
  <w:footnote w:id="6">
    <w:p w:rsidR="00E22FF9" w:rsidRPr="002D21D8" w:rsidRDefault="00E22FF9" w:rsidP="00E22FF9">
      <w:pPr>
        <w:pStyle w:val="Textonotapie"/>
        <w:rPr>
          <w:rFonts w:ascii="Tahoma" w:hAnsi="Tahoma" w:cs="Tahoma"/>
          <w:b/>
          <w:sz w:val="16"/>
          <w:szCs w:val="16"/>
        </w:rPr>
      </w:pPr>
      <w:r w:rsidRPr="002D21D8">
        <w:rPr>
          <w:rStyle w:val="Refdenotaalpie"/>
          <w:rFonts w:ascii="Tahoma" w:hAnsi="Tahoma" w:cs="Tahoma"/>
        </w:rPr>
        <w:footnoteRef/>
      </w:r>
      <w:r w:rsidRPr="002D21D8">
        <w:rPr>
          <w:rFonts w:ascii="Tahoma" w:hAnsi="Tahoma" w:cs="Tahoma"/>
          <w:sz w:val="16"/>
          <w:szCs w:val="16"/>
        </w:rPr>
        <w:t xml:space="preserve"> </w:t>
      </w:r>
      <w:r w:rsidRPr="002D21D8">
        <w:rPr>
          <w:rFonts w:ascii="Tahoma" w:hAnsi="Tahoma" w:cs="Tahoma"/>
          <w:b/>
          <w:sz w:val="16"/>
          <w:szCs w:val="16"/>
        </w:rPr>
        <w:t>Artículo 224.- Resolución del Contrato.-</w:t>
      </w:r>
    </w:p>
    <w:p w:rsidR="00E22FF9" w:rsidRDefault="00E22FF9" w:rsidP="00E22FF9">
      <w:pPr>
        <w:pStyle w:val="Textonotapie"/>
        <w:rPr>
          <w:rFonts w:ascii="Tahoma" w:hAnsi="Tahoma" w:cs="Tahoma"/>
          <w:sz w:val="16"/>
          <w:szCs w:val="16"/>
        </w:rPr>
      </w:pPr>
      <w:r w:rsidRPr="002D21D8">
        <w:rPr>
          <w:rFonts w:ascii="Tahoma" w:hAnsi="Tahoma" w:cs="Tahoma"/>
          <w:sz w:val="16"/>
          <w:szCs w:val="16"/>
        </w:rPr>
        <w:t>Cualquiera de las partes, o amba</w:t>
      </w:r>
      <w:r>
        <w:rPr>
          <w:rFonts w:ascii="Tahoma" w:hAnsi="Tahoma" w:cs="Tahoma"/>
          <w:sz w:val="16"/>
          <w:szCs w:val="16"/>
        </w:rPr>
        <w:t>s, pueden poner fin al contrato por un hecho sobreviviente a la suscripción del mismo, siempre que se encuentre previsto expresamente en las Bases, en el contrato o en el Reglamento.</w:t>
      </w:r>
    </w:p>
    <w:p w:rsidR="00E22FF9" w:rsidRDefault="00E22FF9" w:rsidP="00E22FF9">
      <w:pPr>
        <w:pStyle w:val="Textonotapie"/>
        <w:rPr>
          <w:rFonts w:ascii="Tahoma" w:hAnsi="Tahoma" w:cs="Tahoma"/>
          <w:sz w:val="16"/>
          <w:szCs w:val="16"/>
        </w:rPr>
      </w:pPr>
      <w:r>
        <w:rPr>
          <w:rFonts w:ascii="Tahoma" w:hAnsi="Tahoma" w:cs="Tahoma"/>
          <w:sz w:val="16"/>
          <w:szCs w:val="16"/>
        </w:rPr>
        <w:t>Por igual motivo, se puede resolver el contrato en forma parcial, dependiendo de los alcances del incumplimiento, de la naturaleza de las prestaciones, o de algún factor relevante, siempre y cuando sea posible sin afectar el contrato en su conjunto.</w:t>
      </w:r>
    </w:p>
    <w:p w:rsidR="00E22FF9" w:rsidRPr="002D21D8" w:rsidRDefault="00E22FF9" w:rsidP="00E22FF9">
      <w:pPr>
        <w:pStyle w:val="Textonotapie"/>
        <w:rPr>
          <w:rFonts w:ascii="Tahoma" w:hAnsi="Tahoma" w:cs="Tahoma"/>
          <w:sz w:val="16"/>
          <w:szCs w:val="16"/>
        </w:rPr>
      </w:pPr>
    </w:p>
  </w:footnote>
  <w:footnote w:id="7">
    <w:p w:rsidR="00E22FF9" w:rsidRDefault="00E22FF9" w:rsidP="00E22FF9">
      <w:pPr>
        <w:pStyle w:val="Textonotapie"/>
        <w:rPr>
          <w:rFonts w:ascii="Tahoma" w:hAnsi="Tahoma" w:cs="Tahoma"/>
          <w:b/>
          <w:sz w:val="16"/>
          <w:szCs w:val="16"/>
        </w:rPr>
      </w:pPr>
      <w:r w:rsidRPr="002D21D8">
        <w:rPr>
          <w:rStyle w:val="Refdenotaalpie"/>
          <w:rFonts w:ascii="Tahoma" w:hAnsi="Tahoma" w:cs="Tahoma"/>
        </w:rPr>
        <w:footnoteRef/>
      </w:r>
      <w:r w:rsidRPr="002D21D8">
        <w:rPr>
          <w:rFonts w:ascii="Tahoma" w:hAnsi="Tahoma" w:cs="Tahoma"/>
          <w:sz w:val="16"/>
          <w:szCs w:val="16"/>
        </w:rPr>
        <w:t xml:space="preserve"> </w:t>
      </w:r>
      <w:r w:rsidRPr="002D21D8">
        <w:rPr>
          <w:rFonts w:ascii="Tahoma" w:hAnsi="Tahoma" w:cs="Tahoma"/>
          <w:b/>
          <w:sz w:val="16"/>
          <w:szCs w:val="16"/>
        </w:rPr>
        <w:t>Artículo 45.- Resolución de los contratos.-</w:t>
      </w:r>
    </w:p>
    <w:p w:rsidR="00E22FF9" w:rsidRPr="00D63ABF" w:rsidRDefault="00E22FF9" w:rsidP="00E22FF9">
      <w:pPr>
        <w:pStyle w:val="Textonotapie"/>
        <w:rPr>
          <w:rFonts w:ascii="Tahoma" w:hAnsi="Tahoma" w:cs="Tahoma"/>
          <w:sz w:val="16"/>
          <w:szCs w:val="16"/>
        </w:rPr>
      </w:pPr>
      <w:r w:rsidRPr="00D63ABF">
        <w:rPr>
          <w:rFonts w:ascii="Tahoma" w:hAnsi="Tahoma" w:cs="Tahoma"/>
          <w:sz w:val="16"/>
          <w:szCs w:val="16"/>
        </w:rPr>
        <w:t>Las Partes podrán resolver el contrato de mutuo acuerdo por causas no atribuibles a éstas o por caso fortuito o fuerza mayor, estableciendo los términos de la resolución</w:t>
      </w:r>
      <w:r>
        <w:rPr>
          <w:rFonts w:ascii="Tahoma" w:hAnsi="Tahoma" w:cs="Tahoma"/>
          <w:sz w:val="16"/>
          <w:szCs w:val="16"/>
        </w:rPr>
        <w:t>. (…)</w:t>
      </w:r>
    </w:p>
  </w:footnote>
  <w:footnote w:id="8">
    <w:p w:rsidR="00E22FF9" w:rsidRPr="00CE0DAA" w:rsidRDefault="00E22FF9" w:rsidP="00E22FF9">
      <w:pPr>
        <w:pStyle w:val="Textonotapie"/>
        <w:rPr>
          <w:rFonts w:ascii="Tahoma" w:hAnsi="Tahoma" w:cs="Tahoma"/>
          <w:sz w:val="16"/>
          <w:szCs w:val="16"/>
        </w:rPr>
      </w:pPr>
      <w:r>
        <w:rPr>
          <w:rStyle w:val="Refdenotaalpie"/>
        </w:rPr>
        <w:footnoteRef/>
      </w:r>
      <w:r>
        <w:t xml:space="preserve"> </w:t>
      </w:r>
      <w:r w:rsidRPr="00CE0DAA">
        <w:rPr>
          <w:rFonts w:ascii="Tahoma" w:hAnsi="Tahoma" w:cs="Tahoma"/>
          <w:b/>
          <w:sz w:val="16"/>
          <w:szCs w:val="16"/>
        </w:rPr>
        <w:t>Artículo 143.-</w:t>
      </w:r>
      <w:r w:rsidRPr="00CE0DAA">
        <w:rPr>
          <w:rFonts w:ascii="Tahoma" w:hAnsi="Tahoma" w:cs="Tahoma"/>
          <w:sz w:val="16"/>
          <w:szCs w:val="16"/>
        </w:rPr>
        <w:t xml:space="preserve"> Cuando la ley no designe una forma </w:t>
      </w:r>
      <w:proofErr w:type="spellStart"/>
      <w:r w:rsidRPr="00CE0DAA">
        <w:rPr>
          <w:rFonts w:ascii="Tahoma" w:hAnsi="Tahoma" w:cs="Tahoma"/>
          <w:sz w:val="16"/>
          <w:szCs w:val="16"/>
        </w:rPr>
        <w:t>especifica</w:t>
      </w:r>
      <w:proofErr w:type="spellEnd"/>
      <w:r w:rsidRPr="00CE0DAA">
        <w:rPr>
          <w:rFonts w:ascii="Tahoma" w:hAnsi="Tahoma" w:cs="Tahoma"/>
          <w:sz w:val="16"/>
          <w:szCs w:val="16"/>
        </w:rPr>
        <w:t xml:space="preserve"> para un acto jurídico, los interesados pueden usar la que juzguen conveniente.</w:t>
      </w:r>
    </w:p>
  </w:footnote>
  <w:footnote w:id="9">
    <w:p w:rsidR="00E22FF9" w:rsidRPr="00CE0DAA" w:rsidRDefault="00E22FF9" w:rsidP="00E22FF9">
      <w:pPr>
        <w:pStyle w:val="Textonotapie"/>
        <w:jc w:val="both"/>
        <w:rPr>
          <w:rFonts w:ascii="Tahoma" w:hAnsi="Tahoma" w:cs="Tahoma"/>
          <w:b/>
          <w:sz w:val="16"/>
          <w:szCs w:val="16"/>
        </w:rPr>
      </w:pPr>
      <w:r w:rsidRPr="00CE0DAA">
        <w:rPr>
          <w:rStyle w:val="Refdenotaalpie"/>
          <w:rFonts w:ascii="Tahoma" w:hAnsi="Tahoma" w:cs="Tahoma"/>
        </w:rPr>
        <w:footnoteRef/>
      </w:r>
      <w:r w:rsidRPr="00CE0DAA">
        <w:rPr>
          <w:rFonts w:ascii="Tahoma" w:hAnsi="Tahoma" w:cs="Tahoma"/>
          <w:sz w:val="16"/>
          <w:szCs w:val="16"/>
        </w:rPr>
        <w:t xml:space="preserve"> </w:t>
      </w:r>
      <w:r w:rsidRPr="00CE0DAA">
        <w:rPr>
          <w:rFonts w:ascii="Tahoma" w:hAnsi="Tahoma" w:cs="Tahoma"/>
          <w:b/>
          <w:sz w:val="16"/>
          <w:szCs w:val="16"/>
        </w:rPr>
        <w:t>Artículo 230.- Principios de la potestad sancionadora administrativa</w:t>
      </w:r>
    </w:p>
    <w:p w:rsidR="00E22FF9" w:rsidRPr="00CE0DAA" w:rsidRDefault="00E22FF9" w:rsidP="00E22FF9">
      <w:pPr>
        <w:pStyle w:val="Textonotapie"/>
        <w:jc w:val="both"/>
        <w:rPr>
          <w:rFonts w:ascii="Tahoma" w:hAnsi="Tahoma" w:cs="Tahoma"/>
          <w:sz w:val="16"/>
          <w:szCs w:val="16"/>
        </w:rPr>
      </w:pPr>
      <w:r w:rsidRPr="00CE0DAA">
        <w:rPr>
          <w:rFonts w:ascii="Tahoma" w:hAnsi="Tahoma" w:cs="Tahoma"/>
          <w:sz w:val="16"/>
          <w:szCs w:val="16"/>
        </w:rPr>
        <w:t>La potestad sancionadora de todas las Entidades está regida adicionalmente por los siguientes principios especiales:</w:t>
      </w:r>
    </w:p>
    <w:p w:rsidR="00E22FF9" w:rsidRPr="00CE0DAA" w:rsidRDefault="00E22FF9" w:rsidP="00E22FF9">
      <w:pPr>
        <w:pStyle w:val="Textonotapie"/>
        <w:jc w:val="both"/>
        <w:rPr>
          <w:rFonts w:ascii="Tahoma" w:hAnsi="Tahoma" w:cs="Tahoma"/>
          <w:sz w:val="16"/>
          <w:szCs w:val="16"/>
        </w:rPr>
      </w:pPr>
      <w:r w:rsidRPr="00CE0DAA">
        <w:rPr>
          <w:rFonts w:ascii="Tahoma" w:hAnsi="Tahoma" w:cs="Tahoma"/>
          <w:sz w:val="16"/>
          <w:szCs w:val="16"/>
        </w:rPr>
        <w:t xml:space="preserve">(…) </w:t>
      </w:r>
    </w:p>
    <w:p w:rsidR="00E22FF9" w:rsidRPr="00CE0DAA" w:rsidRDefault="00E22FF9" w:rsidP="00E22FF9">
      <w:pPr>
        <w:pStyle w:val="Textonotapie"/>
        <w:jc w:val="both"/>
        <w:rPr>
          <w:rFonts w:ascii="Tahoma" w:hAnsi="Tahoma" w:cs="Tahoma"/>
          <w:sz w:val="16"/>
          <w:szCs w:val="16"/>
        </w:rPr>
      </w:pPr>
      <w:r w:rsidRPr="00CE0DAA">
        <w:rPr>
          <w:rFonts w:ascii="Tahoma" w:hAnsi="Tahoma" w:cs="Tahoma"/>
          <w:b/>
          <w:sz w:val="16"/>
          <w:szCs w:val="16"/>
        </w:rPr>
        <w:t>3.- Razonabilidad</w:t>
      </w:r>
      <w:r w:rsidRPr="00CE0DAA">
        <w:rPr>
          <w:rFonts w:ascii="Tahoma" w:hAnsi="Tahoma" w:cs="Tahoma"/>
          <w:sz w:val="16"/>
          <w:szCs w:val="16"/>
        </w:rPr>
        <w:t>.- Las autoridades deben de prever que la comisión de la conducta sancionable no resulte más ventajosa para el infractor que cumplir las normas infringidas o asumir la sanción; así como que la determinación de la sanción considere criterios como la existencia de la o no intencionalidad, el perjuicio causado, las circunstancias de la comisión de la infracción y la repetición en la comisión de infracción.</w:t>
      </w:r>
    </w:p>
    <w:p w:rsidR="00E22FF9" w:rsidRDefault="00E22FF9" w:rsidP="00E22FF9">
      <w:pPr>
        <w:pStyle w:val="Textonotapi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9888066"/>
    <w:lvl w:ilvl="0" w:tplc="3D7E8B8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F24358"/>
    <w:multiLevelType w:val="hybridMultilevel"/>
    <w:tmpl w:val="F0C2F9F8"/>
    <w:lvl w:ilvl="0" w:tplc="3820B6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DEC2536"/>
    <w:multiLevelType w:val="hybridMultilevel"/>
    <w:tmpl w:val="9C282E96"/>
    <w:lvl w:ilvl="0" w:tplc="9BFA39BA">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27F4C4D"/>
    <w:multiLevelType w:val="hybridMultilevel"/>
    <w:tmpl w:val="EBCEE754"/>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4">
    <w:nsid w:val="5C531E1D"/>
    <w:multiLevelType w:val="hybridMultilevel"/>
    <w:tmpl w:val="016CF438"/>
    <w:lvl w:ilvl="0" w:tplc="0C0A0019">
      <w:start w:val="1"/>
      <w:numFmt w:val="lowerLetter"/>
      <w:lvlText w:val="%1."/>
      <w:lvlJc w:val="left"/>
      <w:pPr>
        <w:tabs>
          <w:tab w:val="num" w:pos="1335"/>
        </w:tabs>
        <w:ind w:left="1335" w:hanging="360"/>
      </w:pPr>
    </w:lvl>
    <w:lvl w:ilvl="1" w:tplc="C924F774">
      <w:start w:val="9"/>
      <w:numFmt w:val="decimal"/>
      <w:lvlText w:val="%2."/>
      <w:lvlJc w:val="left"/>
      <w:pPr>
        <w:tabs>
          <w:tab w:val="num" w:pos="2055"/>
        </w:tabs>
        <w:ind w:left="2055" w:hanging="360"/>
      </w:pPr>
      <w:rPr>
        <w:rFonts w:hint="default"/>
        <w:b/>
      </w:rPr>
    </w:lvl>
    <w:lvl w:ilvl="2" w:tplc="0C0A001B" w:tentative="1">
      <w:start w:val="1"/>
      <w:numFmt w:val="lowerRoman"/>
      <w:lvlText w:val="%3."/>
      <w:lvlJc w:val="right"/>
      <w:pPr>
        <w:tabs>
          <w:tab w:val="num" w:pos="2775"/>
        </w:tabs>
        <w:ind w:left="2775" w:hanging="180"/>
      </w:pPr>
    </w:lvl>
    <w:lvl w:ilvl="3" w:tplc="0C0A000F" w:tentative="1">
      <w:start w:val="1"/>
      <w:numFmt w:val="decimal"/>
      <w:lvlText w:val="%4."/>
      <w:lvlJc w:val="left"/>
      <w:pPr>
        <w:tabs>
          <w:tab w:val="num" w:pos="3495"/>
        </w:tabs>
        <w:ind w:left="3495" w:hanging="360"/>
      </w:pPr>
    </w:lvl>
    <w:lvl w:ilvl="4" w:tplc="0C0A0019" w:tentative="1">
      <w:start w:val="1"/>
      <w:numFmt w:val="lowerLetter"/>
      <w:lvlText w:val="%5."/>
      <w:lvlJc w:val="left"/>
      <w:pPr>
        <w:tabs>
          <w:tab w:val="num" w:pos="4215"/>
        </w:tabs>
        <w:ind w:left="4215" w:hanging="360"/>
      </w:pPr>
    </w:lvl>
    <w:lvl w:ilvl="5" w:tplc="0C0A001B" w:tentative="1">
      <w:start w:val="1"/>
      <w:numFmt w:val="lowerRoman"/>
      <w:lvlText w:val="%6."/>
      <w:lvlJc w:val="right"/>
      <w:pPr>
        <w:tabs>
          <w:tab w:val="num" w:pos="4935"/>
        </w:tabs>
        <w:ind w:left="4935" w:hanging="180"/>
      </w:pPr>
    </w:lvl>
    <w:lvl w:ilvl="6" w:tplc="0C0A000F" w:tentative="1">
      <w:start w:val="1"/>
      <w:numFmt w:val="decimal"/>
      <w:lvlText w:val="%7."/>
      <w:lvlJc w:val="left"/>
      <w:pPr>
        <w:tabs>
          <w:tab w:val="num" w:pos="5655"/>
        </w:tabs>
        <w:ind w:left="5655" w:hanging="360"/>
      </w:pPr>
    </w:lvl>
    <w:lvl w:ilvl="7" w:tplc="0C0A0019" w:tentative="1">
      <w:start w:val="1"/>
      <w:numFmt w:val="lowerLetter"/>
      <w:lvlText w:val="%8."/>
      <w:lvlJc w:val="left"/>
      <w:pPr>
        <w:tabs>
          <w:tab w:val="num" w:pos="6375"/>
        </w:tabs>
        <w:ind w:left="6375" w:hanging="360"/>
      </w:pPr>
    </w:lvl>
    <w:lvl w:ilvl="8" w:tplc="0C0A001B" w:tentative="1">
      <w:start w:val="1"/>
      <w:numFmt w:val="lowerRoman"/>
      <w:lvlText w:val="%9."/>
      <w:lvlJc w:val="right"/>
      <w:pPr>
        <w:tabs>
          <w:tab w:val="num" w:pos="7095"/>
        </w:tabs>
        <w:ind w:left="7095"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E22FF9"/>
    <w:rsid w:val="002002AB"/>
    <w:rsid w:val="005F15D1"/>
    <w:rsid w:val="00896EE1"/>
    <w:rsid w:val="00E22FF9"/>
    <w:rsid w:val="00FA475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FF9"/>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22FF9"/>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E22FF9"/>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E22FF9"/>
  </w:style>
  <w:style w:type="paragraph" w:styleId="Textoindependiente">
    <w:name w:val="Body Text"/>
    <w:basedOn w:val="Normal"/>
    <w:link w:val="TextoindependienteCar"/>
    <w:rsid w:val="00E22FF9"/>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E22FF9"/>
    <w:rPr>
      <w:rFonts w:ascii="Tahoma" w:eastAsia="Times New Roman" w:hAnsi="Tahoma" w:cs="Times New Roman"/>
      <w:szCs w:val="20"/>
      <w:lang w:val="es-ES_tradnl" w:eastAsia="es-ES"/>
    </w:rPr>
  </w:style>
  <w:style w:type="paragraph" w:customStyle="1" w:styleId="BodyText2">
    <w:name w:val="Body Text 2"/>
    <w:basedOn w:val="Normal"/>
    <w:rsid w:val="00E22FF9"/>
    <w:pPr>
      <w:jc w:val="both"/>
    </w:pPr>
    <w:rPr>
      <w:rFonts w:ascii="Tahoma" w:hAnsi="Tahoma"/>
      <w:sz w:val="22"/>
    </w:rPr>
  </w:style>
  <w:style w:type="paragraph" w:styleId="Textoindependiente3">
    <w:name w:val="Body Text 3"/>
    <w:basedOn w:val="Normal"/>
    <w:link w:val="Textoindependiente3Car"/>
    <w:rsid w:val="00E22FF9"/>
    <w:pPr>
      <w:spacing w:after="120"/>
    </w:pPr>
    <w:rPr>
      <w:sz w:val="16"/>
      <w:szCs w:val="16"/>
      <w:lang w:val="es-PE"/>
    </w:rPr>
  </w:style>
  <w:style w:type="character" w:customStyle="1" w:styleId="Textoindependiente3Car">
    <w:name w:val="Texto independiente 3 Car"/>
    <w:basedOn w:val="Fuentedeprrafopredeter"/>
    <w:link w:val="Textoindependiente3"/>
    <w:rsid w:val="00E22FF9"/>
    <w:rPr>
      <w:rFonts w:ascii="Times New Roman" w:eastAsia="Times New Roman" w:hAnsi="Times New Roman" w:cs="Times New Roman"/>
      <w:sz w:val="16"/>
      <w:szCs w:val="16"/>
      <w:lang w:val="es-PE" w:eastAsia="es-ES"/>
    </w:rPr>
  </w:style>
  <w:style w:type="paragraph" w:styleId="NormalWeb">
    <w:name w:val="Normal (Web)"/>
    <w:basedOn w:val="Normal"/>
    <w:rsid w:val="00E22FF9"/>
    <w:pPr>
      <w:spacing w:before="100" w:beforeAutospacing="1" w:after="100" w:afterAutospacing="1"/>
    </w:pPr>
    <w:rPr>
      <w:sz w:val="24"/>
      <w:szCs w:val="24"/>
    </w:rPr>
  </w:style>
  <w:style w:type="paragraph" w:styleId="Textonotapie">
    <w:name w:val="footnote text"/>
    <w:basedOn w:val="Normal"/>
    <w:link w:val="TextonotapieCar"/>
    <w:semiHidden/>
    <w:rsid w:val="00E22FF9"/>
  </w:style>
  <w:style w:type="character" w:customStyle="1" w:styleId="TextonotapieCar">
    <w:name w:val="Texto nota pie Car"/>
    <w:basedOn w:val="Fuentedeprrafopredeter"/>
    <w:link w:val="Textonotapie"/>
    <w:semiHidden/>
    <w:rsid w:val="00E22FF9"/>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E22FF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2877</Words>
  <Characters>15826</Characters>
  <Application>Microsoft Office Word</Application>
  <DocSecurity>0</DocSecurity>
  <Lines>131</Lines>
  <Paragraphs>37</Paragraphs>
  <ScaleCrop>false</ScaleCrop>
  <Company/>
  <LinksUpToDate>false</LinksUpToDate>
  <CharactersWithSpaces>18666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1634-2007/TC-S3</dc:title>
  <dc:subject>APLICACIÓN DE SANCIÓN AL SEÑOR  VIDAL MAYORGA GUTIERREZ</dc:subject>
  <dc:creator>TRIBUNAL</dc:creator>
  <cp:keywords>RESOLUCION CONTRACTUAL</cp:keywords>
  <dc:description/>
  <cp:lastModifiedBy>jcabrera</cp:lastModifiedBy>
  <cp:revision>2</cp:revision>
  <dcterms:created xsi:type="dcterms:W3CDTF">2007-12-13T22:10:00Z</dcterms:created>
  <dcterms:modified xsi:type="dcterms:W3CDTF">2007-12-13T22:13:00Z</dcterms:modified>
  <cp:category>RESOLUCION - TRIBUNAL</cp:category>
</cp:coreProperties>
</file>