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04E" w:rsidRDefault="00AB104E" w:rsidP="00AB104E">
      <w:pPr>
        <w:tabs>
          <w:tab w:val="left" w:pos="2700"/>
          <w:tab w:val="left" w:pos="2880"/>
          <w:tab w:val="left" w:pos="6840"/>
        </w:tabs>
        <w:ind w:left="2700" w:right="2060" w:hanging="1080"/>
        <w:jc w:val="both"/>
        <w:rPr>
          <w:rFonts w:ascii="Tahoma" w:hAnsi="Tahoma" w:cs="Tahoma"/>
          <w:b/>
          <w:i/>
        </w:rPr>
      </w:pPr>
      <w:r>
        <w:rPr>
          <w:rFonts w:ascii="Tahoma" w:hAnsi="Tahoma" w:cs="Tahoma"/>
          <w:b/>
          <w:i/>
        </w:rPr>
        <w:t xml:space="preserve">            RESOLUCIÓN N</w:t>
      </w:r>
      <w:proofErr w:type="gramStart"/>
      <w:r>
        <w:rPr>
          <w:rFonts w:ascii="Tahoma" w:hAnsi="Tahoma" w:cs="Tahoma"/>
          <w:b/>
          <w:i/>
        </w:rPr>
        <w:t>.º</w:t>
      </w:r>
      <w:proofErr w:type="gramEnd"/>
      <w:r>
        <w:rPr>
          <w:rFonts w:ascii="Tahoma" w:hAnsi="Tahoma" w:cs="Tahoma"/>
          <w:b/>
          <w:i/>
        </w:rPr>
        <w:t xml:space="preserve"> 1624-2007/TC-S3</w:t>
      </w:r>
    </w:p>
    <w:p w:rsidR="00AB104E" w:rsidRDefault="00AB104E" w:rsidP="00AB104E">
      <w:pPr>
        <w:tabs>
          <w:tab w:val="left" w:pos="2700"/>
          <w:tab w:val="left" w:pos="2880"/>
          <w:tab w:val="left" w:pos="6840"/>
        </w:tabs>
        <w:ind w:left="2700" w:right="2060" w:hanging="1080"/>
        <w:jc w:val="both"/>
        <w:rPr>
          <w:rFonts w:ascii="Tahoma" w:hAnsi="Tahoma" w:cs="Tahoma"/>
          <w:b/>
          <w:i/>
        </w:rPr>
      </w:pPr>
    </w:p>
    <w:p w:rsidR="00AB104E" w:rsidRDefault="00AB104E" w:rsidP="00AB104E">
      <w:pPr>
        <w:tabs>
          <w:tab w:val="left" w:pos="2700"/>
          <w:tab w:val="left" w:pos="2880"/>
          <w:tab w:val="left" w:pos="6840"/>
        </w:tabs>
        <w:ind w:left="2700" w:right="2060" w:hanging="1080"/>
        <w:jc w:val="both"/>
        <w:rPr>
          <w:rFonts w:ascii="Tahoma" w:hAnsi="Tahoma" w:cs="Tahoma"/>
          <w:i/>
        </w:rPr>
      </w:pPr>
      <w:r w:rsidRPr="00F107B5">
        <w:rPr>
          <w:rFonts w:ascii="Tahoma" w:hAnsi="Tahoma" w:cs="Tahoma"/>
          <w:b/>
          <w:i/>
        </w:rPr>
        <w:t>Sumilla</w:t>
      </w:r>
      <w:proofErr w:type="gramStart"/>
      <w:r w:rsidRPr="00E54A4A">
        <w:rPr>
          <w:rFonts w:ascii="Tahoma" w:hAnsi="Tahoma" w:cs="Tahoma"/>
          <w:b/>
          <w:i/>
        </w:rPr>
        <w:t xml:space="preserve">:  </w:t>
      </w:r>
      <w:r w:rsidRPr="00E54A4A">
        <w:rPr>
          <w:rFonts w:ascii="Tahoma" w:hAnsi="Tahoma" w:cs="Tahoma"/>
          <w:i/>
        </w:rPr>
        <w:t>El</w:t>
      </w:r>
      <w:proofErr w:type="gramEnd"/>
      <w:r w:rsidRPr="00E54A4A">
        <w:rPr>
          <w:rFonts w:ascii="Tahoma" w:hAnsi="Tahoma" w:cs="Tahoma"/>
          <w:i/>
        </w:rPr>
        <w:t xml:space="preserve"> procedimiento para suscribir el contrato ha sido previsto en el numeral 1) del artículo 203 del Reglamento, el cual dispone que dentro de los cinco (05) días hábiles siguientes al consentimiento de la buena pro, la Entidad deberá citar al postor ganador, otorgándole un plazo de diez (10) días hábiles dentro del cual deberá presentarse a suscribir el contrato con toda la documentación requerida</w:t>
      </w:r>
      <w:r>
        <w:rPr>
          <w:rFonts w:ascii="Tahoma" w:hAnsi="Tahoma" w:cs="Tahoma"/>
          <w:i/>
        </w:rPr>
        <w:t>.</w:t>
      </w:r>
    </w:p>
    <w:p w:rsidR="00AB104E" w:rsidRPr="00E54A4A" w:rsidRDefault="00AB104E" w:rsidP="00AB104E">
      <w:pPr>
        <w:tabs>
          <w:tab w:val="left" w:pos="2700"/>
          <w:tab w:val="left" w:pos="2880"/>
          <w:tab w:val="left" w:pos="6840"/>
        </w:tabs>
        <w:ind w:left="2700" w:right="2060" w:hanging="1080"/>
        <w:jc w:val="both"/>
        <w:rPr>
          <w:rFonts w:ascii="Tahoma" w:hAnsi="Tahoma" w:cs="Tahoma"/>
          <w:i/>
        </w:rPr>
      </w:pPr>
    </w:p>
    <w:p w:rsidR="00AB104E" w:rsidRPr="00F107B5" w:rsidRDefault="00AB104E" w:rsidP="00AB104E">
      <w:pPr>
        <w:pStyle w:val="Textoindependiente3"/>
        <w:ind w:left="4956" w:firstLine="84"/>
        <w:rPr>
          <w:rFonts w:ascii="Tahoma" w:hAnsi="Tahoma" w:cs="Tahoma"/>
          <w:b/>
          <w:sz w:val="20"/>
          <w:szCs w:val="20"/>
        </w:rPr>
      </w:pPr>
      <w:r w:rsidRPr="00F107B5">
        <w:rPr>
          <w:rFonts w:ascii="Tahoma" w:hAnsi="Tahoma" w:cs="Tahoma"/>
          <w:b/>
          <w:sz w:val="20"/>
          <w:szCs w:val="20"/>
        </w:rPr>
        <w:t xml:space="preserve">Lima,  </w:t>
      </w:r>
      <w:r>
        <w:rPr>
          <w:rFonts w:ascii="Tahoma" w:hAnsi="Tahoma" w:cs="Tahoma"/>
          <w:b/>
          <w:sz w:val="20"/>
          <w:szCs w:val="20"/>
        </w:rPr>
        <w:t>17 DE OCTUBRE DE 2007</w:t>
      </w:r>
    </w:p>
    <w:p w:rsidR="00AB104E" w:rsidRPr="00F107B5" w:rsidRDefault="00AB104E" w:rsidP="00AB104E">
      <w:pPr>
        <w:pStyle w:val="Textoindependiente"/>
        <w:tabs>
          <w:tab w:val="left" w:pos="540"/>
        </w:tabs>
        <w:rPr>
          <w:rFonts w:cs="Tahoma"/>
          <w:b/>
          <w:sz w:val="20"/>
          <w:lang w:val="es-PE"/>
        </w:rPr>
      </w:pPr>
    </w:p>
    <w:p w:rsidR="00AB104E" w:rsidRPr="00F107B5" w:rsidRDefault="00AB104E" w:rsidP="00AB104E">
      <w:pPr>
        <w:jc w:val="both"/>
        <w:rPr>
          <w:rFonts w:ascii="Tahoma" w:hAnsi="Tahoma" w:cs="Tahoma"/>
        </w:rPr>
      </w:pPr>
      <w:r w:rsidRPr="00F107B5">
        <w:rPr>
          <w:rFonts w:ascii="Tahoma" w:hAnsi="Tahoma" w:cs="Tahoma"/>
          <w:b/>
        </w:rPr>
        <w:t>Visto</w:t>
      </w:r>
      <w:r w:rsidRPr="00F107B5">
        <w:rPr>
          <w:rFonts w:ascii="Tahoma" w:hAnsi="Tahoma" w:cs="Tahoma"/>
        </w:rPr>
        <w:t xml:space="preserve"> en sesión de fecha 05 de</w:t>
      </w:r>
      <w:r>
        <w:rPr>
          <w:rFonts w:ascii="Tahoma" w:hAnsi="Tahoma" w:cs="Tahoma"/>
        </w:rPr>
        <w:t xml:space="preserve"> octubre</w:t>
      </w:r>
      <w:r w:rsidRPr="00F107B5">
        <w:rPr>
          <w:rFonts w:ascii="Tahoma" w:hAnsi="Tahoma" w:cs="Tahoma"/>
        </w:rPr>
        <w:t xml:space="preserve"> de 2007 de la Tercera Sala del Tribunal de Contrataciones y Adquisiciones del Estado el Expediente N.° </w:t>
      </w:r>
      <w:r>
        <w:rPr>
          <w:rFonts w:ascii="Tahoma" w:hAnsi="Tahoma" w:cs="Tahoma"/>
        </w:rPr>
        <w:t>556</w:t>
      </w:r>
      <w:r w:rsidRPr="00F107B5">
        <w:rPr>
          <w:rFonts w:ascii="Tahoma" w:hAnsi="Tahoma" w:cs="Tahoma"/>
        </w:rPr>
        <w:t xml:space="preserve">.2007.TC, sobre el procedimiento de aplicación de sanción a la empresa </w:t>
      </w:r>
      <w:r w:rsidRPr="00AA6949">
        <w:rPr>
          <w:rFonts w:ascii="Tahoma" w:hAnsi="Tahoma" w:cs="Tahoma"/>
          <w:b/>
        </w:rPr>
        <w:t>HP IMPORT S.R.L.,</w:t>
      </w:r>
      <w:r w:rsidRPr="00F107B5">
        <w:rPr>
          <w:rFonts w:ascii="Tahoma" w:hAnsi="Tahoma" w:cs="Tahoma"/>
        </w:rPr>
        <w:t xml:space="preserve"> por</w:t>
      </w:r>
      <w:r>
        <w:rPr>
          <w:rFonts w:ascii="Tahoma" w:hAnsi="Tahoma" w:cs="Tahoma"/>
        </w:rPr>
        <w:t xml:space="preserve"> supuesta</w:t>
      </w:r>
      <w:r w:rsidRPr="00F107B5">
        <w:rPr>
          <w:rFonts w:ascii="Tahoma" w:hAnsi="Tahoma" w:cs="Tahoma"/>
        </w:rPr>
        <w:t xml:space="preserve"> responsabilidad en la </w:t>
      </w:r>
      <w:r>
        <w:rPr>
          <w:rFonts w:ascii="Tahoma" w:hAnsi="Tahoma" w:cs="Tahoma"/>
        </w:rPr>
        <w:t xml:space="preserve">no suscripción injustificada del contrato derivado de </w:t>
      </w:r>
      <w:r w:rsidRPr="00545365">
        <w:rPr>
          <w:rFonts w:ascii="Tahoma" w:hAnsi="Tahoma" w:cs="Tahoma"/>
        </w:rPr>
        <w:t>la Adjudicación Directa Pública N.º 0018-2006-RTL/PETROPERU</w:t>
      </w:r>
      <w:r>
        <w:rPr>
          <w:rFonts w:ascii="Tahoma" w:hAnsi="Tahoma" w:cs="Tahoma"/>
        </w:rPr>
        <w:t xml:space="preserve"> - Segunda Convocatoria</w:t>
      </w:r>
      <w:r w:rsidRPr="00545365">
        <w:rPr>
          <w:rFonts w:ascii="Tahoma" w:hAnsi="Tahoma" w:cs="Tahoma"/>
        </w:rPr>
        <w:t xml:space="preserve">, </w:t>
      </w:r>
      <w:r>
        <w:rPr>
          <w:rFonts w:ascii="Tahoma" w:hAnsi="Tahoma" w:cs="Tahoma"/>
        </w:rPr>
        <w:t xml:space="preserve">efectuada por la empresa </w:t>
      </w:r>
      <w:r w:rsidRPr="00545365">
        <w:rPr>
          <w:rFonts w:ascii="Tahoma" w:hAnsi="Tahoma" w:cs="Tahoma"/>
        </w:rPr>
        <w:t>Petróleos del Perú S.A.</w:t>
      </w:r>
      <w:r>
        <w:rPr>
          <w:rFonts w:ascii="Tahoma" w:hAnsi="Tahoma" w:cs="Tahoma"/>
        </w:rPr>
        <w:t xml:space="preserve"> – PETROPERÚ S.A. </w:t>
      </w:r>
      <w:r w:rsidRPr="00545365">
        <w:rPr>
          <w:rFonts w:ascii="Tahoma" w:hAnsi="Tahoma" w:cs="Tahoma"/>
        </w:rPr>
        <w:t>para la adquisición de tubería para el servicio de adecuación de Tanque 156016</w:t>
      </w:r>
      <w:r>
        <w:rPr>
          <w:rFonts w:ascii="Tahoma" w:hAnsi="Tahoma" w:cs="Tahoma"/>
        </w:rPr>
        <w:t xml:space="preserve"> de la Refinería de Talara</w:t>
      </w:r>
      <w:r w:rsidRPr="00F107B5">
        <w:rPr>
          <w:rFonts w:ascii="Tahoma" w:hAnsi="Tahoma" w:cs="Tahoma"/>
        </w:rPr>
        <w:t>;</w:t>
      </w:r>
      <w:r w:rsidRPr="00F107B5">
        <w:rPr>
          <w:rFonts w:ascii="Tahoma" w:hAnsi="Tahoma" w:cs="Tahoma"/>
          <w:color w:val="000000"/>
        </w:rPr>
        <w:t xml:space="preserve"> y atendiendo a los siguientes:    </w:t>
      </w:r>
    </w:p>
    <w:p w:rsidR="00AB104E" w:rsidRPr="00F107B5" w:rsidRDefault="00AB104E" w:rsidP="00AB104E">
      <w:pPr>
        <w:pStyle w:val="Textoindependiente"/>
        <w:widowControl/>
        <w:tabs>
          <w:tab w:val="left" w:pos="540"/>
        </w:tabs>
        <w:suppressAutoHyphens w:val="0"/>
        <w:rPr>
          <w:rFonts w:cs="Tahoma"/>
          <w:sz w:val="20"/>
        </w:rPr>
      </w:pPr>
      <w:r w:rsidRPr="00F107B5">
        <w:rPr>
          <w:rFonts w:cs="Tahoma"/>
          <w:sz w:val="20"/>
        </w:rPr>
        <w:t xml:space="preserve"> </w:t>
      </w:r>
    </w:p>
    <w:p w:rsidR="00AB104E" w:rsidRDefault="00AB104E" w:rsidP="00AB104E">
      <w:pPr>
        <w:jc w:val="both"/>
        <w:rPr>
          <w:rFonts w:ascii="Tahoma" w:hAnsi="Tahoma" w:cs="Tahoma"/>
          <w:b/>
          <w:shadow/>
        </w:rPr>
      </w:pPr>
      <w:r w:rsidRPr="00F107B5">
        <w:rPr>
          <w:rFonts w:ascii="Tahoma" w:hAnsi="Tahoma" w:cs="Tahoma"/>
          <w:b/>
          <w:shadow/>
        </w:rPr>
        <w:t>ANTECEDENTES:</w:t>
      </w:r>
    </w:p>
    <w:p w:rsidR="00AB104E" w:rsidRPr="00F107B5" w:rsidRDefault="00AB104E" w:rsidP="00AB104E">
      <w:pPr>
        <w:jc w:val="both"/>
        <w:rPr>
          <w:rFonts w:ascii="Tahoma" w:hAnsi="Tahoma" w:cs="Tahoma"/>
          <w:b/>
          <w:shadow/>
        </w:rPr>
      </w:pPr>
    </w:p>
    <w:p w:rsidR="00AB104E" w:rsidRDefault="00AB104E" w:rsidP="00AB104E">
      <w:pPr>
        <w:numPr>
          <w:ilvl w:val="0"/>
          <w:numId w:val="1"/>
        </w:numPr>
        <w:tabs>
          <w:tab w:val="clear" w:pos="737"/>
          <w:tab w:val="num" w:pos="540"/>
        </w:tabs>
        <w:ind w:left="540" w:hanging="360"/>
        <w:jc w:val="both"/>
        <w:rPr>
          <w:rFonts w:ascii="Tahoma" w:hAnsi="Tahoma" w:cs="Tahoma"/>
        </w:rPr>
      </w:pPr>
      <w:r w:rsidRPr="00545365">
        <w:rPr>
          <w:rFonts w:ascii="Tahoma" w:hAnsi="Tahoma" w:cs="Tahoma"/>
        </w:rPr>
        <w:t>A través de la publicación efectuada el 12 de octubre de 2006 en el Sistema Electrónico de Contrataciones y adquisiciones del Estado (SEACE), la empresa Petróleos del Perú S.A., en adelante la Entidad, convocó a la Adjudicación Directa Pública N</w:t>
      </w:r>
      <w:proofErr w:type="gramStart"/>
      <w:r w:rsidRPr="00545365">
        <w:rPr>
          <w:rFonts w:ascii="Tahoma" w:hAnsi="Tahoma" w:cs="Tahoma"/>
        </w:rPr>
        <w:t>.º</w:t>
      </w:r>
      <w:proofErr w:type="gramEnd"/>
      <w:r w:rsidRPr="00545365">
        <w:rPr>
          <w:rFonts w:ascii="Tahoma" w:hAnsi="Tahoma" w:cs="Tahoma"/>
        </w:rPr>
        <w:t xml:space="preserve"> 0018-2006-RTL/PETROPERU</w:t>
      </w:r>
      <w:r>
        <w:rPr>
          <w:rFonts w:ascii="Tahoma" w:hAnsi="Tahoma" w:cs="Tahoma"/>
        </w:rPr>
        <w:t>-segunda convocatoria</w:t>
      </w:r>
      <w:r w:rsidRPr="00545365">
        <w:rPr>
          <w:rFonts w:ascii="Tahoma" w:hAnsi="Tahoma" w:cs="Tahoma"/>
        </w:rPr>
        <w:t>, para la adquisición de tubería para el servicio de adecuación de Tanque 156016</w:t>
      </w:r>
      <w:r>
        <w:rPr>
          <w:rFonts w:ascii="Tahoma" w:hAnsi="Tahoma" w:cs="Tahoma"/>
        </w:rPr>
        <w:t>; con un valor referencial de US$ 270.194.70 ( doscientos setenta mil ciento noventa y cuatro con 70/100 d</w:t>
      </w:r>
      <w:r>
        <w:rPr>
          <w:rFonts w:ascii="Arial" w:hAnsi="Arial" w:cs="Arial"/>
        </w:rPr>
        <w:t>ólares americanos ).</w:t>
      </w:r>
    </w:p>
    <w:p w:rsidR="00AB104E" w:rsidRDefault="00AB104E" w:rsidP="00AB104E">
      <w:pPr>
        <w:ind w:left="284"/>
        <w:jc w:val="both"/>
        <w:rPr>
          <w:rFonts w:ascii="Tahoma" w:hAnsi="Tahoma" w:cs="Tahoma"/>
        </w:rPr>
      </w:pPr>
    </w:p>
    <w:p w:rsidR="00AB104E" w:rsidRPr="00545365" w:rsidRDefault="00AB104E" w:rsidP="00AB104E">
      <w:pPr>
        <w:numPr>
          <w:ilvl w:val="0"/>
          <w:numId w:val="1"/>
        </w:numPr>
        <w:tabs>
          <w:tab w:val="clear" w:pos="737"/>
          <w:tab w:val="num" w:pos="540"/>
        </w:tabs>
        <w:ind w:left="540" w:hanging="360"/>
        <w:jc w:val="both"/>
        <w:rPr>
          <w:rFonts w:ascii="Tahoma" w:hAnsi="Tahoma" w:cs="Tahoma"/>
        </w:rPr>
      </w:pPr>
      <w:r>
        <w:rPr>
          <w:rFonts w:ascii="Tahoma" w:hAnsi="Tahoma" w:cs="Tahoma"/>
        </w:rPr>
        <w:t xml:space="preserve">En el Acto Público de Presentación de propuestas participaron las empresas: NIC INDUSTRIAL S.R.L y HP IMPORT S.R.L., siendo ésta última </w:t>
      </w:r>
      <w:r w:rsidRPr="00545365">
        <w:rPr>
          <w:rFonts w:ascii="Tahoma" w:hAnsi="Tahoma" w:cs="Tahoma"/>
        </w:rPr>
        <w:t xml:space="preserve"> la única empresa que accedió a la etapa de evaluación económica,</w:t>
      </w:r>
      <w:r>
        <w:rPr>
          <w:rFonts w:ascii="Tahoma" w:hAnsi="Tahoma" w:cs="Tahoma"/>
        </w:rPr>
        <w:t xml:space="preserve"> en lo sucesivo el Postor, por tal motivo, luego de la respectiva calificación económica</w:t>
      </w:r>
      <w:r w:rsidRPr="00545365">
        <w:rPr>
          <w:rFonts w:ascii="Tahoma" w:hAnsi="Tahoma" w:cs="Tahoma"/>
        </w:rPr>
        <w:t xml:space="preserve"> el 29 de noviembre de 2006</w:t>
      </w:r>
      <w:r>
        <w:rPr>
          <w:rFonts w:ascii="Tahoma" w:hAnsi="Tahoma" w:cs="Tahoma"/>
        </w:rPr>
        <w:t>,</w:t>
      </w:r>
      <w:r w:rsidRPr="00545365">
        <w:rPr>
          <w:rFonts w:ascii="Tahoma" w:hAnsi="Tahoma" w:cs="Tahoma"/>
        </w:rPr>
        <w:t xml:space="preserve"> el Comité Especial a cargo del proceso de selección le otorgó la buena pro respecto de los Ítems </w:t>
      </w:r>
      <w:proofErr w:type="spellStart"/>
      <w:r w:rsidRPr="00545365">
        <w:rPr>
          <w:rFonts w:ascii="Tahoma" w:hAnsi="Tahoma" w:cs="Tahoma"/>
        </w:rPr>
        <w:t>Nros</w:t>
      </w:r>
      <w:proofErr w:type="spellEnd"/>
      <w:r w:rsidRPr="00545365">
        <w:rPr>
          <w:rFonts w:ascii="Tahoma" w:hAnsi="Tahoma" w:cs="Tahoma"/>
        </w:rPr>
        <w:t xml:space="preserve"> 1 al 5.</w:t>
      </w:r>
    </w:p>
    <w:p w:rsidR="00AB104E" w:rsidRPr="00545365" w:rsidRDefault="00AB104E" w:rsidP="00AB104E">
      <w:pPr>
        <w:jc w:val="both"/>
        <w:rPr>
          <w:rFonts w:ascii="Tahoma" w:hAnsi="Tahoma" w:cs="Tahoma"/>
        </w:rPr>
      </w:pPr>
    </w:p>
    <w:p w:rsidR="00AB104E" w:rsidRPr="00545365" w:rsidRDefault="00AB104E" w:rsidP="00AB104E">
      <w:pPr>
        <w:numPr>
          <w:ilvl w:val="0"/>
          <w:numId w:val="1"/>
        </w:numPr>
        <w:tabs>
          <w:tab w:val="clear" w:pos="737"/>
          <w:tab w:val="num" w:pos="540"/>
        </w:tabs>
        <w:ind w:left="540" w:hanging="360"/>
        <w:jc w:val="both"/>
        <w:rPr>
          <w:rFonts w:ascii="Tahoma" w:hAnsi="Tahoma" w:cs="Tahoma"/>
        </w:rPr>
      </w:pPr>
      <w:r w:rsidRPr="00545365">
        <w:rPr>
          <w:rFonts w:ascii="Tahoma" w:hAnsi="Tahoma" w:cs="Tahoma"/>
        </w:rPr>
        <w:t>Mediante Carta N.º TL-ULOG-AD-5174-2006 de fecha 29 de noviembre de 2006, el Comité Especial comunicó al Postor el consentimiento y otorgamiento de la Buena Pro, y</w:t>
      </w:r>
      <w:r w:rsidRPr="00FD11DD">
        <w:rPr>
          <w:rFonts w:ascii="Tahoma" w:hAnsi="Tahoma" w:cs="Tahoma"/>
        </w:rPr>
        <w:t xml:space="preserve"> </w:t>
      </w:r>
      <w:r w:rsidRPr="00545365">
        <w:rPr>
          <w:rFonts w:ascii="Tahoma" w:hAnsi="Tahoma" w:cs="Tahoma"/>
        </w:rPr>
        <w:t xml:space="preserve">mediante Carta N.º TL-ULOG-AD-2268-2006 </w:t>
      </w:r>
      <w:r>
        <w:rPr>
          <w:rFonts w:ascii="Tahoma" w:hAnsi="Tahoma" w:cs="Tahoma"/>
        </w:rPr>
        <w:t>de fecha 30 de noviembre de 2006 y notificada</w:t>
      </w:r>
      <w:r w:rsidRPr="00545365">
        <w:rPr>
          <w:rFonts w:ascii="Tahoma" w:hAnsi="Tahoma" w:cs="Tahoma"/>
        </w:rPr>
        <w:t xml:space="preserve"> el día 04 de diciembre de 2006, se le citó al Postor para que se apersone a la Entidad para la respectiva firma del contrato en un plazo máximo de diez días hábiles, es decir el 20 de diciembre de 2006, y cumpla</w:t>
      </w:r>
      <w:r>
        <w:rPr>
          <w:rFonts w:ascii="Tahoma" w:hAnsi="Tahoma" w:cs="Tahoma"/>
        </w:rPr>
        <w:t xml:space="preserve"> con</w:t>
      </w:r>
      <w:r w:rsidRPr="00545365">
        <w:rPr>
          <w:rFonts w:ascii="Tahoma" w:hAnsi="Tahoma" w:cs="Tahoma"/>
        </w:rPr>
        <w:t xml:space="preserve"> presentar la documentación requerida, </w:t>
      </w:r>
    </w:p>
    <w:p w:rsidR="00AB104E" w:rsidRPr="00545365" w:rsidRDefault="00AB104E" w:rsidP="00AB104E">
      <w:pPr>
        <w:jc w:val="both"/>
        <w:rPr>
          <w:rFonts w:ascii="Tahoma" w:hAnsi="Tahoma" w:cs="Tahoma"/>
        </w:rPr>
      </w:pPr>
    </w:p>
    <w:p w:rsidR="00AB104E" w:rsidRPr="00545365" w:rsidRDefault="00AB104E" w:rsidP="00AB104E">
      <w:pPr>
        <w:numPr>
          <w:ilvl w:val="0"/>
          <w:numId w:val="1"/>
        </w:numPr>
        <w:tabs>
          <w:tab w:val="clear" w:pos="737"/>
          <w:tab w:val="num" w:pos="540"/>
        </w:tabs>
        <w:ind w:left="540" w:hanging="360"/>
        <w:jc w:val="both"/>
        <w:rPr>
          <w:rFonts w:ascii="Tahoma" w:hAnsi="Tahoma" w:cs="Tahoma"/>
        </w:rPr>
      </w:pPr>
      <w:r w:rsidRPr="00545365">
        <w:rPr>
          <w:rFonts w:ascii="Tahoma" w:hAnsi="Tahoma" w:cs="Tahoma"/>
        </w:rPr>
        <w:t>Transcurrido el plazo para la suscripción del contrato sin que el Postor se haya presentado para dichos fines, mediante Carta N</w:t>
      </w:r>
      <w:proofErr w:type="gramStart"/>
      <w:r w:rsidRPr="00545365">
        <w:rPr>
          <w:rFonts w:ascii="Tahoma" w:hAnsi="Tahoma" w:cs="Tahoma"/>
        </w:rPr>
        <w:t>.º</w:t>
      </w:r>
      <w:proofErr w:type="gramEnd"/>
      <w:r w:rsidRPr="00545365">
        <w:rPr>
          <w:rFonts w:ascii="Tahoma" w:hAnsi="Tahoma" w:cs="Tahoma"/>
        </w:rPr>
        <w:t xml:space="preserve"> TL-ULOG-CG-5220-2006 de fecha 21 de diciembre de 2006 se le comunicó la pérdida de la Buena Pro adjudicada por haberse cumplido el plazo máximo para dar inicio a la relación contractual, de conformidad a lo establecido en el inciso 2 del artículo 203.</w:t>
      </w:r>
    </w:p>
    <w:p w:rsidR="00AB104E" w:rsidRPr="00545365" w:rsidRDefault="00AB104E" w:rsidP="00AB104E">
      <w:pPr>
        <w:jc w:val="both"/>
        <w:rPr>
          <w:rFonts w:ascii="Tahoma" w:hAnsi="Tahoma" w:cs="Tahoma"/>
        </w:rPr>
      </w:pPr>
    </w:p>
    <w:p w:rsidR="00AB104E" w:rsidRPr="00545365" w:rsidRDefault="00AB104E" w:rsidP="00AB104E">
      <w:pPr>
        <w:numPr>
          <w:ilvl w:val="0"/>
          <w:numId w:val="1"/>
        </w:numPr>
        <w:tabs>
          <w:tab w:val="num" w:pos="540"/>
        </w:tabs>
        <w:ind w:left="540" w:hanging="360"/>
        <w:jc w:val="both"/>
        <w:rPr>
          <w:rFonts w:ascii="Tahoma" w:hAnsi="Tahoma" w:cs="Tahoma"/>
        </w:rPr>
      </w:pPr>
      <w:r w:rsidRPr="00545365">
        <w:rPr>
          <w:rFonts w:ascii="Tahoma" w:hAnsi="Tahoma" w:cs="Tahoma"/>
        </w:rPr>
        <w:lastRenderedPageBreak/>
        <w:t>Mediante escrito de fecha GOTL-SPAD-ULOG-074-2007 de fecha 29 de marzo de 2007, la Entidad comunicó a este Tribunal los hechos antes expuestos, y mediante decreto de fecha 02 de abril de 2007, se dispuso el inicio del procedimiento administrativo sancionador contra la empresa HP IMPORT S.R.L. por supuesta responsabilidad en la no suscripción del contrato derivado de Adjudicación Directa Pública N.º 0018-2006-RTL/PETROPERU, otorgándole el plazo de diez días para que presente sus descargos, bajo apercibimiento de resolver con la documentación obrante en autos.</w:t>
      </w:r>
    </w:p>
    <w:p w:rsidR="00AB104E" w:rsidRPr="00545365" w:rsidRDefault="00AB104E" w:rsidP="00AB104E">
      <w:pPr>
        <w:jc w:val="both"/>
        <w:rPr>
          <w:rFonts w:ascii="Tahoma" w:hAnsi="Tahoma" w:cs="Tahoma"/>
        </w:rPr>
      </w:pPr>
    </w:p>
    <w:p w:rsidR="00AB104E" w:rsidRPr="00545365" w:rsidRDefault="00AB104E" w:rsidP="00AB104E">
      <w:pPr>
        <w:numPr>
          <w:ilvl w:val="0"/>
          <w:numId w:val="1"/>
        </w:numPr>
        <w:tabs>
          <w:tab w:val="clear" w:pos="737"/>
          <w:tab w:val="num" w:pos="540"/>
          <w:tab w:val="left" w:pos="900"/>
          <w:tab w:val="left" w:pos="1080"/>
        </w:tabs>
        <w:ind w:left="540" w:hanging="360"/>
        <w:jc w:val="both"/>
        <w:rPr>
          <w:rFonts w:ascii="Tahoma" w:hAnsi="Tahoma" w:cs="Tahoma"/>
        </w:rPr>
      </w:pPr>
      <w:r w:rsidRPr="00545365">
        <w:rPr>
          <w:rFonts w:ascii="Tahoma" w:hAnsi="Tahoma" w:cs="Tahoma"/>
        </w:rPr>
        <w:t>Habiéndose vencido el plazo otorgado sin que el Postor cumpla con presentar los descargos respectivos, previa razón de la Secretaría del Tribunal</w:t>
      </w:r>
      <w:r>
        <w:rPr>
          <w:rFonts w:ascii="Tahoma" w:hAnsi="Tahoma" w:cs="Tahoma"/>
        </w:rPr>
        <w:t xml:space="preserve"> se hizo efectivo el apercibimiento decretado y</w:t>
      </w:r>
      <w:r w:rsidRPr="00545365">
        <w:rPr>
          <w:rFonts w:ascii="Tahoma" w:hAnsi="Tahoma" w:cs="Tahoma"/>
        </w:rPr>
        <w:t xml:space="preserve"> se dispus</w:t>
      </w:r>
      <w:r>
        <w:rPr>
          <w:rFonts w:ascii="Tahoma" w:hAnsi="Tahoma" w:cs="Tahoma"/>
        </w:rPr>
        <w:t>o</w:t>
      </w:r>
      <w:r w:rsidRPr="00545365">
        <w:rPr>
          <w:rFonts w:ascii="Tahoma" w:hAnsi="Tahoma" w:cs="Tahoma"/>
        </w:rPr>
        <w:t xml:space="preserve"> la remisión del expediente administrativo a la Tercera Sala del Tribunal para que emita pronunciamiento.</w:t>
      </w:r>
    </w:p>
    <w:p w:rsidR="00AB104E" w:rsidRPr="00F107B5" w:rsidRDefault="00AB104E" w:rsidP="00AB104E">
      <w:pPr>
        <w:pStyle w:val="NormalWeb"/>
        <w:tabs>
          <w:tab w:val="num" w:pos="900"/>
        </w:tabs>
        <w:spacing w:before="0" w:beforeAutospacing="0" w:after="0" w:afterAutospacing="0"/>
        <w:ind w:left="360"/>
        <w:jc w:val="both"/>
        <w:rPr>
          <w:rFonts w:ascii="Tahoma" w:hAnsi="Tahoma" w:cs="Tahoma"/>
          <w:sz w:val="20"/>
          <w:szCs w:val="20"/>
        </w:rPr>
      </w:pPr>
    </w:p>
    <w:p w:rsidR="00AB104E" w:rsidRPr="00F107B5" w:rsidRDefault="00AB104E" w:rsidP="00AB104E">
      <w:pPr>
        <w:jc w:val="both"/>
        <w:rPr>
          <w:rFonts w:ascii="Tahoma" w:hAnsi="Tahoma" w:cs="Tahoma"/>
          <w:b/>
          <w:shadow/>
        </w:rPr>
      </w:pPr>
      <w:r w:rsidRPr="00F107B5">
        <w:rPr>
          <w:rFonts w:ascii="Tahoma" w:hAnsi="Tahoma" w:cs="Tahoma"/>
          <w:b/>
          <w:shadow/>
        </w:rPr>
        <w:t>FUNDAMENTACIÓN:</w:t>
      </w:r>
    </w:p>
    <w:p w:rsidR="00AB104E" w:rsidRPr="00545365" w:rsidRDefault="00AB104E" w:rsidP="00AB104E">
      <w:pPr>
        <w:pStyle w:val="Textoindependiente"/>
        <w:rPr>
          <w:rFonts w:cs="Tahoma"/>
          <w:b/>
          <w:sz w:val="20"/>
          <w:lang w:val="es-MX"/>
        </w:rPr>
      </w:pPr>
    </w:p>
    <w:p w:rsidR="00AB104E" w:rsidRPr="00545365" w:rsidRDefault="00AB104E" w:rsidP="00AB104E">
      <w:pPr>
        <w:numPr>
          <w:ilvl w:val="0"/>
          <w:numId w:val="2"/>
        </w:numPr>
        <w:tabs>
          <w:tab w:val="clear" w:pos="360"/>
          <w:tab w:val="num" w:pos="540"/>
        </w:tabs>
        <w:ind w:left="540"/>
        <w:jc w:val="both"/>
        <w:rPr>
          <w:rFonts w:ascii="Tahoma" w:hAnsi="Tahoma" w:cs="Tahoma"/>
        </w:rPr>
      </w:pPr>
      <w:r w:rsidRPr="00545365">
        <w:rPr>
          <w:rFonts w:ascii="Tahoma" w:hAnsi="Tahoma" w:cs="Tahoma"/>
          <w:lang w:val="es-PE"/>
        </w:rPr>
        <w:t xml:space="preserve">El presente procedimiento administrativo está referido a la supuesta responsabilidad de la empresa </w:t>
      </w:r>
      <w:r w:rsidRPr="00545365">
        <w:rPr>
          <w:rFonts w:ascii="Tahoma" w:hAnsi="Tahoma" w:cs="Tahoma"/>
          <w:b/>
        </w:rPr>
        <w:t>HP IMPORT S.R.L.</w:t>
      </w:r>
      <w:r w:rsidRPr="00545365">
        <w:rPr>
          <w:rFonts w:ascii="Tahoma" w:hAnsi="Tahoma" w:cs="Tahoma"/>
          <w:lang w:val="es-PE"/>
        </w:rPr>
        <w:t xml:space="preserve"> por no suscribir injustificadamente el contrato, respecto de los ítems </w:t>
      </w:r>
      <w:proofErr w:type="spellStart"/>
      <w:r w:rsidRPr="00545365">
        <w:rPr>
          <w:rFonts w:ascii="Tahoma" w:hAnsi="Tahoma" w:cs="Tahoma"/>
          <w:lang w:val="es-PE"/>
        </w:rPr>
        <w:t>Nros</w:t>
      </w:r>
      <w:proofErr w:type="spellEnd"/>
      <w:r w:rsidRPr="00545365">
        <w:rPr>
          <w:rFonts w:ascii="Tahoma" w:hAnsi="Tahoma" w:cs="Tahoma"/>
          <w:lang w:val="es-PE"/>
        </w:rPr>
        <w:t xml:space="preserve"> 1 al 5 de la </w:t>
      </w:r>
      <w:r w:rsidRPr="00545365">
        <w:rPr>
          <w:rFonts w:ascii="Tahoma" w:hAnsi="Tahoma" w:cs="Tahoma"/>
        </w:rPr>
        <w:t>Adjudicación Directa Pública N.º 0018-2006-RTL/PETROPERU, infracción tipificada en el numeral 1) del artículo 294 del Reglamento de la Ley de Contrataciones y Adquisiciones del Estado, aprobado por Decreto Supremo N.° 084-2004-PCM, en adelante el Reglamento, norma vigente al suscitarse los hechos.</w:t>
      </w:r>
    </w:p>
    <w:p w:rsidR="00AB104E" w:rsidRPr="00545365" w:rsidRDefault="00AB104E" w:rsidP="00AB104E">
      <w:pPr>
        <w:jc w:val="both"/>
        <w:rPr>
          <w:rFonts w:ascii="Tahoma" w:hAnsi="Tahoma" w:cs="Tahoma"/>
        </w:rPr>
      </w:pPr>
    </w:p>
    <w:p w:rsidR="00AB104E" w:rsidRPr="00545365" w:rsidRDefault="00AB104E" w:rsidP="00AB104E">
      <w:pPr>
        <w:numPr>
          <w:ilvl w:val="0"/>
          <w:numId w:val="2"/>
        </w:numPr>
        <w:tabs>
          <w:tab w:val="clear" w:pos="360"/>
          <w:tab w:val="num" w:pos="540"/>
        </w:tabs>
        <w:ind w:left="540"/>
        <w:jc w:val="both"/>
        <w:rPr>
          <w:rFonts w:ascii="Tahoma" w:hAnsi="Tahoma" w:cs="Tahoma"/>
        </w:rPr>
      </w:pPr>
      <w:r w:rsidRPr="00545365">
        <w:rPr>
          <w:rFonts w:ascii="Tahoma" w:hAnsi="Tahoma" w:cs="Tahoma"/>
        </w:rPr>
        <w:t xml:space="preserve">El procedimiento para suscribir el contrato ha sido previsto en el numeral 1) del artículo 203 del Reglamento, el cual dispone que dentro de los cinco (05) días hábiles siguientes al consentimiento de la buena pro, la Entidad deberá citar al postor ganador, otorgándole un plazo de diez (10) días hábiles dentro del cual deberá presentarse a suscribir el contrato con toda la documentación requerida. Asimismo, </w:t>
      </w:r>
      <w:r w:rsidRPr="00545365">
        <w:rPr>
          <w:rFonts w:ascii="Tahoma" w:hAnsi="Tahoma" w:cs="Tahoma"/>
          <w:lang w:val="es-ES_tradnl"/>
        </w:rPr>
        <w:t>el citado dispositivo reglamentario precisa que, e</w:t>
      </w:r>
      <w:r w:rsidRPr="00545365">
        <w:rPr>
          <w:rFonts w:ascii="Tahoma" w:hAnsi="Tahoma" w:cs="Tahoma"/>
        </w:rPr>
        <w:t>n caso de que el postor no se presente dentro del plazo otorgado, perderá automáticamente la buena pro, sin perjuicio de la imposición administrativamente aplicable.</w:t>
      </w:r>
    </w:p>
    <w:p w:rsidR="00AB104E" w:rsidRPr="00545365" w:rsidRDefault="00AB104E" w:rsidP="00AB104E">
      <w:pPr>
        <w:jc w:val="both"/>
        <w:rPr>
          <w:rFonts w:ascii="Tahoma" w:hAnsi="Tahoma" w:cs="Tahoma"/>
        </w:rPr>
      </w:pPr>
    </w:p>
    <w:p w:rsidR="00AB104E" w:rsidRDefault="00AB104E" w:rsidP="00AB104E">
      <w:pPr>
        <w:ind w:left="540"/>
        <w:jc w:val="both"/>
        <w:rPr>
          <w:rFonts w:ascii="Tahoma" w:hAnsi="Tahoma" w:cs="Tahoma"/>
          <w:lang w:val="es-ES_tradnl"/>
        </w:rPr>
      </w:pPr>
      <w:r w:rsidRPr="00545365">
        <w:rPr>
          <w:rFonts w:ascii="Tahoma" w:hAnsi="Tahoma" w:cs="Tahoma"/>
          <w:lang w:val="es-ES_tradnl"/>
        </w:rPr>
        <w:t xml:space="preserve">El cumplimiento de este procedimiento es </w:t>
      </w:r>
      <w:r w:rsidRPr="00545365">
        <w:rPr>
          <w:rFonts w:ascii="Tahoma" w:hAnsi="Tahoma" w:cs="Tahoma"/>
          <w:b/>
          <w:i/>
          <w:lang w:val="es-ES_tradnl"/>
        </w:rPr>
        <w:t>condición necesaria</w:t>
      </w:r>
      <w:r w:rsidRPr="00545365">
        <w:rPr>
          <w:rFonts w:ascii="Tahoma" w:hAnsi="Tahoma" w:cs="Tahoma"/>
          <w:lang w:val="es-ES_tradnl"/>
        </w:rPr>
        <w:t xml:space="preserve"> para evaluar la existencia de eventuales responsabilidades por la comisión de la infracción tipificada en el numeral 1) del artículo 205 del Reglamento.</w:t>
      </w:r>
    </w:p>
    <w:p w:rsidR="00AB104E" w:rsidRPr="00545365" w:rsidRDefault="00AB104E" w:rsidP="00AB104E">
      <w:pPr>
        <w:ind w:left="180"/>
        <w:jc w:val="both"/>
        <w:rPr>
          <w:rFonts w:ascii="Tahoma" w:hAnsi="Tahoma" w:cs="Tahoma"/>
        </w:rPr>
      </w:pPr>
    </w:p>
    <w:p w:rsidR="00AB104E" w:rsidRDefault="00AB104E" w:rsidP="00AB104E">
      <w:pPr>
        <w:numPr>
          <w:ilvl w:val="0"/>
          <w:numId w:val="2"/>
        </w:numPr>
        <w:tabs>
          <w:tab w:val="clear" w:pos="360"/>
          <w:tab w:val="num" w:pos="540"/>
        </w:tabs>
        <w:ind w:left="540"/>
        <w:jc w:val="both"/>
        <w:rPr>
          <w:rFonts w:ascii="Tahoma" w:hAnsi="Tahoma" w:cs="Tahoma"/>
          <w:lang w:val="es-ES_tradnl"/>
        </w:rPr>
      </w:pPr>
      <w:r w:rsidRPr="00545365">
        <w:rPr>
          <w:rFonts w:ascii="Tahoma" w:hAnsi="Tahoma" w:cs="Tahoma"/>
          <w:lang w:val="es-ES_tradnl"/>
        </w:rPr>
        <w:t>En ese sentido, corresponde determinar de manera previa, si la Entidad ha seguido el debido procedimiento para suscribir el contrato. En tal sentido, cabe señalar que el día a partir del cual se empieza a computar los diez (10) días hábiles  para que el Postor Adjudicatario se apersone a suscribir el contrato a la Entidad, debe iniciarse a partir del día siguiente que toma conocimiento del documento que contiene la citación para que se apersone a suscribir el mismo. El artículo 203 del Reglamento es imperativo al otorgar dicho plazo, el cual deber ser respetado por las Entidades, más aún, tratándose de un plazo que ha sido otorgado en beneficio de los administrados.</w:t>
      </w:r>
    </w:p>
    <w:p w:rsidR="00AB104E" w:rsidRDefault="00AB104E" w:rsidP="00AB104E">
      <w:pPr>
        <w:jc w:val="both"/>
        <w:rPr>
          <w:rFonts w:ascii="Tahoma" w:hAnsi="Tahoma" w:cs="Tahoma"/>
          <w:lang w:val="es-ES_tradnl"/>
        </w:rPr>
      </w:pPr>
    </w:p>
    <w:p w:rsidR="00AB104E" w:rsidRDefault="00AB104E" w:rsidP="00AB104E">
      <w:pPr>
        <w:numPr>
          <w:ilvl w:val="0"/>
          <w:numId w:val="2"/>
        </w:numPr>
        <w:tabs>
          <w:tab w:val="clear" w:pos="360"/>
          <w:tab w:val="num" w:pos="540"/>
        </w:tabs>
        <w:ind w:left="540"/>
        <w:jc w:val="both"/>
        <w:rPr>
          <w:rFonts w:ascii="Tahoma" w:hAnsi="Tahoma" w:cs="Tahoma"/>
        </w:rPr>
      </w:pPr>
      <w:r w:rsidRPr="00545365">
        <w:rPr>
          <w:rFonts w:ascii="Tahoma" w:hAnsi="Tahoma" w:cs="Tahoma"/>
          <w:lang w:val="es-ES_tradnl"/>
        </w:rPr>
        <w:t>En el presente caso, la Entidad señaló que mediante</w:t>
      </w:r>
      <w:r w:rsidRPr="00545365">
        <w:rPr>
          <w:rFonts w:ascii="Tahoma" w:hAnsi="Tahoma" w:cs="Tahoma"/>
        </w:rPr>
        <w:t xml:space="preserve"> Carta N</w:t>
      </w:r>
      <w:proofErr w:type="gramStart"/>
      <w:r w:rsidRPr="00545365">
        <w:rPr>
          <w:rFonts w:ascii="Tahoma" w:hAnsi="Tahoma" w:cs="Tahoma"/>
        </w:rPr>
        <w:t>.º</w:t>
      </w:r>
      <w:proofErr w:type="gramEnd"/>
      <w:r w:rsidRPr="00545365">
        <w:rPr>
          <w:rFonts w:ascii="Tahoma" w:hAnsi="Tahoma" w:cs="Tahoma"/>
        </w:rPr>
        <w:t xml:space="preserve"> TL-ULOG-CG-2268-2006</w:t>
      </w:r>
      <w:r w:rsidRPr="00545365">
        <w:rPr>
          <w:rStyle w:val="Refdenotaalpie"/>
          <w:rFonts w:ascii="Tahoma" w:hAnsi="Tahoma" w:cs="Tahoma"/>
        </w:rPr>
        <w:footnoteReference w:id="2"/>
      </w:r>
      <w:r w:rsidRPr="00545365">
        <w:rPr>
          <w:rFonts w:ascii="Tahoma" w:hAnsi="Tahoma" w:cs="Tahoma"/>
        </w:rPr>
        <w:t xml:space="preserve"> de fecha 30 de noviembre de 2006</w:t>
      </w:r>
      <w:r w:rsidRPr="00545365">
        <w:rPr>
          <w:rFonts w:ascii="Tahoma" w:hAnsi="Tahoma" w:cs="Tahoma"/>
          <w:lang w:val="es-ES_tradnl"/>
        </w:rPr>
        <w:t xml:space="preserve"> </w:t>
      </w:r>
      <w:r>
        <w:rPr>
          <w:rFonts w:ascii="Tahoma" w:hAnsi="Tahoma" w:cs="Tahoma"/>
          <w:lang w:val="es-ES_tradnl"/>
        </w:rPr>
        <w:t xml:space="preserve">y notificada el 04 de diciembre de 2006, se </w:t>
      </w:r>
      <w:r w:rsidRPr="00545365">
        <w:rPr>
          <w:rFonts w:ascii="Tahoma" w:hAnsi="Tahoma" w:cs="Tahoma"/>
          <w:lang w:val="es-ES_tradnl"/>
        </w:rPr>
        <w:t>c</w:t>
      </w:r>
      <w:r>
        <w:rPr>
          <w:rFonts w:ascii="Tahoma" w:hAnsi="Tahoma" w:cs="Tahoma"/>
          <w:lang w:val="es-ES_tradnl"/>
        </w:rPr>
        <w:t>itó al Postor para</w:t>
      </w:r>
      <w:r w:rsidRPr="00545365">
        <w:rPr>
          <w:rFonts w:ascii="Tahoma" w:hAnsi="Tahoma" w:cs="Tahoma"/>
          <w:lang w:val="es-ES_tradnl"/>
        </w:rPr>
        <w:t xml:space="preserve"> la respectiva firma del contrato, el cual a pesar de dicha comunicación debidamente diligenciada, no se apersonó para la realización del </w:t>
      </w:r>
      <w:r w:rsidRPr="00545365">
        <w:rPr>
          <w:rFonts w:ascii="Tahoma" w:hAnsi="Tahoma" w:cs="Tahoma"/>
        </w:rPr>
        <w:t xml:space="preserve">acto jurídico contractual, por lo que la Entidad le revocó la buena pro. </w:t>
      </w:r>
    </w:p>
    <w:p w:rsidR="00AB104E" w:rsidRDefault="00AB104E" w:rsidP="00AB104E">
      <w:pPr>
        <w:jc w:val="both"/>
        <w:rPr>
          <w:rFonts w:ascii="Tahoma" w:hAnsi="Tahoma" w:cs="Tahoma"/>
        </w:rPr>
      </w:pPr>
    </w:p>
    <w:p w:rsidR="00AB104E" w:rsidRDefault="00AB104E" w:rsidP="00AB104E">
      <w:pPr>
        <w:numPr>
          <w:ilvl w:val="0"/>
          <w:numId w:val="2"/>
        </w:numPr>
        <w:tabs>
          <w:tab w:val="clear" w:pos="360"/>
          <w:tab w:val="num" w:pos="540"/>
        </w:tabs>
        <w:ind w:left="540"/>
        <w:jc w:val="both"/>
        <w:rPr>
          <w:rFonts w:ascii="Tahoma" w:hAnsi="Tahoma" w:cs="Tahoma"/>
        </w:rPr>
      </w:pPr>
      <w:r w:rsidRPr="00DC43C2">
        <w:rPr>
          <w:rFonts w:ascii="Tahoma" w:hAnsi="Tahoma" w:cs="Tahoma"/>
        </w:rPr>
        <w:lastRenderedPageBreak/>
        <w:t xml:space="preserve">En razón a lo expuesto, habiéndose verificado que la Entidad cumplió las formalidades y procedimientos para la suscripción del contrato, corresponde a este Colegiado determinar si dicha omisión resultó justificada o no, en tanto que solamente la no suscripción que obedece a causas injustificadas atribuibles al Postor es sancionable administrativamente.  </w:t>
      </w:r>
    </w:p>
    <w:p w:rsidR="00AB104E" w:rsidRDefault="00AB104E" w:rsidP="00AB104E">
      <w:pPr>
        <w:jc w:val="both"/>
        <w:rPr>
          <w:rFonts w:ascii="Tahoma" w:hAnsi="Tahoma" w:cs="Tahoma"/>
        </w:rPr>
      </w:pPr>
    </w:p>
    <w:p w:rsidR="00AB104E" w:rsidRDefault="00AB104E" w:rsidP="00AB104E">
      <w:pPr>
        <w:numPr>
          <w:ilvl w:val="0"/>
          <w:numId w:val="2"/>
        </w:numPr>
        <w:tabs>
          <w:tab w:val="clear" w:pos="360"/>
          <w:tab w:val="num" w:pos="540"/>
        </w:tabs>
        <w:ind w:left="540"/>
        <w:jc w:val="both"/>
        <w:rPr>
          <w:rFonts w:ascii="Tahoma" w:hAnsi="Tahoma" w:cs="Tahoma"/>
        </w:rPr>
      </w:pPr>
      <w:r w:rsidRPr="00190F26">
        <w:rPr>
          <w:rFonts w:ascii="Tahoma" w:hAnsi="Tahoma" w:cs="Tahoma"/>
        </w:rPr>
        <w:t>Al respecto, este Colegiado se encuentra imposibilitado de evaluar los hechos que puedan justificar la no suscripción del contrato puesto que, el Postor no cumplió con presentar medio defensa alguno que desvirtúe lo hasta aquí probado, a pesar de haber sido requerido válidamente para dichos fines, en tal sentido, le es aplicable la presunción legal</w:t>
      </w:r>
      <w:r w:rsidRPr="00190F26">
        <w:rPr>
          <w:rStyle w:val="Refdenotaalpie"/>
          <w:rFonts w:ascii="Tahoma" w:hAnsi="Tahoma" w:cs="Tahoma"/>
        </w:rPr>
        <w:footnoteReference w:id="3"/>
      </w:r>
      <w:r w:rsidRPr="00190F26">
        <w:rPr>
          <w:rFonts w:ascii="Tahoma" w:hAnsi="Tahoma" w:cs="Tahoma"/>
        </w:rPr>
        <w:t xml:space="preserve"> de que éste incumplimiento se produjo por la falta de diligencia del postor adjudicado con la buena pro, lo cual implica que es su deber demostrar lo contrario. Es decir, acreditar que, no obstante haber actuado con la diligencia ordinaria le fue imposible suscribir el contrato respectivo debido a factores ajenos a su voluntad por haber mediado caso fortuito o fuerza mayor, situación que no ocurrió en el presente caso.</w:t>
      </w:r>
    </w:p>
    <w:p w:rsidR="00AB104E" w:rsidRDefault="00AB104E" w:rsidP="00AB104E">
      <w:pPr>
        <w:jc w:val="both"/>
        <w:rPr>
          <w:rFonts w:ascii="Tahoma" w:hAnsi="Tahoma" w:cs="Tahoma"/>
        </w:rPr>
      </w:pPr>
    </w:p>
    <w:p w:rsidR="00AB104E" w:rsidRPr="00190F26" w:rsidRDefault="00AB104E" w:rsidP="00AB104E">
      <w:pPr>
        <w:numPr>
          <w:ilvl w:val="0"/>
          <w:numId w:val="2"/>
        </w:numPr>
        <w:tabs>
          <w:tab w:val="clear" w:pos="360"/>
          <w:tab w:val="num" w:pos="540"/>
        </w:tabs>
        <w:ind w:left="540"/>
        <w:jc w:val="both"/>
        <w:rPr>
          <w:rFonts w:ascii="Tahoma" w:hAnsi="Tahoma" w:cs="Tahoma"/>
        </w:rPr>
      </w:pPr>
      <w:r w:rsidRPr="00190F26">
        <w:rPr>
          <w:rFonts w:ascii="Tahoma" w:hAnsi="Tahoma" w:cs="Tahoma"/>
        </w:rPr>
        <w:t>Asimismo, a modo de aclaración, es conveniente señalar que el caso fortuito o la fuerza mayor constituyen figuras previstas por el ordenamiento jurídico y son definidas, por lo general, como sucesos o acontecimientos inopinados e imprevistos o cuyo resultado, siendo previsibles, no han podido evitarse o resistirse</w:t>
      </w:r>
      <w:r w:rsidRPr="00190F26">
        <w:rPr>
          <w:rStyle w:val="Refdenotaalpie"/>
          <w:rFonts w:ascii="Tahoma" w:hAnsi="Tahoma" w:cs="Tahoma"/>
        </w:rPr>
        <w:footnoteReference w:id="4"/>
      </w:r>
      <w:r w:rsidRPr="00190F26">
        <w:rPr>
          <w:rFonts w:ascii="Tahoma" w:hAnsi="Tahoma" w:cs="Tahoma"/>
        </w:rPr>
        <w:t>.</w:t>
      </w:r>
    </w:p>
    <w:p w:rsidR="00AB104E" w:rsidRPr="00190F26" w:rsidRDefault="00AB104E" w:rsidP="00AB104E">
      <w:pPr>
        <w:jc w:val="both"/>
        <w:rPr>
          <w:rFonts w:ascii="Tahoma" w:hAnsi="Tahoma" w:cs="Tahoma"/>
        </w:rPr>
      </w:pPr>
    </w:p>
    <w:p w:rsidR="00AB104E" w:rsidRPr="00190F26" w:rsidRDefault="00AB104E" w:rsidP="00AB104E">
      <w:pPr>
        <w:numPr>
          <w:ilvl w:val="0"/>
          <w:numId w:val="2"/>
        </w:numPr>
        <w:tabs>
          <w:tab w:val="clear" w:pos="360"/>
          <w:tab w:val="num" w:pos="540"/>
        </w:tabs>
        <w:ind w:left="540"/>
        <w:jc w:val="both"/>
        <w:rPr>
          <w:rFonts w:ascii="Tahoma" w:hAnsi="Tahoma" w:cs="Tahoma"/>
        </w:rPr>
      </w:pPr>
      <w:r w:rsidRPr="00190F26">
        <w:rPr>
          <w:rFonts w:ascii="Tahoma" w:hAnsi="Tahoma" w:cs="Tahoma"/>
        </w:rPr>
        <w:t>Teniendo en cuenta lo antes desarrollado, se concluye que el Postor incurrió en responsabilidad administrativa por la comisión de la infracción imputada, al no haber alegado una causa justificada que lo exima de sanción.</w:t>
      </w:r>
    </w:p>
    <w:p w:rsidR="00AB104E" w:rsidRPr="00190F26" w:rsidRDefault="00AB104E" w:rsidP="00AB104E">
      <w:pPr>
        <w:jc w:val="both"/>
        <w:rPr>
          <w:rFonts w:ascii="Tahoma" w:hAnsi="Tahoma" w:cs="Tahoma"/>
        </w:rPr>
      </w:pPr>
    </w:p>
    <w:p w:rsidR="00AB104E" w:rsidRPr="00190F26" w:rsidRDefault="00AB104E" w:rsidP="00AB104E">
      <w:pPr>
        <w:numPr>
          <w:ilvl w:val="0"/>
          <w:numId w:val="2"/>
        </w:numPr>
        <w:tabs>
          <w:tab w:val="clear" w:pos="360"/>
          <w:tab w:val="num" w:pos="540"/>
        </w:tabs>
        <w:ind w:left="540"/>
        <w:jc w:val="both"/>
        <w:rPr>
          <w:rFonts w:ascii="Tahoma" w:hAnsi="Tahoma" w:cs="Tahoma"/>
        </w:rPr>
      </w:pPr>
      <w:r w:rsidRPr="00190F26">
        <w:rPr>
          <w:rFonts w:ascii="Tahoma" w:hAnsi="Tahoma" w:cs="Tahoma"/>
        </w:rPr>
        <w:t xml:space="preserve">En relación a la graduación de la sanción imponible, es preciso señalar que el artículo 294 del Reglamento establece que aquellos postores que no suscriban injustificadamente el contrato correspondiente serán sancionados con inhabilitación temporal para contratar con el Estado por un periodo no menor de  un (01) año ni mayor de dos (02) años.  </w:t>
      </w:r>
    </w:p>
    <w:p w:rsidR="00AB104E" w:rsidRPr="00190F26" w:rsidRDefault="00AB104E" w:rsidP="00AB104E">
      <w:pPr>
        <w:jc w:val="both"/>
        <w:rPr>
          <w:rFonts w:ascii="Tahoma" w:hAnsi="Tahoma" w:cs="Tahoma"/>
        </w:rPr>
      </w:pPr>
    </w:p>
    <w:p w:rsidR="00AB104E" w:rsidRPr="00190F26" w:rsidRDefault="00AB104E" w:rsidP="00AB104E">
      <w:pPr>
        <w:numPr>
          <w:ilvl w:val="0"/>
          <w:numId w:val="2"/>
        </w:numPr>
        <w:tabs>
          <w:tab w:val="clear" w:pos="360"/>
          <w:tab w:val="num" w:pos="540"/>
        </w:tabs>
        <w:ind w:left="540"/>
        <w:jc w:val="both"/>
        <w:rPr>
          <w:rFonts w:ascii="Tahoma" w:hAnsi="Tahoma" w:cs="Tahoma"/>
        </w:rPr>
      </w:pPr>
      <w:r w:rsidRPr="00190F26">
        <w:rPr>
          <w:rFonts w:ascii="Tahoma" w:hAnsi="Tahoma" w:cs="Tahoma"/>
        </w:rPr>
        <w:t>Sobre el particular, en aplicación a lo dispuesto en el numeral 3 del artículo 230</w:t>
      </w:r>
      <w:r w:rsidRPr="00190F26">
        <w:rPr>
          <w:rFonts w:ascii="Tahoma" w:hAnsi="Tahoma" w:cs="Tahoma"/>
          <w:vertAlign w:val="superscript"/>
        </w:rPr>
        <w:footnoteReference w:id="5"/>
      </w:r>
      <w:r w:rsidRPr="00190F26">
        <w:rPr>
          <w:rFonts w:ascii="Tahoma" w:hAnsi="Tahoma" w:cs="Tahoma"/>
        </w:rPr>
        <w:t xml:space="preserve"> de la Ley del Procedimiento Administrativo General, referido al principio de razonabilidad, y en concordancia con el artículo 302 del Reglamento, que establece como factores a ser tomados en cuenta la intencionalidad, </w:t>
      </w:r>
      <w:proofErr w:type="spellStart"/>
      <w:r w:rsidRPr="00190F26">
        <w:rPr>
          <w:rFonts w:ascii="Tahoma" w:hAnsi="Tahoma" w:cs="Tahoma"/>
        </w:rPr>
        <w:t>reiterancia</w:t>
      </w:r>
      <w:proofErr w:type="spellEnd"/>
      <w:r w:rsidRPr="00190F26">
        <w:rPr>
          <w:rFonts w:ascii="Tahoma" w:hAnsi="Tahoma" w:cs="Tahoma"/>
        </w:rPr>
        <w:t xml:space="preserve">, daño causado, circunstancias y conducta procesal del infractor, debe considerarse para este caso, el flagrante incumplimiento por parte del Postor en no suscribir el contrato respectivo, la falta de apersonamiento al presente procedimiento administrativo seguido en su contra, así como el perjuicio que dicho incumplimiento causó a la Entidad, al presentarse a un proceso de selección y no cumplir con vincularse contractualmente  en su condición de ganador de la </w:t>
      </w:r>
      <w:r w:rsidRPr="00190F26">
        <w:rPr>
          <w:rFonts w:ascii="Tahoma" w:hAnsi="Tahoma" w:cs="Tahoma"/>
        </w:rPr>
        <w:lastRenderedPageBreak/>
        <w:t xml:space="preserve">Buena Pro, habiendo sido el único participante en el mencionado proceso. Asimismo,   atendiendo a la naturaleza de la infracción cometida, el monto del valor referencial  involucrado en el proceso de selección y el hecho que el Postor carece de antecedentes en lo que respecta a haber sido inhabilitado por contratar con el Estado, este Tribunal considera pertinente imponer dieciséis meses de sanción administrativa.              </w:t>
      </w:r>
    </w:p>
    <w:p w:rsidR="00AB104E" w:rsidRPr="00190F26" w:rsidRDefault="00AB104E" w:rsidP="00AB104E">
      <w:pPr>
        <w:ind w:left="900" w:hanging="720"/>
        <w:jc w:val="both"/>
        <w:rPr>
          <w:rFonts w:ascii="Tahoma" w:hAnsi="Tahoma" w:cs="Tahoma"/>
          <w:lang w:val="es-ES_tradnl"/>
        </w:rPr>
      </w:pPr>
    </w:p>
    <w:p w:rsidR="00AB104E" w:rsidRPr="00F107B5" w:rsidRDefault="00AB104E" w:rsidP="00AB104E">
      <w:pPr>
        <w:ind w:left="900" w:hanging="720"/>
        <w:jc w:val="both"/>
        <w:rPr>
          <w:rFonts w:ascii="Tahoma" w:hAnsi="Tahoma" w:cs="Tahoma"/>
        </w:rPr>
      </w:pPr>
    </w:p>
    <w:p w:rsidR="00AB104E" w:rsidRPr="00F107B5" w:rsidRDefault="00AB104E" w:rsidP="00AB104E">
      <w:pPr>
        <w:jc w:val="both"/>
        <w:rPr>
          <w:rFonts w:ascii="Tahoma" w:hAnsi="Tahoma" w:cs="Tahoma"/>
        </w:rPr>
      </w:pPr>
      <w:r w:rsidRPr="00F107B5">
        <w:rPr>
          <w:rFonts w:ascii="Tahoma" w:hAnsi="Tahoma" w:cs="Tahoma"/>
        </w:rPr>
        <w:t xml:space="preserve">Por estos fundamentos, de conformidad con el informe de la Vocal Ponente doctora </w:t>
      </w:r>
      <w:proofErr w:type="spellStart"/>
      <w:r w:rsidRPr="00F107B5">
        <w:rPr>
          <w:rFonts w:ascii="Tahoma" w:hAnsi="Tahoma" w:cs="Tahoma"/>
        </w:rPr>
        <w:t>Janette</w:t>
      </w:r>
      <w:proofErr w:type="spellEnd"/>
      <w:r w:rsidRPr="00F107B5">
        <w:rPr>
          <w:rFonts w:ascii="Tahoma" w:hAnsi="Tahoma" w:cs="Tahoma"/>
        </w:rPr>
        <w:t xml:space="preserve"> </w:t>
      </w:r>
      <w:proofErr w:type="spellStart"/>
      <w:r w:rsidRPr="00F107B5">
        <w:rPr>
          <w:rFonts w:ascii="Tahoma" w:hAnsi="Tahoma" w:cs="Tahoma"/>
        </w:rPr>
        <w:t>Elke</w:t>
      </w:r>
      <w:proofErr w:type="spellEnd"/>
      <w:r w:rsidRPr="00F107B5">
        <w:rPr>
          <w:rFonts w:ascii="Tahoma" w:hAnsi="Tahoma" w:cs="Tahoma"/>
        </w:rPr>
        <w:t xml:space="preserve"> Ramírez </w:t>
      </w:r>
      <w:proofErr w:type="spellStart"/>
      <w:r w:rsidRPr="00F107B5">
        <w:rPr>
          <w:rFonts w:ascii="Tahoma" w:hAnsi="Tahoma" w:cs="Tahoma"/>
        </w:rPr>
        <w:t>Maynetto</w:t>
      </w:r>
      <w:proofErr w:type="spellEnd"/>
      <w:r w:rsidRPr="00F107B5">
        <w:rPr>
          <w:rFonts w:ascii="Tahoma" w:hAnsi="Tahoma" w:cs="Tahoma"/>
        </w:rPr>
        <w:t xml:space="preserve">, con la intervención de los doctores Juan Carlos Valdivia </w:t>
      </w:r>
      <w:proofErr w:type="spellStart"/>
      <w:r w:rsidRPr="00F107B5">
        <w:rPr>
          <w:rFonts w:ascii="Tahoma" w:hAnsi="Tahoma" w:cs="Tahoma"/>
        </w:rPr>
        <w:t>Huaringa</w:t>
      </w:r>
      <w:proofErr w:type="spellEnd"/>
      <w:r w:rsidRPr="00F107B5">
        <w:rPr>
          <w:rFonts w:ascii="Tahoma" w:hAnsi="Tahoma" w:cs="Tahoma"/>
        </w:rPr>
        <w:t xml:space="preserve"> y Carlos Vicente Navas Rondón, atendiendo a la </w:t>
      </w:r>
      <w:proofErr w:type="spellStart"/>
      <w:r w:rsidRPr="00F107B5">
        <w:rPr>
          <w:rFonts w:ascii="Tahoma" w:hAnsi="Tahoma" w:cs="Tahoma"/>
        </w:rPr>
        <w:t>reconformación</w:t>
      </w:r>
      <w:proofErr w:type="spellEnd"/>
      <w:r w:rsidRPr="00F107B5">
        <w:rPr>
          <w:rFonts w:ascii="Tahoma" w:hAnsi="Tahoma" w:cs="Tahoma"/>
        </w:rPr>
        <w:t xml:space="preserve"> de </w:t>
      </w:r>
      <w:smartTag w:uri="urn:schemas-microsoft-com:office:smarttags" w:element="PersonName">
        <w:smartTagPr>
          <w:attr w:name="ProductID" w:val="la Tercera Sala"/>
        </w:smartTagPr>
        <w:r w:rsidRPr="00F107B5">
          <w:rPr>
            <w:rFonts w:ascii="Tahoma" w:hAnsi="Tahoma" w:cs="Tahoma"/>
          </w:rPr>
          <w:t>la Tercera Sala</w:t>
        </w:r>
      </w:smartTag>
      <w:r w:rsidRPr="00F107B5">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F107B5">
          <w:rPr>
            <w:rFonts w:ascii="Tahoma" w:hAnsi="Tahoma" w:cs="Tahoma"/>
          </w:rPr>
          <w:t>la Resolución N.º</w:t>
        </w:r>
      </w:smartTag>
      <w:r w:rsidRPr="00F107B5">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F107B5">
          <w:rPr>
            <w:rFonts w:ascii="Tahoma" w:hAnsi="Tahoma" w:cs="Tahoma"/>
          </w:rPr>
          <w:t>la Ley</w:t>
        </w:r>
      </w:smartTag>
      <w:r w:rsidRPr="00F107B5">
        <w:rPr>
          <w:rFonts w:ascii="Tahoma" w:hAnsi="Tahoma" w:cs="Tahoma"/>
        </w:rPr>
        <w:t xml:space="preserve"> de Contrataciones y Adquisiciones del Estado, aprobado por Decreto Supremo N.º 083-2004-PCM, su Reglamento, aprobado por Decreto Supremo N.º 084-2004-PCM, y los artículos 17 y 18 del Reglamento de Organización y Funciones del CONSUCODE, aprobado por Decreto Supremos N.º 054-2007-EF; analizados los antecedentes y luego de agotado el correspondiente debate, por unanimidad;</w:t>
      </w:r>
    </w:p>
    <w:p w:rsidR="00AB104E" w:rsidRPr="00F107B5" w:rsidRDefault="00AB104E" w:rsidP="00AB104E">
      <w:pPr>
        <w:tabs>
          <w:tab w:val="num" w:pos="360"/>
        </w:tabs>
        <w:ind w:left="-180" w:firstLine="180"/>
        <w:jc w:val="both"/>
        <w:rPr>
          <w:rFonts w:ascii="Tahoma" w:hAnsi="Tahoma" w:cs="Tahoma"/>
          <w:b/>
          <w:shadow/>
        </w:rPr>
      </w:pPr>
    </w:p>
    <w:p w:rsidR="00AB104E" w:rsidRPr="00F107B5" w:rsidRDefault="00AB104E" w:rsidP="00AB104E">
      <w:pPr>
        <w:tabs>
          <w:tab w:val="num" w:pos="360"/>
        </w:tabs>
        <w:ind w:left="-180" w:firstLine="180"/>
        <w:jc w:val="both"/>
        <w:rPr>
          <w:rFonts w:ascii="Tahoma" w:hAnsi="Tahoma" w:cs="Tahoma"/>
          <w:b/>
          <w:shadow/>
        </w:rPr>
      </w:pPr>
      <w:r w:rsidRPr="00F107B5">
        <w:rPr>
          <w:rFonts w:ascii="Tahoma" w:hAnsi="Tahoma" w:cs="Tahoma"/>
          <w:b/>
          <w:shadow/>
        </w:rPr>
        <w:t>LA SALA RESUELVE:</w:t>
      </w:r>
    </w:p>
    <w:p w:rsidR="00AB104E" w:rsidRPr="00545365" w:rsidRDefault="00AB104E" w:rsidP="00AB104E">
      <w:pPr>
        <w:jc w:val="both"/>
        <w:rPr>
          <w:rFonts w:ascii="Tahoma" w:hAnsi="Tahoma" w:cs="Tahoma"/>
        </w:rPr>
      </w:pPr>
    </w:p>
    <w:p w:rsidR="00AB104E" w:rsidRPr="00545365" w:rsidRDefault="00AB104E" w:rsidP="00AB104E">
      <w:pPr>
        <w:pStyle w:val="Textoindependiente"/>
        <w:widowControl/>
        <w:numPr>
          <w:ilvl w:val="0"/>
          <w:numId w:val="3"/>
        </w:numPr>
        <w:tabs>
          <w:tab w:val="clear" w:pos="720"/>
          <w:tab w:val="num" w:pos="360"/>
        </w:tabs>
        <w:suppressAutoHyphens w:val="0"/>
        <w:ind w:left="540"/>
        <w:rPr>
          <w:rFonts w:cs="Tahoma"/>
          <w:sz w:val="20"/>
        </w:rPr>
      </w:pPr>
      <w:r w:rsidRPr="00545365">
        <w:rPr>
          <w:rFonts w:cs="Tahoma"/>
          <w:sz w:val="20"/>
        </w:rPr>
        <w:t xml:space="preserve"> Sancionar </w:t>
      </w:r>
      <w:r>
        <w:rPr>
          <w:rFonts w:cs="Tahoma"/>
          <w:sz w:val="20"/>
        </w:rPr>
        <w:t xml:space="preserve">a la empresa </w:t>
      </w:r>
      <w:r w:rsidRPr="00C329AC">
        <w:rPr>
          <w:rFonts w:cs="Tahoma"/>
          <w:b/>
          <w:sz w:val="20"/>
        </w:rPr>
        <w:t>HP IMPORT S.R.L.</w:t>
      </w:r>
      <w:r w:rsidRPr="00545365">
        <w:rPr>
          <w:rFonts w:cs="Tahoma"/>
          <w:sz w:val="20"/>
        </w:rPr>
        <w:t xml:space="preserve"> con </w:t>
      </w:r>
      <w:proofErr w:type="spellStart"/>
      <w:r>
        <w:rPr>
          <w:rFonts w:cs="Tahoma"/>
          <w:b/>
          <w:sz w:val="20"/>
        </w:rPr>
        <w:t>dieciseis</w:t>
      </w:r>
      <w:proofErr w:type="spellEnd"/>
      <w:r w:rsidRPr="00545365">
        <w:rPr>
          <w:rFonts w:cs="Tahoma"/>
          <w:b/>
          <w:sz w:val="20"/>
        </w:rPr>
        <w:t xml:space="preserve"> (1</w:t>
      </w:r>
      <w:r>
        <w:rPr>
          <w:rFonts w:cs="Tahoma"/>
          <w:b/>
          <w:sz w:val="20"/>
        </w:rPr>
        <w:t>6</w:t>
      </w:r>
      <w:r w:rsidRPr="00545365">
        <w:rPr>
          <w:rFonts w:cs="Tahoma"/>
          <w:b/>
          <w:sz w:val="20"/>
        </w:rPr>
        <w:t>)</w:t>
      </w:r>
      <w:r w:rsidRPr="00545365">
        <w:rPr>
          <w:rFonts w:cs="Tahoma"/>
          <w:sz w:val="20"/>
        </w:rPr>
        <w:t xml:space="preserve"> meses de inhabilitación temporal en su derecho de participar en procesos de selección y contratar con el Estado por la comisión de la infracción tipificada en el numeral 1) del artículo 294 del Reglamento de la Ley de Contrataciones y Adquisiciones del Estado, aprobado por Decreto Supremo N.° 084-2004-PCM, sanción que tendrá vigencia a partir del cuarto día hábil siguiente de notificada la presente resolución.</w:t>
      </w:r>
    </w:p>
    <w:p w:rsidR="00AB104E" w:rsidRPr="00545365" w:rsidRDefault="00AB104E" w:rsidP="00AB104E">
      <w:pPr>
        <w:pStyle w:val="Textoindependiente"/>
        <w:ind w:left="180"/>
        <w:rPr>
          <w:rFonts w:cs="Tahoma"/>
          <w:sz w:val="20"/>
        </w:rPr>
      </w:pPr>
    </w:p>
    <w:p w:rsidR="00AB104E" w:rsidRPr="00545365" w:rsidRDefault="00AB104E" w:rsidP="00AB104E">
      <w:pPr>
        <w:pStyle w:val="Textoindependiente"/>
        <w:widowControl/>
        <w:numPr>
          <w:ilvl w:val="0"/>
          <w:numId w:val="3"/>
        </w:numPr>
        <w:tabs>
          <w:tab w:val="clear" w:pos="720"/>
          <w:tab w:val="num" w:pos="360"/>
        </w:tabs>
        <w:suppressAutoHyphens w:val="0"/>
        <w:ind w:left="540"/>
        <w:rPr>
          <w:rFonts w:cs="Tahoma"/>
          <w:sz w:val="20"/>
        </w:rPr>
      </w:pPr>
      <w:r w:rsidRPr="00545365">
        <w:rPr>
          <w:rFonts w:cs="Tahoma"/>
          <w:sz w:val="20"/>
        </w:rPr>
        <w:t>Poner la presente resolución en conocimiento de la Subdirección del Registro Nacional de Proveedores del CONSUCODE para las anotaciones de ley.</w:t>
      </w:r>
    </w:p>
    <w:p w:rsidR="00AB104E" w:rsidRPr="00545365" w:rsidRDefault="00AB104E" w:rsidP="00AB104E">
      <w:pPr>
        <w:jc w:val="both"/>
        <w:rPr>
          <w:rFonts w:ascii="Tahoma" w:hAnsi="Tahoma" w:cs="Tahoma"/>
          <w:lang w:val="es-ES_tradnl"/>
        </w:rPr>
      </w:pPr>
    </w:p>
    <w:p w:rsidR="00AB104E" w:rsidRPr="00F107B5" w:rsidRDefault="00AB104E" w:rsidP="00AB104E">
      <w:pPr>
        <w:pStyle w:val="Textoindependiente21"/>
        <w:rPr>
          <w:rFonts w:cs="Tahoma"/>
          <w:sz w:val="20"/>
        </w:rPr>
      </w:pPr>
      <w:r w:rsidRPr="00F107B5">
        <w:rPr>
          <w:rFonts w:cs="Tahoma"/>
          <w:sz w:val="20"/>
        </w:rPr>
        <w:t>Regístrese, comuníquese y publíquese.</w:t>
      </w:r>
    </w:p>
    <w:p w:rsidR="00AB104E" w:rsidRPr="00F107B5" w:rsidRDefault="00AB104E" w:rsidP="00AB104E">
      <w:pPr>
        <w:jc w:val="center"/>
        <w:rPr>
          <w:rFonts w:ascii="Tahoma" w:hAnsi="Tahoma" w:cs="Tahoma"/>
          <w:b/>
          <w:lang w:val="es-ES_tradnl"/>
        </w:rPr>
      </w:pPr>
    </w:p>
    <w:p w:rsidR="00AB104E" w:rsidRPr="00F107B5" w:rsidRDefault="00AB104E" w:rsidP="00AB104E">
      <w:pPr>
        <w:jc w:val="center"/>
        <w:rPr>
          <w:rFonts w:ascii="Tahoma" w:hAnsi="Tahoma" w:cs="Tahoma"/>
          <w:b/>
          <w:lang w:val="es-ES_tradnl"/>
        </w:rPr>
      </w:pPr>
    </w:p>
    <w:p w:rsidR="00AB104E" w:rsidRDefault="00AB104E" w:rsidP="00AB104E">
      <w:pPr>
        <w:jc w:val="center"/>
        <w:rPr>
          <w:rFonts w:ascii="Tahoma" w:hAnsi="Tahoma" w:cs="Tahoma"/>
          <w:b/>
        </w:rPr>
      </w:pPr>
    </w:p>
    <w:p w:rsidR="00AB104E" w:rsidRDefault="00AB104E" w:rsidP="00AB104E">
      <w:pPr>
        <w:jc w:val="center"/>
        <w:rPr>
          <w:rFonts w:ascii="Tahoma" w:hAnsi="Tahoma" w:cs="Tahoma"/>
          <w:b/>
        </w:rPr>
      </w:pPr>
    </w:p>
    <w:p w:rsidR="00AB104E" w:rsidRPr="00F107B5" w:rsidRDefault="00AB104E" w:rsidP="00AB104E">
      <w:pPr>
        <w:jc w:val="center"/>
        <w:rPr>
          <w:rFonts w:ascii="Tahoma" w:hAnsi="Tahoma" w:cs="Tahoma"/>
          <w:b/>
        </w:rPr>
      </w:pPr>
    </w:p>
    <w:p w:rsidR="00AB104E" w:rsidRPr="00F107B5" w:rsidRDefault="00AB104E" w:rsidP="00AB104E">
      <w:pPr>
        <w:jc w:val="center"/>
        <w:rPr>
          <w:rFonts w:ascii="Tahoma" w:hAnsi="Tahoma" w:cs="Tahoma"/>
          <w:b/>
        </w:rPr>
      </w:pPr>
    </w:p>
    <w:p w:rsidR="00AB104E" w:rsidRPr="00F107B5" w:rsidRDefault="00AB104E" w:rsidP="00AB104E">
      <w:pPr>
        <w:jc w:val="center"/>
        <w:rPr>
          <w:rFonts w:ascii="Tahoma" w:hAnsi="Tahoma" w:cs="Tahoma"/>
          <w:b/>
          <w:shadow/>
          <w:lang w:val="pt-BR"/>
        </w:rPr>
      </w:pPr>
      <w:r w:rsidRPr="00F107B5">
        <w:rPr>
          <w:rFonts w:ascii="Tahoma" w:hAnsi="Tahoma" w:cs="Tahoma"/>
          <w:b/>
          <w:shadow/>
          <w:lang w:val="pt-BR"/>
        </w:rPr>
        <w:t>PRESIDENTE</w:t>
      </w:r>
    </w:p>
    <w:p w:rsidR="00AB104E" w:rsidRPr="00F107B5" w:rsidRDefault="00AB104E" w:rsidP="00AB104E">
      <w:pPr>
        <w:jc w:val="center"/>
        <w:rPr>
          <w:rFonts w:ascii="Tahoma" w:hAnsi="Tahoma" w:cs="Tahoma"/>
          <w:b/>
          <w:shadow/>
          <w:lang w:val="pt-BR"/>
        </w:rPr>
      </w:pPr>
    </w:p>
    <w:p w:rsidR="00AB104E" w:rsidRPr="00F107B5" w:rsidRDefault="00AB104E" w:rsidP="00AB104E">
      <w:pPr>
        <w:jc w:val="center"/>
        <w:rPr>
          <w:rFonts w:ascii="Tahoma" w:hAnsi="Tahoma" w:cs="Tahoma"/>
          <w:b/>
          <w:shadow/>
          <w:lang w:val="pt-BR"/>
        </w:rPr>
      </w:pPr>
    </w:p>
    <w:p w:rsidR="00AB104E" w:rsidRPr="00F107B5" w:rsidRDefault="00AB104E" w:rsidP="00AB104E">
      <w:pPr>
        <w:jc w:val="center"/>
        <w:rPr>
          <w:rFonts w:ascii="Tahoma" w:hAnsi="Tahoma" w:cs="Tahoma"/>
          <w:b/>
          <w:shadow/>
          <w:lang w:val="pt-BR"/>
        </w:rPr>
      </w:pPr>
    </w:p>
    <w:p w:rsidR="00AB104E" w:rsidRPr="00F107B5" w:rsidRDefault="00AB104E" w:rsidP="00AB104E">
      <w:pPr>
        <w:jc w:val="center"/>
        <w:rPr>
          <w:rFonts w:ascii="Tahoma" w:hAnsi="Tahoma" w:cs="Tahoma"/>
          <w:b/>
          <w:shadow/>
          <w:lang w:val="pt-BR"/>
        </w:rPr>
      </w:pPr>
    </w:p>
    <w:p w:rsidR="00AB104E" w:rsidRPr="00F107B5" w:rsidRDefault="00AB104E" w:rsidP="00AB104E">
      <w:pPr>
        <w:jc w:val="center"/>
        <w:rPr>
          <w:rFonts w:ascii="Tahoma" w:hAnsi="Tahoma" w:cs="Tahoma"/>
          <w:b/>
          <w:shadow/>
          <w:lang w:val="pt-BR"/>
        </w:rPr>
      </w:pPr>
    </w:p>
    <w:p w:rsidR="00AB104E" w:rsidRPr="00F107B5" w:rsidRDefault="00AB104E" w:rsidP="00AB104E">
      <w:pPr>
        <w:ind w:left="708"/>
        <w:jc w:val="both"/>
        <w:rPr>
          <w:rFonts w:ascii="Tahoma" w:hAnsi="Tahoma" w:cs="Tahoma"/>
          <w:b/>
          <w:shadow/>
          <w:lang w:val="pt-BR"/>
        </w:rPr>
      </w:pPr>
      <w:r w:rsidRPr="00F107B5">
        <w:rPr>
          <w:rFonts w:ascii="Tahoma" w:hAnsi="Tahoma" w:cs="Tahoma"/>
          <w:b/>
          <w:shadow/>
          <w:lang w:val="pt-BR"/>
        </w:rPr>
        <w:t xml:space="preserve"> VOCAL           </w:t>
      </w:r>
      <w:r w:rsidRPr="00F107B5">
        <w:rPr>
          <w:rFonts w:ascii="Tahoma" w:hAnsi="Tahoma" w:cs="Tahoma"/>
          <w:b/>
          <w:shadow/>
          <w:lang w:val="pt-BR"/>
        </w:rPr>
        <w:tab/>
      </w:r>
      <w:r w:rsidRPr="00F107B5">
        <w:rPr>
          <w:rFonts w:ascii="Tahoma" w:hAnsi="Tahoma" w:cs="Tahoma"/>
          <w:b/>
          <w:shadow/>
          <w:lang w:val="pt-BR"/>
        </w:rPr>
        <w:tab/>
        <w:t xml:space="preserve">                                                                    VOCAL</w:t>
      </w:r>
    </w:p>
    <w:p w:rsidR="00AB104E" w:rsidRPr="00F107B5" w:rsidRDefault="00AB104E" w:rsidP="00AB104E">
      <w:pPr>
        <w:ind w:firstLine="708"/>
        <w:rPr>
          <w:rFonts w:ascii="Tahoma" w:hAnsi="Tahoma" w:cs="Tahoma"/>
          <w:b/>
          <w:shadow/>
          <w:lang w:val="pt-BR"/>
        </w:rPr>
      </w:pPr>
    </w:p>
    <w:p w:rsidR="00AB104E" w:rsidRPr="00F107B5" w:rsidRDefault="00AB104E" w:rsidP="00AB104E">
      <w:pPr>
        <w:ind w:firstLine="708"/>
        <w:rPr>
          <w:rFonts w:ascii="Tahoma" w:hAnsi="Tahoma" w:cs="Tahoma"/>
          <w:b/>
          <w:shadow/>
          <w:lang w:val="pt-BR"/>
        </w:rPr>
      </w:pPr>
    </w:p>
    <w:p w:rsidR="00AB104E" w:rsidRPr="00F107B5" w:rsidRDefault="00AB104E" w:rsidP="00AB104E">
      <w:pPr>
        <w:ind w:firstLine="708"/>
        <w:rPr>
          <w:rFonts w:ascii="Tahoma" w:hAnsi="Tahoma" w:cs="Tahoma"/>
          <w:b/>
          <w:shadow/>
          <w:lang w:val="pt-BR"/>
        </w:rPr>
      </w:pPr>
    </w:p>
    <w:p w:rsidR="00AB104E" w:rsidRPr="00F107B5" w:rsidRDefault="00AB104E" w:rsidP="00AB104E">
      <w:pPr>
        <w:ind w:firstLine="708"/>
        <w:rPr>
          <w:rFonts w:ascii="Tahoma" w:hAnsi="Tahoma" w:cs="Tahoma"/>
          <w:b/>
          <w:shadow/>
          <w:lang w:val="pt-BR"/>
        </w:rPr>
      </w:pPr>
    </w:p>
    <w:p w:rsidR="00AB104E" w:rsidRPr="00F107B5" w:rsidRDefault="00AB104E" w:rsidP="00AB104E">
      <w:pPr>
        <w:ind w:firstLine="708"/>
        <w:rPr>
          <w:rFonts w:ascii="Tahoma" w:hAnsi="Tahoma" w:cs="Tahoma"/>
          <w:b/>
          <w:shadow/>
          <w:lang w:val="pt-BR"/>
        </w:rPr>
      </w:pPr>
    </w:p>
    <w:p w:rsidR="00AB104E" w:rsidRPr="00F107B5" w:rsidRDefault="00AB104E" w:rsidP="00AB104E">
      <w:pPr>
        <w:ind w:firstLine="708"/>
        <w:rPr>
          <w:rFonts w:ascii="Tahoma" w:hAnsi="Tahoma" w:cs="Tahoma"/>
          <w:b/>
          <w:shadow/>
          <w:lang w:val="pt-BR"/>
        </w:rPr>
      </w:pPr>
    </w:p>
    <w:p w:rsidR="00AB104E" w:rsidRPr="00E54A4A" w:rsidRDefault="00AB104E" w:rsidP="00AB104E">
      <w:pPr>
        <w:jc w:val="both"/>
        <w:rPr>
          <w:rFonts w:ascii="Tahoma" w:hAnsi="Tahoma" w:cs="Tahoma"/>
          <w:sz w:val="18"/>
          <w:szCs w:val="18"/>
          <w:lang w:val="pt-BR"/>
        </w:rPr>
      </w:pPr>
      <w:proofErr w:type="gramStart"/>
      <w:r w:rsidRPr="00E54A4A">
        <w:rPr>
          <w:rFonts w:ascii="Tahoma" w:hAnsi="Tahoma" w:cs="Tahoma"/>
          <w:sz w:val="18"/>
          <w:szCs w:val="18"/>
          <w:lang w:val="pt-BR"/>
        </w:rPr>
        <w:t>ss.</w:t>
      </w:r>
      <w:proofErr w:type="gramEnd"/>
    </w:p>
    <w:p w:rsidR="00AB104E" w:rsidRPr="00E54A4A" w:rsidRDefault="00AB104E" w:rsidP="00AB104E">
      <w:pPr>
        <w:pStyle w:val="Textoindependiente21"/>
        <w:rPr>
          <w:rFonts w:cs="Tahoma"/>
          <w:sz w:val="18"/>
          <w:szCs w:val="18"/>
          <w:lang w:val="pt-BR"/>
        </w:rPr>
      </w:pPr>
      <w:proofErr w:type="spellStart"/>
      <w:r w:rsidRPr="00E54A4A">
        <w:rPr>
          <w:rFonts w:cs="Tahoma"/>
          <w:sz w:val="18"/>
          <w:szCs w:val="18"/>
          <w:lang w:val="pt-BR"/>
        </w:rPr>
        <w:lastRenderedPageBreak/>
        <w:t>Valdivia</w:t>
      </w:r>
      <w:proofErr w:type="spellEnd"/>
      <w:r w:rsidRPr="00E54A4A">
        <w:rPr>
          <w:rFonts w:cs="Tahoma"/>
          <w:sz w:val="18"/>
          <w:szCs w:val="18"/>
          <w:lang w:val="pt-BR"/>
        </w:rPr>
        <w:t xml:space="preserve"> </w:t>
      </w:r>
      <w:proofErr w:type="spellStart"/>
      <w:r w:rsidRPr="00E54A4A">
        <w:rPr>
          <w:rFonts w:cs="Tahoma"/>
          <w:sz w:val="18"/>
          <w:szCs w:val="18"/>
          <w:lang w:val="pt-BR"/>
        </w:rPr>
        <w:t>Huaringa</w:t>
      </w:r>
      <w:proofErr w:type="spellEnd"/>
      <w:r w:rsidRPr="00E54A4A">
        <w:rPr>
          <w:rFonts w:cs="Tahoma"/>
          <w:sz w:val="18"/>
          <w:szCs w:val="18"/>
          <w:lang w:val="pt-BR"/>
        </w:rPr>
        <w:t>.</w:t>
      </w:r>
    </w:p>
    <w:p w:rsidR="00AB104E" w:rsidRPr="00E54A4A" w:rsidRDefault="00AB104E" w:rsidP="00AB104E">
      <w:pPr>
        <w:pStyle w:val="Textoindependiente21"/>
        <w:rPr>
          <w:rFonts w:cs="Tahoma"/>
          <w:sz w:val="18"/>
          <w:szCs w:val="18"/>
        </w:rPr>
      </w:pPr>
      <w:r w:rsidRPr="00E54A4A">
        <w:rPr>
          <w:rFonts w:cs="Tahoma"/>
          <w:sz w:val="18"/>
          <w:szCs w:val="18"/>
        </w:rPr>
        <w:t xml:space="preserve">Ramírez </w:t>
      </w:r>
      <w:proofErr w:type="spellStart"/>
      <w:r w:rsidRPr="00E54A4A">
        <w:rPr>
          <w:rFonts w:cs="Tahoma"/>
          <w:sz w:val="18"/>
          <w:szCs w:val="18"/>
        </w:rPr>
        <w:t>Maynetto</w:t>
      </w:r>
      <w:proofErr w:type="spellEnd"/>
      <w:r w:rsidRPr="00E54A4A">
        <w:rPr>
          <w:rFonts w:cs="Tahoma"/>
          <w:sz w:val="18"/>
          <w:szCs w:val="18"/>
        </w:rPr>
        <w:t>.</w:t>
      </w:r>
    </w:p>
    <w:p w:rsidR="00AB104E" w:rsidRPr="00E54A4A" w:rsidRDefault="00AB104E" w:rsidP="00AB104E">
      <w:pPr>
        <w:pStyle w:val="Textoindependiente21"/>
        <w:tabs>
          <w:tab w:val="left" w:pos="7740"/>
        </w:tabs>
        <w:rPr>
          <w:rFonts w:cs="Tahoma"/>
          <w:sz w:val="18"/>
          <w:szCs w:val="18"/>
        </w:rPr>
      </w:pPr>
      <w:r w:rsidRPr="00E54A4A">
        <w:rPr>
          <w:rFonts w:cs="Tahoma"/>
          <w:sz w:val="18"/>
          <w:szCs w:val="18"/>
        </w:rPr>
        <w:t>Navas Rondón.</w:t>
      </w:r>
    </w:p>
    <w:p w:rsidR="00DD5730" w:rsidRDefault="004E6715"/>
    <w:sectPr w:rsidR="00DD5730" w:rsidSect="00E54A4A">
      <w:footerReference w:type="even" r:id="rId7"/>
      <w:footerReference w:type="default" r:id="rId8"/>
      <w:pgSz w:w="11907" w:h="16840" w:code="9"/>
      <w:pgMar w:top="3235" w:right="1107" w:bottom="1618" w:left="126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04E" w:rsidRDefault="00AB104E" w:rsidP="00AB104E">
      <w:r>
        <w:separator/>
      </w:r>
    </w:p>
  </w:endnote>
  <w:endnote w:type="continuationSeparator" w:id="1">
    <w:p w:rsidR="00AB104E" w:rsidRDefault="00AB104E" w:rsidP="00AB10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A8C" w:rsidRDefault="00643195" w:rsidP="00E54A4A">
    <w:pPr>
      <w:pStyle w:val="Piedepgina"/>
      <w:framePr w:wrap="around" w:vAnchor="text" w:hAnchor="margin" w:xAlign="center" w:y="1"/>
      <w:rPr>
        <w:rStyle w:val="Nmerodepgina"/>
      </w:rPr>
    </w:pPr>
    <w:r>
      <w:rPr>
        <w:rStyle w:val="Nmerodepgina"/>
      </w:rPr>
      <w:fldChar w:fldCharType="begin"/>
    </w:r>
    <w:r w:rsidR="00490584">
      <w:rPr>
        <w:rStyle w:val="Nmerodepgina"/>
      </w:rPr>
      <w:instrText xml:space="preserve">PAGE  </w:instrText>
    </w:r>
    <w:r>
      <w:rPr>
        <w:rStyle w:val="Nmerodepgina"/>
      </w:rPr>
      <w:fldChar w:fldCharType="end"/>
    </w:r>
  </w:p>
  <w:p w:rsidR="00A72A8C" w:rsidRDefault="004E671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A8C" w:rsidRPr="00864C03" w:rsidRDefault="00490584">
    <w:pPr>
      <w:pStyle w:val="Piedepgina"/>
      <w:framePr w:wrap="around" w:vAnchor="text" w:hAnchor="margin" w:xAlign="center" w:y="1"/>
      <w:rPr>
        <w:rStyle w:val="Nmerodepgina"/>
        <w:i/>
        <w:sz w:val="20"/>
      </w:rPr>
    </w:pPr>
    <w:r w:rsidRPr="00864C03">
      <w:rPr>
        <w:rStyle w:val="Nmerodepgina"/>
        <w:i/>
        <w:sz w:val="20"/>
      </w:rPr>
      <w:t xml:space="preserve">Página </w:t>
    </w:r>
    <w:r w:rsidR="00643195" w:rsidRPr="00864C03">
      <w:rPr>
        <w:rStyle w:val="Nmerodepgina"/>
        <w:i/>
        <w:sz w:val="20"/>
      </w:rPr>
      <w:fldChar w:fldCharType="begin"/>
    </w:r>
    <w:r w:rsidRPr="00864C03">
      <w:rPr>
        <w:rStyle w:val="Nmerodepgina"/>
        <w:i/>
        <w:sz w:val="20"/>
      </w:rPr>
      <w:instrText xml:space="preserve"> PAGE </w:instrText>
    </w:r>
    <w:r w:rsidR="00643195" w:rsidRPr="00864C03">
      <w:rPr>
        <w:rStyle w:val="Nmerodepgina"/>
        <w:i/>
        <w:sz w:val="20"/>
      </w:rPr>
      <w:fldChar w:fldCharType="separate"/>
    </w:r>
    <w:r w:rsidR="004E6715">
      <w:rPr>
        <w:rStyle w:val="Nmerodepgina"/>
        <w:i/>
        <w:noProof/>
        <w:sz w:val="20"/>
      </w:rPr>
      <w:t>1</w:t>
    </w:r>
    <w:r w:rsidR="00643195" w:rsidRPr="00864C03">
      <w:rPr>
        <w:rStyle w:val="Nmerodepgina"/>
        <w:i/>
        <w:sz w:val="20"/>
      </w:rPr>
      <w:fldChar w:fldCharType="end"/>
    </w:r>
    <w:r w:rsidRPr="00864C03">
      <w:rPr>
        <w:rStyle w:val="Nmerodepgina"/>
        <w:i/>
        <w:sz w:val="20"/>
      </w:rPr>
      <w:t xml:space="preserve"> de </w:t>
    </w:r>
    <w:r w:rsidR="00643195" w:rsidRPr="00864C03">
      <w:rPr>
        <w:rStyle w:val="Nmerodepgina"/>
        <w:i/>
        <w:sz w:val="20"/>
      </w:rPr>
      <w:fldChar w:fldCharType="begin"/>
    </w:r>
    <w:r w:rsidRPr="00864C03">
      <w:rPr>
        <w:rStyle w:val="Nmerodepgina"/>
        <w:i/>
        <w:sz w:val="20"/>
      </w:rPr>
      <w:instrText xml:space="preserve"> NUMPAGES </w:instrText>
    </w:r>
    <w:r w:rsidR="00643195" w:rsidRPr="00864C03">
      <w:rPr>
        <w:rStyle w:val="Nmerodepgina"/>
        <w:i/>
        <w:sz w:val="20"/>
      </w:rPr>
      <w:fldChar w:fldCharType="separate"/>
    </w:r>
    <w:r w:rsidR="004E6715">
      <w:rPr>
        <w:rStyle w:val="Nmerodepgina"/>
        <w:i/>
        <w:noProof/>
        <w:sz w:val="20"/>
      </w:rPr>
      <w:t>5</w:t>
    </w:r>
    <w:r w:rsidR="00643195" w:rsidRPr="00864C03">
      <w:rPr>
        <w:rStyle w:val="Nmerodepgina"/>
        <w:i/>
        <w:sz w:val="20"/>
      </w:rPr>
      <w:fldChar w:fldCharType="end"/>
    </w:r>
  </w:p>
  <w:p w:rsidR="00A72A8C" w:rsidRDefault="004E671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04E" w:rsidRDefault="00AB104E" w:rsidP="00AB104E">
      <w:r>
        <w:separator/>
      </w:r>
    </w:p>
  </w:footnote>
  <w:footnote w:type="continuationSeparator" w:id="1">
    <w:p w:rsidR="00AB104E" w:rsidRDefault="00AB104E" w:rsidP="00AB104E">
      <w:r>
        <w:continuationSeparator/>
      </w:r>
    </w:p>
  </w:footnote>
  <w:footnote w:id="2">
    <w:p w:rsidR="00AB104E" w:rsidRPr="00C329AC" w:rsidRDefault="00AB104E" w:rsidP="00AB104E">
      <w:pPr>
        <w:pStyle w:val="Textonotapie"/>
        <w:rPr>
          <w:rFonts w:ascii="Tahoma" w:hAnsi="Tahoma" w:cs="Tahoma"/>
          <w:sz w:val="16"/>
          <w:szCs w:val="16"/>
        </w:rPr>
      </w:pPr>
      <w:r w:rsidRPr="00C329AC">
        <w:rPr>
          <w:rStyle w:val="Refdenotaalpie"/>
          <w:rFonts w:ascii="Tahoma" w:hAnsi="Tahoma" w:cs="Tahoma"/>
        </w:rPr>
        <w:footnoteRef/>
      </w:r>
      <w:r w:rsidRPr="00C329AC">
        <w:rPr>
          <w:rFonts w:ascii="Tahoma" w:hAnsi="Tahoma" w:cs="Tahoma"/>
          <w:sz w:val="16"/>
          <w:szCs w:val="16"/>
        </w:rPr>
        <w:t xml:space="preserve"> Documento obrante a fojas 082 del expediente administrativo.</w:t>
      </w:r>
    </w:p>
  </w:footnote>
  <w:footnote w:id="3">
    <w:p w:rsidR="00AB104E" w:rsidRPr="00C329AC" w:rsidRDefault="00AB104E" w:rsidP="00AB104E">
      <w:pPr>
        <w:pStyle w:val="Textonotapie"/>
        <w:jc w:val="both"/>
        <w:rPr>
          <w:rFonts w:ascii="Tahoma" w:hAnsi="Tahoma" w:cs="Tahoma"/>
          <w:sz w:val="16"/>
          <w:szCs w:val="16"/>
        </w:rPr>
      </w:pPr>
      <w:r w:rsidRPr="00C329AC">
        <w:rPr>
          <w:rStyle w:val="Refdenotaalpie"/>
          <w:rFonts w:ascii="Tahoma" w:hAnsi="Tahoma" w:cs="Tahoma"/>
        </w:rPr>
        <w:footnoteRef/>
      </w:r>
      <w:r w:rsidRPr="00C329AC">
        <w:rPr>
          <w:rFonts w:ascii="Tahoma" w:hAnsi="Tahoma" w:cs="Tahoma"/>
          <w:sz w:val="16"/>
          <w:szCs w:val="16"/>
        </w:rPr>
        <w:t xml:space="preserve"> La anotada presunción legal se sustenta en el artículo 1329 del Código Civil, el cual establece que “se presume que la inejecución de la obligación, o su cumplimiento parcial, tardío o defectuoso, obedece a culpa leve del deudor”, artículo aplicable al presente caso de conformidad con lo dispuesto en el artículo 3 del Texto Único Ordenado de la Ley de Contrataciones y Adquisiciones del Estado, aprobado por Decreto Supremo N.° 083-2004-PCM, en adelante la Ley, en concordancia con el artículo IX, del Título Preliminar del mismo cuerpo normativo: “Las disposiciones del Código Civil se aplican supletoriamente a las relaciones y situaciones jurídicas reguladas por otras leyes, siempre que no sean incompatibles con su naturaleza”.</w:t>
      </w:r>
    </w:p>
  </w:footnote>
  <w:footnote w:id="4">
    <w:p w:rsidR="00AB104E" w:rsidRPr="00C329AC" w:rsidRDefault="00AB104E" w:rsidP="00AB104E">
      <w:pPr>
        <w:pStyle w:val="Textonotapie"/>
        <w:rPr>
          <w:sz w:val="16"/>
          <w:szCs w:val="16"/>
        </w:rPr>
      </w:pPr>
      <w:r w:rsidRPr="00C329AC">
        <w:rPr>
          <w:rStyle w:val="Refdenotaalpie"/>
          <w:rFonts w:ascii="Tahoma" w:hAnsi="Tahoma" w:cs="Tahoma"/>
        </w:rPr>
        <w:footnoteRef/>
      </w:r>
      <w:r w:rsidRPr="00C329AC">
        <w:rPr>
          <w:rFonts w:ascii="Tahoma" w:hAnsi="Tahoma" w:cs="Tahoma"/>
          <w:sz w:val="16"/>
          <w:szCs w:val="16"/>
        </w:rPr>
        <w:t xml:space="preserve"> CABANELLAS, Guillermo. </w:t>
      </w:r>
      <w:r w:rsidRPr="00C329AC">
        <w:rPr>
          <w:rFonts w:ascii="Tahoma" w:hAnsi="Tahoma" w:cs="Tahoma"/>
          <w:b/>
          <w:sz w:val="16"/>
          <w:szCs w:val="16"/>
        </w:rPr>
        <w:t>Diccionario Enciclopédico de Derecho Usual</w:t>
      </w:r>
      <w:r w:rsidRPr="00C329AC">
        <w:rPr>
          <w:rFonts w:ascii="Tahoma" w:hAnsi="Tahoma" w:cs="Tahoma"/>
          <w:sz w:val="16"/>
          <w:szCs w:val="16"/>
        </w:rPr>
        <w:t xml:space="preserve">. 20ª Edición. Buenos Aires: </w:t>
      </w:r>
      <w:proofErr w:type="spellStart"/>
      <w:r w:rsidRPr="00C329AC">
        <w:rPr>
          <w:rFonts w:ascii="Tahoma" w:hAnsi="Tahoma" w:cs="Tahoma"/>
          <w:sz w:val="16"/>
          <w:szCs w:val="16"/>
        </w:rPr>
        <w:t>Heliasta</w:t>
      </w:r>
      <w:proofErr w:type="spellEnd"/>
      <w:r w:rsidRPr="00C329AC">
        <w:rPr>
          <w:rFonts w:ascii="Tahoma" w:hAnsi="Tahoma" w:cs="Tahoma"/>
          <w:sz w:val="16"/>
          <w:szCs w:val="16"/>
        </w:rPr>
        <w:t>, 1986. Tomo II pág. 99 y Tomo IV Pág. 130.</w:t>
      </w:r>
    </w:p>
  </w:footnote>
  <w:footnote w:id="5">
    <w:p w:rsidR="00AB104E" w:rsidRPr="00C329AC" w:rsidRDefault="00AB104E" w:rsidP="00AB104E">
      <w:pPr>
        <w:pStyle w:val="Textonotapie"/>
        <w:jc w:val="both"/>
        <w:rPr>
          <w:rFonts w:ascii="Tahoma" w:hAnsi="Tahoma" w:cs="Tahoma"/>
          <w:sz w:val="16"/>
          <w:szCs w:val="16"/>
        </w:rPr>
      </w:pPr>
      <w:r w:rsidRPr="00C329AC">
        <w:rPr>
          <w:rStyle w:val="Refdenotaalpie"/>
          <w:rFonts w:ascii="Tahoma" w:hAnsi="Tahoma" w:cs="Tahoma"/>
        </w:rPr>
        <w:footnoteRef/>
      </w:r>
      <w:r w:rsidRPr="00C329AC">
        <w:rPr>
          <w:rFonts w:ascii="Tahoma" w:hAnsi="Tahoma" w:cs="Tahoma"/>
          <w:sz w:val="16"/>
          <w:szCs w:val="16"/>
        </w:rPr>
        <w:t xml:space="preserve"> “</w:t>
      </w:r>
      <w:r w:rsidRPr="00C329AC">
        <w:rPr>
          <w:rFonts w:ascii="Tahoma" w:hAnsi="Tahoma" w:cs="Tahoma"/>
          <w:b/>
          <w:sz w:val="16"/>
          <w:szCs w:val="16"/>
        </w:rPr>
        <w:t>Artículo 230°.- Principios de la potestad sancionadora administrativa.</w:t>
      </w:r>
    </w:p>
    <w:p w:rsidR="00AB104E" w:rsidRPr="00C329AC" w:rsidRDefault="00AB104E" w:rsidP="00AB104E">
      <w:pPr>
        <w:pStyle w:val="Textonotapie"/>
        <w:jc w:val="both"/>
        <w:rPr>
          <w:rFonts w:ascii="Tahoma" w:hAnsi="Tahoma" w:cs="Tahoma"/>
          <w:sz w:val="16"/>
          <w:szCs w:val="16"/>
        </w:rPr>
      </w:pPr>
      <w:r w:rsidRPr="00C329AC">
        <w:rPr>
          <w:rFonts w:ascii="Tahoma" w:hAnsi="Tahoma" w:cs="Tahoma"/>
          <w:sz w:val="16"/>
          <w:szCs w:val="16"/>
        </w:rPr>
        <w:t>La potestad sancionadora de todas las entidades está regida adicionalmente por los siguientes principios especiales:</w:t>
      </w:r>
    </w:p>
    <w:p w:rsidR="00AB104E" w:rsidRPr="00C329AC" w:rsidRDefault="00AB104E" w:rsidP="00AB104E">
      <w:pPr>
        <w:pStyle w:val="Textonotapie"/>
        <w:jc w:val="both"/>
        <w:rPr>
          <w:rFonts w:ascii="Tahoma" w:hAnsi="Tahoma" w:cs="Tahoma"/>
          <w:sz w:val="16"/>
          <w:szCs w:val="16"/>
        </w:rPr>
      </w:pPr>
      <w:r w:rsidRPr="00C329AC">
        <w:rPr>
          <w:rFonts w:ascii="Tahoma" w:hAnsi="Tahoma" w:cs="Tahoma"/>
          <w:sz w:val="16"/>
          <w:szCs w:val="16"/>
        </w:rPr>
        <w:t>(…)</w:t>
      </w:r>
      <w:r>
        <w:rPr>
          <w:rFonts w:ascii="Tahoma" w:hAnsi="Tahoma" w:cs="Tahoma"/>
          <w:sz w:val="16"/>
          <w:szCs w:val="16"/>
        </w:rPr>
        <w:t xml:space="preserve"> </w:t>
      </w:r>
      <w:r w:rsidRPr="00C329AC">
        <w:rPr>
          <w:rFonts w:ascii="Tahoma" w:hAnsi="Tahoma" w:cs="Tahoma"/>
          <w:b/>
          <w:sz w:val="16"/>
          <w:szCs w:val="16"/>
        </w:rPr>
        <w:t>3. Razonabilidad</w:t>
      </w:r>
      <w:r w:rsidRPr="00C329AC">
        <w:rPr>
          <w:rFonts w:ascii="Tahoma" w:hAnsi="Tahoma" w:cs="Tahoma"/>
          <w:sz w:val="16"/>
          <w:szCs w:val="16"/>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infracción.”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24358"/>
    <w:multiLevelType w:val="hybridMultilevel"/>
    <w:tmpl w:val="F0C2F9F8"/>
    <w:lvl w:ilvl="0" w:tplc="3820B6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100E23E6"/>
    <w:multiLevelType w:val="hybridMultilevel"/>
    <w:tmpl w:val="A35A4F56"/>
    <w:lvl w:ilvl="0" w:tplc="1FD0BF70">
      <w:start w:val="1"/>
      <w:numFmt w:val="decimal"/>
      <w:lvlText w:val="%1."/>
      <w:lvlJc w:val="left"/>
      <w:pPr>
        <w:tabs>
          <w:tab w:val="num" w:pos="737"/>
        </w:tabs>
        <w:ind w:left="739" w:hanging="739"/>
      </w:pPr>
      <w:rPr>
        <w:rFonts w:ascii="Tahoma" w:hAnsi="Tahoma"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52357D87"/>
    <w:multiLevelType w:val="hybridMultilevel"/>
    <w:tmpl w:val="ACB4FD50"/>
    <w:lvl w:ilvl="0" w:tplc="8BA47918">
      <w:start w:val="1"/>
      <w:numFmt w:val="decimal"/>
      <w:lvlText w:val="%1."/>
      <w:lvlJc w:val="left"/>
      <w:pPr>
        <w:tabs>
          <w:tab w:val="num" w:pos="360"/>
        </w:tabs>
        <w:ind w:left="360" w:hanging="360"/>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AB104E"/>
    <w:rsid w:val="00490584"/>
    <w:rsid w:val="004E6715"/>
    <w:rsid w:val="005A7601"/>
    <w:rsid w:val="005F15D1"/>
    <w:rsid w:val="00643195"/>
    <w:rsid w:val="00896EE1"/>
    <w:rsid w:val="00AB104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04E"/>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AB104E"/>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AB104E"/>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AB104E"/>
  </w:style>
  <w:style w:type="paragraph" w:styleId="Textoindependiente">
    <w:name w:val="Body Text"/>
    <w:basedOn w:val="Normal"/>
    <w:link w:val="TextoindependienteCar"/>
    <w:rsid w:val="00AB104E"/>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AB104E"/>
    <w:rPr>
      <w:rFonts w:ascii="Tahoma" w:eastAsia="Times New Roman" w:hAnsi="Tahoma" w:cs="Times New Roman"/>
      <w:szCs w:val="20"/>
      <w:lang w:val="es-ES_tradnl" w:eastAsia="es-ES"/>
    </w:rPr>
  </w:style>
  <w:style w:type="paragraph" w:customStyle="1" w:styleId="Textoindependiente21">
    <w:name w:val="Texto independiente 21"/>
    <w:basedOn w:val="Normal"/>
    <w:rsid w:val="00AB104E"/>
    <w:pPr>
      <w:jc w:val="both"/>
    </w:pPr>
    <w:rPr>
      <w:rFonts w:ascii="Tahoma" w:hAnsi="Tahoma"/>
      <w:sz w:val="22"/>
    </w:rPr>
  </w:style>
  <w:style w:type="paragraph" w:styleId="Textoindependiente3">
    <w:name w:val="Body Text 3"/>
    <w:basedOn w:val="Normal"/>
    <w:link w:val="Textoindependiente3Car"/>
    <w:rsid w:val="00AB104E"/>
    <w:pPr>
      <w:spacing w:after="120"/>
    </w:pPr>
    <w:rPr>
      <w:sz w:val="16"/>
      <w:szCs w:val="16"/>
      <w:lang w:val="es-PE"/>
    </w:rPr>
  </w:style>
  <w:style w:type="character" w:customStyle="1" w:styleId="Textoindependiente3Car">
    <w:name w:val="Texto independiente 3 Car"/>
    <w:basedOn w:val="Fuentedeprrafopredeter"/>
    <w:link w:val="Textoindependiente3"/>
    <w:rsid w:val="00AB104E"/>
    <w:rPr>
      <w:rFonts w:ascii="Times New Roman" w:eastAsia="Times New Roman" w:hAnsi="Times New Roman" w:cs="Times New Roman"/>
      <w:sz w:val="16"/>
      <w:szCs w:val="16"/>
      <w:lang w:val="es-PE" w:eastAsia="es-ES"/>
    </w:rPr>
  </w:style>
  <w:style w:type="paragraph" w:styleId="NormalWeb">
    <w:name w:val="Normal (Web)"/>
    <w:basedOn w:val="Normal"/>
    <w:rsid w:val="00AB104E"/>
    <w:pPr>
      <w:spacing w:before="100" w:beforeAutospacing="1" w:after="100" w:afterAutospacing="1"/>
    </w:pPr>
    <w:rPr>
      <w:sz w:val="24"/>
      <w:szCs w:val="24"/>
    </w:rPr>
  </w:style>
  <w:style w:type="paragraph" w:styleId="Textonotapie">
    <w:name w:val="footnote text"/>
    <w:basedOn w:val="Normal"/>
    <w:link w:val="TextonotapieCar"/>
    <w:semiHidden/>
    <w:rsid w:val="00AB104E"/>
  </w:style>
  <w:style w:type="character" w:customStyle="1" w:styleId="TextonotapieCar">
    <w:name w:val="Texto nota pie Car"/>
    <w:basedOn w:val="Fuentedeprrafopredeter"/>
    <w:link w:val="Textonotapie"/>
    <w:semiHidden/>
    <w:rsid w:val="00AB104E"/>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AB104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1727</Words>
  <Characters>9504</Characters>
  <Application>Microsoft Office Word</Application>
  <DocSecurity>0</DocSecurity>
  <Lines>79</Lines>
  <Paragraphs>22</Paragraphs>
  <ScaleCrop>false</ScaleCrop>
  <Company/>
  <LinksUpToDate>false</LinksUpToDate>
  <CharactersWithSpaces>11209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1624-2007/TC-S3</dc:title>
  <dc:subject>APLICACIÓN DE SANCIÓN CONTRA LA EMPRESA HP IMPORT S.R.L. </dc:subject>
  <dc:creator>TRIBUNAL</dc:creator>
  <cp:keywords>CONSENTIMIENTO BUENA PRO</cp:keywords>
  <dc:description/>
  <cp:lastModifiedBy>lgavidia</cp:lastModifiedBy>
  <cp:revision>3</cp:revision>
  <dcterms:created xsi:type="dcterms:W3CDTF">2007-12-03T22:55:00Z</dcterms:created>
  <dcterms:modified xsi:type="dcterms:W3CDTF">2007-12-12T16:27:00Z</dcterms:modified>
  <cp:category>RESOLUCIÓN-TRIBUNAL</cp:category>
</cp:coreProperties>
</file>