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445" w:rsidRDefault="006A2445" w:rsidP="00101FE5">
      <w:pPr>
        <w:ind w:left="2160" w:right="2340"/>
        <w:jc w:val="both"/>
        <w:rPr>
          <w:rFonts w:ascii="Tahoma" w:hAnsi="Tahoma" w:cs="Tahoma"/>
          <w:b/>
          <w:i/>
        </w:rPr>
      </w:pPr>
      <w:r>
        <w:rPr>
          <w:rFonts w:ascii="Tahoma" w:hAnsi="Tahoma" w:cs="Tahoma"/>
          <w:b/>
          <w:i/>
        </w:rPr>
        <w:t>RESOLUCIÓN N</w:t>
      </w:r>
      <w:proofErr w:type="gramStart"/>
      <w:r>
        <w:rPr>
          <w:rFonts w:ascii="Tahoma" w:hAnsi="Tahoma" w:cs="Tahoma"/>
          <w:b/>
          <w:i/>
        </w:rPr>
        <w:t>.º</w:t>
      </w:r>
      <w:proofErr w:type="gramEnd"/>
      <w:r>
        <w:rPr>
          <w:rFonts w:ascii="Tahoma" w:hAnsi="Tahoma" w:cs="Tahoma"/>
          <w:b/>
          <w:i/>
        </w:rPr>
        <w:t xml:space="preserve"> 1577-2007/TC-S3</w:t>
      </w:r>
    </w:p>
    <w:p w:rsidR="006A2445" w:rsidRDefault="006A2445" w:rsidP="00101FE5">
      <w:pPr>
        <w:ind w:left="2160" w:right="2340"/>
        <w:jc w:val="both"/>
        <w:rPr>
          <w:rFonts w:ascii="Tahoma" w:hAnsi="Tahoma" w:cs="Tahoma"/>
          <w:b/>
          <w:i/>
        </w:rPr>
      </w:pPr>
    </w:p>
    <w:p w:rsidR="00101FE5" w:rsidRPr="00F8407A" w:rsidRDefault="00101FE5" w:rsidP="00101FE5">
      <w:pPr>
        <w:ind w:left="2160" w:right="2340"/>
        <w:jc w:val="both"/>
        <w:rPr>
          <w:rFonts w:ascii="Tahoma" w:hAnsi="Tahoma" w:cs="Tahoma"/>
          <w:i/>
        </w:rPr>
      </w:pPr>
      <w:r w:rsidRPr="00F8407A">
        <w:rPr>
          <w:rFonts w:ascii="Tahoma" w:hAnsi="Tahoma" w:cs="Tahoma"/>
          <w:b/>
          <w:i/>
        </w:rPr>
        <w:t>Sumilla</w:t>
      </w:r>
      <w:r w:rsidRPr="00F8407A">
        <w:rPr>
          <w:rFonts w:ascii="Tahoma" w:hAnsi="Tahoma" w:cs="Tahoma"/>
          <w:i/>
        </w:rPr>
        <w:t xml:space="preserve">   :  El Reglamento de la Ley de Contrataciones y Adquisiciones del Estado dispone expresamente, sin lugar a una interpretación distinta, que el consentimiento se producirá a los cinco (05) días hábiles de su notificación, es decir, no se ha establecido normativamente una etapa para el consentimiento de la adjudicación  realizada, sino que se trata de una condición que surge a favor del administrado, con el solo devenir o transcurrir del tiempo, produciendo una situación incuestionable al otorgamiento realizado, sin necesidad de una etapa independiente para que este acto se configure o perfeccione. Por lo tanto, debe considerarse que la publicación en el Sistema Electrónico de Contrataciones y Adquisiciones del Estado (SEACE), solo tiene efectos declarativos y no constitutivos. </w:t>
      </w:r>
    </w:p>
    <w:p w:rsidR="00101FE5" w:rsidRDefault="00101FE5" w:rsidP="00101FE5">
      <w:pPr>
        <w:tabs>
          <w:tab w:val="left" w:pos="2340"/>
          <w:tab w:val="left" w:pos="2880"/>
        </w:tabs>
        <w:ind w:left="2700" w:right="1620" w:hanging="1440"/>
        <w:jc w:val="both"/>
        <w:rPr>
          <w:rFonts w:ascii="Tahoma" w:hAnsi="Tahoma" w:cs="Tahoma"/>
          <w:i/>
        </w:rPr>
      </w:pPr>
    </w:p>
    <w:p w:rsidR="00101FE5" w:rsidRPr="00D949F4" w:rsidRDefault="00101FE5" w:rsidP="00101FE5">
      <w:pPr>
        <w:tabs>
          <w:tab w:val="left" w:pos="2340"/>
          <w:tab w:val="left" w:pos="2880"/>
        </w:tabs>
        <w:ind w:left="2700" w:right="1620" w:hanging="1440"/>
        <w:jc w:val="both"/>
        <w:rPr>
          <w:rFonts w:ascii="Tahoma" w:hAnsi="Tahoma" w:cs="Tahoma"/>
          <w:i/>
        </w:rPr>
      </w:pPr>
    </w:p>
    <w:p w:rsidR="00101FE5" w:rsidRPr="00D949F4" w:rsidRDefault="00101FE5" w:rsidP="00101FE5">
      <w:pPr>
        <w:pStyle w:val="Textoindependiente3"/>
        <w:ind w:left="4956" w:firstLine="84"/>
        <w:rPr>
          <w:rFonts w:ascii="Tahoma" w:hAnsi="Tahoma" w:cs="Tahoma"/>
          <w:b/>
          <w:sz w:val="20"/>
          <w:szCs w:val="20"/>
        </w:rPr>
      </w:pPr>
      <w:r w:rsidRPr="00D949F4">
        <w:rPr>
          <w:rFonts w:ascii="Tahoma" w:hAnsi="Tahoma" w:cs="Tahoma"/>
          <w:b/>
          <w:sz w:val="20"/>
          <w:szCs w:val="20"/>
        </w:rPr>
        <w:t xml:space="preserve">Lima,  </w:t>
      </w:r>
      <w:r w:rsidR="006A2445">
        <w:rPr>
          <w:rFonts w:ascii="Tahoma" w:hAnsi="Tahoma" w:cs="Tahoma"/>
          <w:b/>
          <w:sz w:val="20"/>
          <w:szCs w:val="20"/>
        </w:rPr>
        <w:t>10 DE OCTUBRE DE 2007</w:t>
      </w:r>
    </w:p>
    <w:p w:rsidR="00101FE5" w:rsidRPr="00D949F4" w:rsidRDefault="00101FE5" w:rsidP="00101FE5">
      <w:pPr>
        <w:pStyle w:val="Textoindependiente"/>
        <w:tabs>
          <w:tab w:val="left" w:pos="540"/>
        </w:tabs>
        <w:rPr>
          <w:rFonts w:cs="Tahoma"/>
          <w:b/>
          <w:sz w:val="20"/>
          <w:lang w:val="es-PE"/>
        </w:rPr>
      </w:pPr>
    </w:p>
    <w:p w:rsidR="00101FE5" w:rsidRPr="008D008A" w:rsidRDefault="00101FE5" w:rsidP="00101FE5">
      <w:pPr>
        <w:jc w:val="both"/>
        <w:rPr>
          <w:rFonts w:ascii="Tahoma" w:hAnsi="Tahoma" w:cs="Tahoma"/>
          <w:color w:val="000000"/>
        </w:rPr>
      </w:pPr>
      <w:r w:rsidRPr="008D008A">
        <w:rPr>
          <w:rFonts w:ascii="Tahoma" w:hAnsi="Tahoma" w:cs="Tahoma"/>
          <w:b/>
        </w:rPr>
        <w:t>VISTO</w:t>
      </w:r>
      <w:r w:rsidRPr="008D008A">
        <w:rPr>
          <w:rFonts w:ascii="Tahoma" w:hAnsi="Tahoma" w:cs="Tahoma"/>
        </w:rPr>
        <w:t xml:space="preserve">, </w:t>
      </w:r>
      <w:r w:rsidRPr="008D008A">
        <w:rPr>
          <w:rFonts w:ascii="Tahoma" w:hAnsi="Tahoma" w:cs="Tahoma"/>
          <w:color w:val="000000"/>
        </w:rPr>
        <w:t xml:space="preserve">en sesión de fecha </w:t>
      </w:r>
      <w:r>
        <w:rPr>
          <w:rFonts w:ascii="Tahoma" w:hAnsi="Tahoma" w:cs="Tahoma"/>
          <w:color w:val="000000"/>
        </w:rPr>
        <w:t>26</w:t>
      </w:r>
      <w:r w:rsidRPr="008D008A">
        <w:rPr>
          <w:rFonts w:ascii="Tahoma" w:hAnsi="Tahoma" w:cs="Tahoma"/>
          <w:color w:val="000000"/>
        </w:rPr>
        <w:t xml:space="preserve"> de </w:t>
      </w:r>
      <w:r>
        <w:rPr>
          <w:rFonts w:ascii="Tahoma" w:hAnsi="Tahoma" w:cs="Tahoma"/>
          <w:color w:val="000000"/>
        </w:rPr>
        <w:t xml:space="preserve">setiembre </w:t>
      </w:r>
      <w:r w:rsidRPr="008D008A">
        <w:rPr>
          <w:rFonts w:ascii="Tahoma" w:hAnsi="Tahoma" w:cs="Tahoma"/>
          <w:color w:val="000000"/>
        </w:rPr>
        <w:t xml:space="preserve">de 2007 de la Tercera Sala del Tribunal de Contrataciones y Adquisiciones del Estado el Expediente N.° </w:t>
      </w:r>
      <w:r>
        <w:rPr>
          <w:rFonts w:ascii="Tahoma" w:hAnsi="Tahoma" w:cs="Tahoma"/>
          <w:color w:val="000000"/>
        </w:rPr>
        <w:t>315</w:t>
      </w:r>
      <w:r w:rsidRPr="008D008A">
        <w:rPr>
          <w:rFonts w:ascii="Tahoma" w:hAnsi="Tahoma" w:cs="Tahoma"/>
          <w:color w:val="000000"/>
        </w:rPr>
        <w:t>.200</w:t>
      </w:r>
      <w:r>
        <w:rPr>
          <w:rFonts w:ascii="Tahoma" w:hAnsi="Tahoma" w:cs="Tahoma"/>
          <w:color w:val="000000"/>
        </w:rPr>
        <w:t>6</w:t>
      </w:r>
      <w:r w:rsidRPr="008D008A">
        <w:rPr>
          <w:rFonts w:ascii="Tahoma" w:hAnsi="Tahoma" w:cs="Tahoma"/>
          <w:color w:val="000000"/>
        </w:rPr>
        <w:t xml:space="preserve">.TC, sobre el recurso de reconsideración interpuesto por la empresa </w:t>
      </w:r>
      <w:r w:rsidRPr="00D72BA4">
        <w:rPr>
          <w:rFonts w:ascii="Tahoma" w:hAnsi="Tahoma" w:cs="Tahoma"/>
          <w:b/>
        </w:rPr>
        <w:t>MORGAN SEGURITY S.A.C.</w:t>
      </w:r>
      <w:r w:rsidRPr="00D72BA4">
        <w:rPr>
          <w:rFonts w:ascii="Tahoma" w:hAnsi="Tahoma" w:cs="Tahoma"/>
        </w:rPr>
        <w:t xml:space="preserve"> </w:t>
      </w:r>
      <w:r w:rsidRPr="008D008A">
        <w:rPr>
          <w:rFonts w:ascii="Tahoma" w:hAnsi="Tahoma" w:cs="Tahoma"/>
          <w:color w:val="000000"/>
        </w:rPr>
        <w:t xml:space="preserve">contra la </w:t>
      </w:r>
      <w:r w:rsidRPr="008D008A">
        <w:rPr>
          <w:rFonts w:ascii="Tahoma" w:hAnsi="Tahoma" w:cs="Tahoma"/>
          <w:lang w:val="es-PE"/>
        </w:rPr>
        <w:t xml:space="preserve">Resolución N.º </w:t>
      </w:r>
      <w:r w:rsidRPr="00D72BA4">
        <w:rPr>
          <w:rFonts w:ascii="Tahoma" w:hAnsi="Tahoma" w:cs="Tahoma"/>
        </w:rPr>
        <w:t>1337/2007.TC-S3 de fecha 11 de setiembre de 2007</w:t>
      </w:r>
      <w:r w:rsidRPr="008D008A">
        <w:rPr>
          <w:rFonts w:ascii="Tahoma" w:hAnsi="Tahoma" w:cs="Tahoma"/>
          <w:color w:val="000000"/>
        </w:rPr>
        <w:t xml:space="preserve">, mediante la cual, el Tribunal de Contrataciones y Adquisiciones del Estado le impuso sanción administrativa por </w:t>
      </w:r>
      <w:r>
        <w:rPr>
          <w:rFonts w:ascii="Tahoma" w:hAnsi="Tahoma" w:cs="Tahoma"/>
          <w:color w:val="000000"/>
        </w:rPr>
        <w:t xml:space="preserve">no suscribir injustificadamente el contrato derivado </w:t>
      </w:r>
      <w:r w:rsidRPr="00D72BA4">
        <w:rPr>
          <w:rFonts w:ascii="Tahoma" w:hAnsi="Tahoma" w:cs="Tahoma"/>
        </w:rPr>
        <w:t>Concurso Público N.º 0001-2005-ONPE efectuado por la Oficina Nacional de Procesos Electorales</w:t>
      </w:r>
      <w:r>
        <w:rPr>
          <w:rFonts w:ascii="Tahoma" w:hAnsi="Tahoma" w:cs="Tahoma"/>
        </w:rPr>
        <w:t xml:space="preserve"> (ONPE)</w:t>
      </w:r>
      <w:r w:rsidRPr="00D72BA4">
        <w:rPr>
          <w:rFonts w:ascii="Tahoma" w:hAnsi="Tahoma" w:cs="Tahoma"/>
        </w:rPr>
        <w:t xml:space="preserve"> para la Contratación del Servicio de Seguridad y Vigilancia</w:t>
      </w:r>
      <w:r w:rsidRPr="008D008A">
        <w:rPr>
          <w:rFonts w:ascii="Tahoma" w:hAnsi="Tahoma" w:cs="Tahoma"/>
        </w:rPr>
        <w:t xml:space="preserve">; </w:t>
      </w:r>
      <w:r w:rsidRPr="008D008A">
        <w:rPr>
          <w:rFonts w:ascii="Tahoma" w:hAnsi="Tahoma" w:cs="Tahoma"/>
          <w:color w:val="000000"/>
        </w:rPr>
        <w:t>y atendiendo a los siguientes:</w:t>
      </w:r>
    </w:p>
    <w:p w:rsidR="00101FE5" w:rsidRPr="00D949F4" w:rsidRDefault="00101FE5" w:rsidP="00101FE5">
      <w:pPr>
        <w:pStyle w:val="Textoindependiente"/>
        <w:widowControl/>
        <w:tabs>
          <w:tab w:val="left" w:pos="540"/>
        </w:tabs>
        <w:suppressAutoHyphens w:val="0"/>
        <w:rPr>
          <w:rFonts w:cs="Tahoma"/>
          <w:sz w:val="20"/>
        </w:rPr>
      </w:pPr>
      <w:r w:rsidRPr="00D949F4">
        <w:rPr>
          <w:rFonts w:cs="Tahoma"/>
          <w:sz w:val="20"/>
        </w:rPr>
        <w:t xml:space="preserve">   </w:t>
      </w:r>
    </w:p>
    <w:p w:rsidR="00101FE5" w:rsidRPr="00D949F4" w:rsidRDefault="00101FE5" w:rsidP="00101FE5">
      <w:pPr>
        <w:jc w:val="both"/>
        <w:rPr>
          <w:rFonts w:ascii="Tahoma" w:hAnsi="Tahoma" w:cs="Tahoma"/>
          <w:b/>
          <w:shadow/>
        </w:rPr>
      </w:pPr>
      <w:r w:rsidRPr="00D949F4">
        <w:rPr>
          <w:rFonts w:ascii="Tahoma" w:hAnsi="Tahoma" w:cs="Tahoma"/>
          <w:b/>
          <w:shadow/>
        </w:rPr>
        <w:t>ANTECEDENTES:</w:t>
      </w:r>
    </w:p>
    <w:p w:rsidR="00101FE5" w:rsidRDefault="00101FE5" w:rsidP="00101FE5">
      <w:pPr>
        <w:jc w:val="both"/>
        <w:rPr>
          <w:rFonts w:ascii="Tahoma" w:hAnsi="Tahoma" w:cs="Tahoma"/>
          <w:shadow/>
        </w:rPr>
      </w:pPr>
    </w:p>
    <w:p w:rsidR="00101FE5" w:rsidRPr="00D72BA4" w:rsidRDefault="00101FE5" w:rsidP="00101FE5">
      <w:pPr>
        <w:numPr>
          <w:ilvl w:val="0"/>
          <w:numId w:val="1"/>
        </w:numPr>
        <w:ind w:hanging="540"/>
        <w:jc w:val="both"/>
        <w:rPr>
          <w:rFonts w:ascii="Tahoma" w:hAnsi="Tahoma" w:cs="Tahoma"/>
        </w:rPr>
      </w:pPr>
      <w:r w:rsidRPr="00D72BA4">
        <w:rPr>
          <w:rFonts w:ascii="Tahoma" w:hAnsi="Tahoma" w:cs="Tahoma"/>
        </w:rPr>
        <w:t xml:space="preserve">Mediante Resolución N.° 1337/2007.TC-S3 de fecha 11 de setiembre de 2007, la Tercera Sala del Tribunal de Contrataciones y Adquisiciones del Estado resolvió el Expediente N.° 315.2006.TC referido al procedimiento de aplicación de sanción a la empresa </w:t>
      </w:r>
      <w:r w:rsidRPr="00D72BA4">
        <w:rPr>
          <w:rFonts w:ascii="Tahoma" w:hAnsi="Tahoma" w:cs="Tahoma"/>
          <w:b/>
        </w:rPr>
        <w:t>MORGAN SEGURITY S.A.C.</w:t>
      </w:r>
      <w:r w:rsidRPr="00D72BA4">
        <w:rPr>
          <w:rFonts w:ascii="Tahoma" w:hAnsi="Tahoma" w:cs="Tahoma"/>
        </w:rPr>
        <w:t xml:space="preserve"> en adelante el Postor, por supuesta responsabilidad en la no suscripción injustificada del contrato derivado del Concurso Público N.º 0001-2005-ONPE efectuado por la Oficina Nacional de Procesos Electorales para la Contratación del Servicio de Seguridad y Vigilancia.</w:t>
      </w:r>
    </w:p>
    <w:p w:rsidR="00101FE5" w:rsidRPr="00D72BA4" w:rsidRDefault="00101FE5" w:rsidP="00101FE5">
      <w:pPr>
        <w:ind w:left="180"/>
        <w:jc w:val="both"/>
        <w:rPr>
          <w:rFonts w:ascii="Tahoma" w:hAnsi="Tahoma" w:cs="Tahoma"/>
        </w:rPr>
      </w:pPr>
    </w:p>
    <w:p w:rsidR="00101FE5" w:rsidRPr="00D72BA4" w:rsidRDefault="00101FE5" w:rsidP="00101FE5">
      <w:pPr>
        <w:tabs>
          <w:tab w:val="num" w:pos="360"/>
        </w:tabs>
        <w:ind w:left="708"/>
        <w:jc w:val="both"/>
        <w:rPr>
          <w:rFonts w:ascii="Tahoma" w:hAnsi="Tahoma" w:cs="Tahoma"/>
        </w:rPr>
      </w:pPr>
      <w:r w:rsidRPr="00D72BA4">
        <w:rPr>
          <w:rFonts w:ascii="Tahoma" w:hAnsi="Tahoma" w:cs="Tahoma"/>
        </w:rPr>
        <w:t>A través de la citada resolución, dicho Colegiado sancionó al Postor con dieciséis (16) meses de inhabilitación temporal en su derecho de participar en procesos de selección y contratar con el Estado por la comisión de la infracción tipificada en el numeral</w:t>
      </w:r>
      <w:r>
        <w:rPr>
          <w:rFonts w:ascii="Tahoma" w:hAnsi="Tahoma" w:cs="Tahoma"/>
        </w:rPr>
        <w:t xml:space="preserve"> 1</w:t>
      </w:r>
      <w:r w:rsidRPr="00D72BA4">
        <w:rPr>
          <w:rFonts w:ascii="Tahoma" w:hAnsi="Tahoma" w:cs="Tahoma"/>
        </w:rPr>
        <w:t>) del artículo 294 del Reglamento de la Ley de Contrataciones y Adquisiciones del Estado, aprobado por Decreto Supremo N.° 084-2004-PCM, en lo sucesivo el Reglamento.</w:t>
      </w:r>
    </w:p>
    <w:p w:rsidR="00101FE5" w:rsidRPr="00D72BA4" w:rsidRDefault="00101FE5" w:rsidP="00101FE5">
      <w:pPr>
        <w:tabs>
          <w:tab w:val="num" w:pos="360"/>
        </w:tabs>
        <w:ind w:left="360" w:hanging="360"/>
        <w:jc w:val="both"/>
        <w:rPr>
          <w:rFonts w:ascii="Tahoma" w:hAnsi="Tahoma" w:cs="Tahoma"/>
        </w:rPr>
      </w:pPr>
    </w:p>
    <w:p w:rsidR="00101FE5" w:rsidRPr="00D72BA4" w:rsidRDefault="00101FE5" w:rsidP="00101FE5">
      <w:pPr>
        <w:numPr>
          <w:ilvl w:val="0"/>
          <w:numId w:val="1"/>
        </w:numPr>
        <w:ind w:hanging="540"/>
        <w:jc w:val="both"/>
        <w:rPr>
          <w:rFonts w:ascii="Tahoma" w:hAnsi="Tahoma" w:cs="Tahoma"/>
          <w:b/>
          <w:i/>
        </w:rPr>
      </w:pPr>
      <w:r w:rsidRPr="00D72BA4">
        <w:rPr>
          <w:rFonts w:ascii="Tahoma" w:hAnsi="Tahoma" w:cs="Tahoma"/>
        </w:rPr>
        <w:lastRenderedPageBreak/>
        <w:t xml:space="preserve">El acto administrativo anteriormente mencionado fue debidamente diligenciado el 12 de setiembre de 2007, mediante la Cédula de notificación N. º 27833/2007 al domicilio procesal señalado por el Postor en sus descargos, </w:t>
      </w:r>
      <w:proofErr w:type="spellStart"/>
      <w:r w:rsidRPr="00D72BA4">
        <w:rPr>
          <w:rFonts w:ascii="Tahoma" w:hAnsi="Tahoma" w:cs="Tahoma"/>
          <w:b/>
          <w:i/>
        </w:rPr>
        <w:t>Jr.</w:t>
      </w:r>
      <w:proofErr w:type="spellEnd"/>
      <w:r w:rsidRPr="00D72BA4">
        <w:rPr>
          <w:rFonts w:ascii="Tahoma" w:hAnsi="Tahoma" w:cs="Tahoma"/>
          <w:b/>
          <w:i/>
        </w:rPr>
        <w:t xml:space="preserve"> Julio Vega Solís N</w:t>
      </w:r>
      <w:proofErr w:type="gramStart"/>
      <w:r w:rsidRPr="00D72BA4">
        <w:rPr>
          <w:rFonts w:ascii="Tahoma" w:hAnsi="Tahoma" w:cs="Tahoma"/>
          <w:b/>
          <w:i/>
        </w:rPr>
        <w:t>.º</w:t>
      </w:r>
      <w:proofErr w:type="gramEnd"/>
      <w:r w:rsidRPr="00D72BA4">
        <w:rPr>
          <w:rFonts w:ascii="Tahoma" w:hAnsi="Tahoma" w:cs="Tahoma"/>
          <w:b/>
          <w:i/>
        </w:rPr>
        <w:t xml:space="preserve"> 265 – Chorrillos.</w:t>
      </w:r>
    </w:p>
    <w:p w:rsidR="00101FE5" w:rsidRPr="00D72BA4" w:rsidRDefault="00101FE5" w:rsidP="00101FE5">
      <w:pPr>
        <w:ind w:left="180"/>
        <w:jc w:val="both"/>
        <w:rPr>
          <w:rFonts w:ascii="Tahoma" w:hAnsi="Tahoma" w:cs="Tahoma"/>
          <w:b/>
          <w:i/>
        </w:rPr>
      </w:pPr>
    </w:p>
    <w:p w:rsidR="00101FE5" w:rsidRPr="00D72BA4" w:rsidRDefault="00101FE5" w:rsidP="00101FE5">
      <w:pPr>
        <w:numPr>
          <w:ilvl w:val="0"/>
          <w:numId w:val="1"/>
        </w:numPr>
        <w:ind w:hanging="540"/>
        <w:jc w:val="both"/>
        <w:rPr>
          <w:rFonts w:ascii="Tahoma" w:hAnsi="Tahoma" w:cs="Tahoma"/>
        </w:rPr>
      </w:pPr>
      <w:r w:rsidRPr="00D72BA4">
        <w:rPr>
          <w:rFonts w:ascii="Tahoma" w:hAnsi="Tahoma" w:cs="Tahoma"/>
        </w:rPr>
        <w:t>Mediante escritos presentados el 17  y 19 de setiembre de 2007, el Postor interpuso dentro del plazo legal establecido recurso de reconsideración contra la Resolución N.° 1337/2007.TC-S3, a fin que se revoque la sanción impuesta a través de la recurrida, por contravenir los principios esenciales del procedimiento administrativo sancionador, por los siguientes fundamentos:</w:t>
      </w:r>
    </w:p>
    <w:p w:rsidR="00101FE5" w:rsidRPr="00D72BA4" w:rsidRDefault="00101FE5" w:rsidP="00101FE5">
      <w:pPr>
        <w:ind w:left="180"/>
        <w:jc w:val="both"/>
        <w:rPr>
          <w:rFonts w:ascii="Tahoma" w:hAnsi="Tahoma" w:cs="Tahoma"/>
        </w:rPr>
      </w:pPr>
    </w:p>
    <w:p w:rsidR="00101FE5" w:rsidRPr="00D72BA4" w:rsidRDefault="00101FE5" w:rsidP="00101FE5">
      <w:pPr>
        <w:ind w:left="1413" w:hanging="705"/>
        <w:jc w:val="both"/>
        <w:rPr>
          <w:rFonts w:ascii="Tahoma" w:hAnsi="Tahoma" w:cs="Tahoma"/>
        </w:rPr>
      </w:pPr>
      <w:r w:rsidRPr="00D72BA4">
        <w:rPr>
          <w:rFonts w:ascii="Tahoma" w:hAnsi="Tahoma" w:cs="Tahoma"/>
          <w:b/>
        </w:rPr>
        <w:t>a.</w:t>
      </w:r>
      <w:r w:rsidRPr="00D72BA4">
        <w:rPr>
          <w:rFonts w:ascii="Tahoma" w:hAnsi="Tahoma" w:cs="Tahoma"/>
          <w:b/>
        </w:rPr>
        <w:tab/>
      </w:r>
      <w:r w:rsidRPr="00D72BA4">
        <w:rPr>
          <w:rFonts w:ascii="Tahoma" w:hAnsi="Tahoma" w:cs="Tahoma"/>
        </w:rPr>
        <w:t xml:space="preserve">En la referida resolución se indicó que el acto público de otorgamiento de la buena pro ocurrió el 18 de julio de 2005, y quedó consentida el 25 del mismo mes, por lo que la Entidad al día siguiente estaba habilitada </w:t>
      </w:r>
      <w:proofErr w:type="spellStart"/>
      <w:r w:rsidRPr="00D72BA4">
        <w:rPr>
          <w:rFonts w:ascii="Tahoma" w:hAnsi="Tahoma" w:cs="Tahoma"/>
        </w:rPr>
        <w:t>par</w:t>
      </w:r>
      <w:proofErr w:type="spellEnd"/>
      <w:r w:rsidRPr="00D72BA4">
        <w:rPr>
          <w:rFonts w:ascii="Tahoma" w:hAnsi="Tahoma" w:cs="Tahoma"/>
        </w:rPr>
        <w:t xml:space="preserve"> notificar al postor ganador de la buena pro para la firma del contrato. El artículo 203 del Reglamento establece que dentro de los cinco días siguientes al consentimiento de la Buena Pro, la Entidad deberá citar al postor ganador otorgándole  un plazo de diez días hábiles para la suscripción del contrato. En el presente caso, el consentimiento del referido acto se llevó a cabo el 26 de julio de 2005 y no el 25 tal como lo señala la resolución impugnada.</w:t>
      </w:r>
    </w:p>
    <w:p w:rsidR="00101FE5" w:rsidRPr="00D72BA4" w:rsidRDefault="00101FE5" w:rsidP="00101FE5">
      <w:pPr>
        <w:ind w:left="1413" w:hanging="705"/>
        <w:jc w:val="both"/>
        <w:rPr>
          <w:rFonts w:ascii="Tahoma" w:hAnsi="Tahoma" w:cs="Tahoma"/>
        </w:rPr>
      </w:pPr>
    </w:p>
    <w:p w:rsidR="00101FE5" w:rsidRPr="00D72BA4" w:rsidRDefault="00101FE5" w:rsidP="00101FE5">
      <w:pPr>
        <w:ind w:left="1413" w:hanging="705"/>
        <w:jc w:val="both"/>
        <w:rPr>
          <w:rFonts w:ascii="Tahoma" w:hAnsi="Tahoma" w:cs="Tahoma"/>
        </w:rPr>
      </w:pPr>
      <w:r w:rsidRPr="00D72BA4">
        <w:rPr>
          <w:rFonts w:ascii="Tahoma" w:hAnsi="Tahoma" w:cs="Tahoma"/>
          <w:b/>
        </w:rPr>
        <w:t>b.</w:t>
      </w:r>
      <w:r w:rsidRPr="00D72BA4">
        <w:rPr>
          <w:rFonts w:ascii="Tahoma" w:hAnsi="Tahoma" w:cs="Tahoma"/>
          <w:b/>
        </w:rPr>
        <w:tab/>
      </w:r>
      <w:r w:rsidRPr="00D72BA4">
        <w:rPr>
          <w:rFonts w:ascii="Tahoma" w:hAnsi="Tahoma" w:cs="Tahoma"/>
        </w:rPr>
        <w:t>Para realizar el cómputo correcto es preciso considerar que el 18 de julio fue un día lunes, siendo que los cinco días se empezaron a computar a partir del día siguiente; es decir, 19, 20, 21, 22 y 25. Dicha situación supone que el 25 ocurrieron dos hechos, el consentimiento de la buena pro y el último día para impugnar dicho acto. De esta manera podemos interpretar que el plazo para impugnar  no es de cinco, sino de cuatro días, ya que el quinto día la buena pro recién está consentida, por otro lado, otra interpretación posible sería que el quinto día debe dividirse en dos partes, la primera estaría en comprendida en el horario de atención de mesa de partes de la Entidad y la segunda, luego del cierre de atención para efectos del consentimiento.</w:t>
      </w:r>
    </w:p>
    <w:p w:rsidR="00101FE5" w:rsidRPr="00D72BA4" w:rsidRDefault="00101FE5" w:rsidP="00101FE5">
      <w:pPr>
        <w:ind w:left="1413" w:hanging="705"/>
        <w:jc w:val="both"/>
        <w:rPr>
          <w:rFonts w:ascii="Tahoma" w:hAnsi="Tahoma" w:cs="Tahoma"/>
        </w:rPr>
      </w:pPr>
    </w:p>
    <w:p w:rsidR="00101FE5" w:rsidRPr="00D72BA4" w:rsidRDefault="00101FE5" w:rsidP="00101FE5">
      <w:pPr>
        <w:ind w:left="1413" w:hanging="705"/>
        <w:jc w:val="both"/>
        <w:rPr>
          <w:rFonts w:ascii="Tahoma" w:hAnsi="Tahoma" w:cs="Tahoma"/>
        </w:rPr>
      </w:pPr>
    </w:p>
    <w:p w:rsidR="00101FE5" w:rsidRPr="00D72BA4" w:rsidRDefault="00101FE5" w:rsidP="00101FE5">
      <w:pPr>
        <w:numPr>
          <w:ilvl w:val="0"/>
          <w:numId w:val="3"/>
        </w:numPr>
        <w:tabs>
          <w:tab w:val="clear" w:pos="1068"/>
          <w:tab w:val="num" w:pos="1440"/>
        </w:tabs>
        <w:ind w:left="1440" w:hanging="732"/>
        <w:jc w:val="both"/>
        <w:rPr>
          <w:rFonts w:ascii="Tahoma" w:hAnsi="Tahoma" w:cs="Tahoma"/>
        </w:rPr>
      </w:pPr>
      <w:r w:rsidRPr="00D72BA4">
        <w:rPr>
          <w:rFonts w:ascii="Tahoma" w:hAnsi="Tahoma" w:cs="Tahoma"/>
        </w:rPr>
        <w:t>Tal apreciación carece de sentido lógico y legal, puesto que conforme a la Ley del Procedimiento Administrativo General, los plazos se computan en días completos y no en partes o porciones de él. Siendo así que el quinto día después de haber otorgado la buena pro pertenece exclusivamente a la etapa probable para su impugnación y recién al día siguiente opera el consentimiento de aquella, como en efecto lo realizó la Entidad publicando el día 26 dicha condición el SEACE. Al haber sido publicado el consentimiento en la fecha antes mencionada, su notificación se produjo el 27, por lo que a partir de ese momento la Entidad estaba habilitada para notificar al postor ganador de la Buena Pro.</w:t>
      </w:r>
    </w:p>
    <w:p w:rsidR="00101FE5" w:rsidRPr="00D72BA4" w:rsidRDefault="00101FE5" w:rsidP="00101FE5">
      <w:pPr>
        <w:jc w:val="both"/>
        <w:rPr>
          <w:rFonts w:ascii="Tahoma" w:hAnsi="Tahoma" w:cs="Tahoma"/>
        </w:rPr>
      </w:pPr>
      <w:r w:rsidRPr="00D72BA4">
        <w:rPr>
          <w:rFonts w:ascii="Tahoma" w:hAnsi="Tahoma" w:cs="Tahoma"/>
        </w:rPr>
        <w:t xml:space="preserve"> </w:t>
      </w:r>
    </w:p>
    <w:p w:rsidR="00101FE5" w:rsidRPr="00D72BA4" w:rsidRDefault="00101FE5" w:rsidP="00101FE5">
      <w:pPr>
        <w:numPr>
          <w:ilvl w:val="0"/>
          <w:numId w:val="2"/>
        </w:numPr>
        <w:tabs>
          <w:tab w:val="clear" w:pos="1080"/>
        </w:tabs>
        <w:ind w:left="1440" w:hanging="720"/>
        <w:jc w:val="both"/>
        <w:rPr>
          <w:rFonts w:ascii="Tahoma" w:hAnsi="Tahoma" w:cs="Tahoma"/>
        </w:rPr>
      </w:pPr>
      <w:r w:rsidRPr="00D72BA4">
        <w:rPr>
          <w:rFonts w:ascii="Tahoma" w:hAnsi="Tahoma" w:cs="Tahoma"/>
        </w:rPr>
        <w:t>En ese orden de ideas, si el término para impugnar la Buena pro culminó el 25 de julio, su consentimiento operó el día siguiente, pues como se ha indicado, no es posible que en un mismo día se produzcan dos actos administrativos de ocurrencia sucesiva, porque primero debe operar uno en un día determinado y a continuación, en el día siguiente el segundo acto.</w:t>
      </w:r>
    </w:p>
    <w:p w:rsidR="00101FE5" w:rsidRPr="00D72BA4" w:rsidRDefault="00101FE5" w:rsidP="00101FE5">
      <w:pPr>
        <w:jc w:val="both"/>
        <w:rPr>
          <w:rFonts w:ascii="Tahoma" w:hAnsi="Tahoma" w:cs="Tahoma"/>
        </w:rPr>
      </w:pPr>
    </w:p>
    <w:p w:rsidR="00101FE5" w:rsidRPr="00D72BA4" w:rsidRDefault="00101FE5" w:rsidP="00101FE5">
      <w:pPr>
        <w:numPr>
          <w:ilvl w:val="0"/>
          <w:numId w:val="2"/>
        </w:numPr>
        <w:tabs>
          <w:tab w:val="clear" w:pos="1080"/>
        </w:tabs>
        <w:ind w:left="1440" w:hanging="720"/>
        <w:jc w:val="both"/>
        <w:rPr>
          <w:rFonts w:ascii="Tahoma" w:hAnsi="Tahoma" w:cs="Tahoma"/>
        </w:rPr>
      </w:pPr>
      <w:r w:rsidRPr="00D72BA4">
        <w:rPr>
          <w:rFonts w:ascii="Tahoma" w:hAnsi="Tahoma" w:cs="Tahoma"/>
        </w:rPr>
        <w:lastRenderedPageBreak/>
        <w:t>Por este desarrollo de ideas, el Postor considera que la citación realizada para suscribir el contrato el día 26 de julio carece de eficacia jurídica, puesto que ha sido emitida en flagrante contravención al debido procedimiento de suscripción, deviniendo en Nula por contravenir una norma legal expresa.</w:t>
      </w:r>
    </w:p>
    <w:p w:rsidR="00101FE5" w:rsidRPr="00D72BA4" w:rsidRDefault="00101FE5" w:rsidP="00101FE5">
      <w:pPr>
        <w:jc w:val="both"/>
        <w:rPr>
          <w:rFonts w:ascii="Tahoma" w:hAnsi="Tahoma" w:cs="Tahoma"/>
        </w:rPr>
      </w:pPr>
    </w:p>
    <w:p w:rsidR="00101FE5" w:rsidRPr="00D72BA4" w:rsidRDefault="00101FE5" w:rsidP="00101FE5">
      <w:pPr>
        <w:numPr>
          <w:ilvl w:val="0"/>
          <w:numId w:val="2"/>
        </w:numPr>
        <w:tabs>
          <w:tab w:val="clear" w:pos="1080"/>
        </w:tabs>
        <w:ind w:left="1440" w:hanging="720"/>
        <w:jc w:val="both"/>
        <w:rPr>
          <w:rFonts w:ascii="Tahoma" w:hAnsi="Tahoma" w:cs="Tahoma"/>
        </w:rPr>
      </w:pPr>
      <w:r w:rsidRPr="00D72BA4">
        <w:rPr>
          <w:rFonts w:ascii="Tahoma" w:hAnsi="Tahoma" w:cs="Tahoma"/>
        </w:rPr>
        <w:t>La infracción imputada supone el cumplimiento de dos supuestos: a) Que el Postor haya sido citado para la firma del contrato conforme al artículo 203 del Reglamento y, b) Que se niegue a suscribir injustificadamente el contrato. De no realizarse válidamente alguno de los actos referidos, se estaría frente a una conducta atípica.</w:t>
      </w:r>
    </w:p>
    <w:p w:rsidR="00101FE5" w:rsidRPr="00D72BA4" w:rsidRDefault="00101FE5" w:rsidP="00101FE5">
      <w:pPr>
        <w:jc w:val="both"/>
        <w:rPr>
          <w:rFonts w:ascii="Tahoma" w:hAnsi="Tahoma" w:cs="Tahoma"/>
        </w:rPr>
      </w:pPr>
    </w:p>
    <w:p w:rsidR="00101FE5" w:rsidRPr="00D72BA4" w:rsidRDefault="00101FE5" w:rsidP="00101FE5">
      <w:pPr>
        <w:numPr>
          <w:ilvl w:val="0"/>
          <w:numId w:val="2"/>
        </w:numPr>
        <w:tabs>
          <w:tab w:val="clear" w:pos="1080"/>
        </w:tabs>
        <w:ind w:left="1440" w:hanging="720"/>
        <w:jc w:val="both"/>
        <w:rPr>
          <w:rFonts w:ascii="Tahoma" w:hAnsi="Tahoma" w:cs="Tahoma"/>
        </w:rPr>
      </w:pPr>
      <w:r w:rsidRPr="00D72BA4">
        <w:rPr>
          <w:rFonts w:ascii="Tahoma" w:hAnsi="Tahoma" w:cs="Tahoma"/>
        </w:rPr>
        <w:t>Por otro lado, el Postor nunca tuvo la intencionalidad de incumplir la suscripción del contrato en forma injustificada. Presentó casi en su totalidad la documentación requerida, sin embargo, por la renuncia de varios agentes propuestos para dicho servicio no pudimos presentar los documentos solicitados por las Bases administrativas.</w:t>
      </w:r>
    </w:p>
    <w:p w:rsidR="00101FE5" w:rsidRPr="00D72BA4" w:rsidRDefault="00101FE5" w:rsidP="00101FE5">
      <w:pPr>
        <w:jc w:val="both"/>
        <w:rPr>
          <w:rFonts w:ascii="Tahoma" w:hAnsi="Tahoma" w:cs="Tahoma"/>
        </w:rPr>
      </w:pPr>
    </w:p>
    <w:p w:rsidR="00101FE5" w:rsidRPr="00D72BA4" w:rsidRDefault="00101FE5" w:rsidP="00101FE5">
      <w:pPr>
        <w:numPr>
          <w:ilvl w:val="0"/>
          <w:numId w:val="2"/>
        </w:numPr>
        <w:tabs>
          <w:tab w:val="clear" w:pos="1080"/>
        </w:tabs>
        <w:ind w:left="1440" w:hanging="720"/>
        <w:jc w:val="both"/>
        <w:rPr>
          <w:rFonts w:ascii="Tahoma" w:hAnsi="Tahoma" w:cs="Tahoma"/>
        </w:rPr>
      </w:pPr>
      <w:r w:rsidRPr="00D72BA4">
        <w:rPr>
          <w:rFonts w:ascii="Tahoma" w:hAnsi="Tahoma" w:cs="Tahoma"/>
        </w:rPr>
        <w:t>Adicionalmente, la Sanción impuesta carece de proporcionalidad con las actuaciones que ha realizado nuestra empresa para la firma del contrato.</w:t>
      </w:r>
    </w:p>
    <w:p w:rsidR="00101FE5" w:rsidRPr="00D72BA4" w:rsidRDefault="00101FE5" w:rsidP="00101FE5">
      <w:pPr>
        <w:jc w:val="both"/>
        <w:rPr>
          <w:rFonts w:ascii="Tahoma" w:hAnsi="Tahoma" w:cs="Tahoma"/>
        </w:rPr>
      </w:pPr>
    </w:p>
    <w:p w:rsidR="00101FE5" w:rsidRPr="00D72BA4" w:rsidRDefault="00101FE5" w:rsidP="00101FE5">
      <w:pPr>
        <w:numPr>
          <w:ilvl w:val="0"/>
          <w:numId w:val="2"/>
        </w:numPr>
        <w:tabs>
          <w:tab w:val="clear" w:pos="1080"/>
        </w:tabs>
        <w:ind w:left="1440" w:hanging="720"/>
        <w:jc w:val="both"/>
        <w:rPr>
          <w:rFonts w:ascii="Tahoma" w:hAnsi="Tahoma" w:cs="Tahoma"/>
        </w:rPr>
      </w:pPr>
      <w:r w:rsidRPr="00D72BA4">
        <w:rPr>
          <w:rFonts w:ascii="Tahoma" w:hAnsi="Tahoma" w:cs="Tahoma"/>
        </w:rPr>
        <w:t>Por otro lado, nunca se generó un perjuicio o daño a la Entidad, porque existía otra empresa que había ocupado el segundo lugar en orden de prelación y éste se beneficio con el otorgamiento de la buena pro, por tal motivo, en ningún momento la Entidad dejo de verse provisto con el servicio de seguridad.</w:t>
      </w:r>
    </w:p>
    <w:p w:rsidR="00101FE5" w:rsidRPr="00D72BA4" w:rsidRDefault="00101FE5" w:rsidP="00101FE5">
      <w:pPr>
        <w:jc w:val="both"/>
        <w:rPr>
          <w:rFonts w:ascii="Tahoma" w:hAnsi="Tahoma" w:cs="Tahoma"/>
        </w:rPr>
      </w:pPr>
    </w:p>
    <w:p w:rsidR="00101FE5" w:rsidRPr="00D72BA4" w:rsidRDefault="00101FE5" w:rsidP="00101FE5">
      <w:pPr>
        <w:numPr>
          <w:ilvl w:val="0"/>
          <w:numId w:val="2"/>
        </w:numPr>
        <w:tabs>
          <w:tab w:val="clear" w:pos="1080"/>
        </w:tabs>
        <w:ind w:left="1440" w:hanging="720"/>
        <w:jc w:val="both"/>
        <w:rPr>
          <w:rFonts w:ascii="Tahoma" w:hAnsi="Tahoma" w:cs="Tahoma"/>
        </w:rPr>
      </w:pPr>
      <w:r w:rsidRPr="00D72BA4">
        <w:rPr>
          <w:rFonts w:ascii="Tahoma" w:hAnsi="Tahoma" w:cs="Tahoma"/>
        </w:rPr>
        <w:t>Se debe tomar en cuenta para graduar la sanción las situaciones antes mencionadas y de esta manera evitar generar un perjuicio adicional al Postor, pues de continuar con dicho plazo  sancionatorio, se estaría dejando en la quiebra al Postor y perjudicando a muchos puestos de trabajo, porque su único cliente potencial es el Estado.</w:t>
      </w:r>
    </w:p>
    <w:p w:rsidR="00101FE5" w:rsidRPr="00D72BA4" w:rsidRDefault="00101FE5" w:rsidP="00101FE5">
      <w:pPr>
        <w:jc w:val="both"/>
        <w:rPr>
          <w:rFonts w:ascii="Tahoma" w:hAnsi="Tahoma" w:cs="Tahoma"/>
        </w:rPr>
      </w:pPr>
    </w:p>
    <w:p w:rsidR="00101FE5" w:rsidRPr="00D72BA4" w:rsidRDefault="00101FE5" w:rsidP="00101FE5">
      <w:pPr>
        <w:numPr>
          <w:ilvl w:val="0"/>
          <w:numId w:val="2"/>
        </w:numPr>
        <w:tabs>
          <w:tab w:val="clear" w:pos="1080"/>
        </w:tabs>
        <w:ind w:left="1440" w:hanging="720"/>
        <w:jc w:val="both"/>
        <w:rPr>
          <w:rFonts w:ascii="Tahoma" w:hAnsi="Tahoma" w:cs="Tahoma"/>
        </w:rPr>
      </w:pPr>
      <w:r w:rsidRPr="00D72BA4">
        <w:rPr>
          <w:rFonts w:ascii="Tahoma" w:hAnsi="Tahoma" w:cs="Tahoma"/>
        </w:rPr>
        <w:t>Solicita se le disminuya el plazo de sanción por haber existido antecedentes en los cuales el Tribunal del CONSUCODE ha reducido al mínimo legal, y en algunos de ellos ha eximido de sanción al proveedor.</w:t>
      </w:r>
    </w:p>
    <w:p w:rsidR="00101FE5" w:rsidRPr="00D72BA4" w:rsidRDefault="00101FE5" w:rsidP="00101FE5">
      <w:pPr>
        <w:ind w:left="720"/>
        <w:jc w:val="both"/>
        <w:rPr>
          <w:rFonts w:ascii="Tahoma" w:hAnsi="Tahoma" w:cs="Tahoma"/>
        </w:rPr>
      </w:pPr>
      <w:r w:rsidRPr="00D72BA4">
        <w:rPr>
          <w:rFonts w:ascii="Tahoma" w:hAnsi="Tahoma" w:cs="Tahoma"/>
        </w:rPr>
        <w:t xml:space="preserve"> </w:t>
      </w:r>
    </w:p>
    <w:p w:rsidR="00101FE5" w:rsidRPr="00D72BA4" w:rsidRDefault="00101FE5" w:rsidP="00101FE5">
      <w:pPr>
        <w:numPr>
          <w:ilvl w:val="0"/>
          <w:numId w:val="1"/>
        </w:numPr>
        <w:ind w:hanging="540"/>
        <w:jc w:val="both"/>
        <w:rPr>
          <w:rFonts w:ascii="Tahoma" w:hAnsi="Tahoma" w:cs="Tahoma"/>
        </w:rPr>
      </w:pPr>
      <w:r w:rsidRPr="00D72BA4">
        <w:rPr>
          <w:rFonts w:ascii="Tahoma" w:hAnsi="Tahoma" w:cs="Tahoma"/>
        </w:rPr>
        <w:t>Con Decreto de fecha 19 de setiembre de 2007 se remitió el expediente a la Tercera Sala del Tribunal para que resuelva.</w:t>
      </w:r>
    </w:p>
    <w:p w:rsidR="00101FE5" w:rsidRPr="00D949F4" w:rsidRDefault="00101FE5" w:rsidP="00101FE5">
      <w:pPr>
        <w:jc w:val="both"/>
        <w:rPr>
          <w:rFonts w:ascii="Tahoma" w:hAnsi="Tahoma" w:cs="Tahoma"/>
        </w:rPr>
      </w:pPr>
    </w:p>
    <w:p w:rsidR="00101FE5" w:rsidRPr="00D949F4" w:rsidRDefault="00101FE5" w:rsidP="00101FE5">
      <w:pPr>
        <w:jc w:val="both"/>
        <w:rPr>
          <w:rFonts w:ascii="Tahoma" w:hAnsi="Tahoma" w:cs="Tahoma"/>
          <w:b/>
          <w:shadow/>
        </w:rPr>
      </w:pPr>
      <w:r w:rsidRPr="00D949F4">
        <w:rPr>
          <w:rFonts w:ascii="Tahoma" w:hAnsi="Tahoma" w:cs="Tahoma"/>
          <w:b/>
          <w:shadow/>
        </w:rPr>
        <w:t>FUNDAMENTACIÓN:</w:t>
      </w:r>
    </w:p>
    <w:p w:rsidR="00101FE5" w:rsidRPr="00D72BA4" w:rsidRDefault="00101FE5" w:rsidP="00101FE5">
      <w:pPr>
        <w:jc w:val="both"/>
        <w:rPr>
          <w:rFonts w:ascii="Tahoma" w:hAnsi="Tahoma" w:cs="Tahoma"/>
          <w:b/>
          <w:shadow/>
        </w:rPr>
      </w:pPr>
    </w:p>
    <w:p w:rsidR="00101FE5" w:rsidRDefault="00101FE5" w:rsidP="00101FE5">
      <w:pPr>
        <w:pStyle w:val="Textoindependiente"/>
        <w:numPr>
          <w:ilvl w:val="0"/>
          <w:numId w:val="4"/>
        </w:numPr>
        <w:tabs>
          <w:tab w:val="clear" w:pos="454"/>
        </w:tabs>
        <w:ind w:left="540" w:hanging="540"/>
        <w:rPr>
          <w:rFonts w:cs="Tahoma"/>
          <w:sz w:val="20"/>
        </w:rPr>
      </w:pPr>
      <w:r w:rsidRPr="00D72BA4">
        <w:rPr>
          <w:rFonts w:cs="Tahoma"/>
          <w:sz w:val="20"/>
        </w:rPr>
        <w:t>El recurso de reconsideración en los procedimientos administrativos sancionadores a cargo de este Tribunal ha sido regulado en el artículo 306 del Reglamento de la Ley de Contrataciones y Adquisiciones del Estado</w:t>
      </w:r>
      <w:r w:rsidRPr="00D72BA4">
        <w:rPr>
          <w:rStyle w:val="Refdenotaalpie"/>
          <w:rFonts w:cs="Tahoma"/>
          <w:sz w:val="20"/>
        </w:rPr>
        <w:footnoteReference w:id="2"/>
      </w:r>
      <w:r w:rsidRPr="00D72BA4">
        <w:rPr>
          <w:rFonts w:cs="Tahoma"/>
          <w:sz w:val="20"/>
        </w:rPr>
        <w:t xml:space="preserve">, aprobado mediante Decreto Supremo Nº 084-2004-PCM, en lo sucesivo el Reglamento, el cual, de acuerdo con la indicada norma, debe ser resuelto en el término de quince </w:t>
      </w:r>
      <w:r w:rsidRPr="00D72BA4">
        <w:rPr>
          <w:rFonts w:cs="Tahoma"/>
          <w:sz w:val="20"/>
        </w:rPr>
        <w:lastRenderedPageBreak/>
        <w:t>días hábiles desde su interposición.</w:t>
      </w:r>
    </w:p>
    <w:p w:rsidR="00101FE5" w:rsidRDefault="00101FE5" w:rsidP="00101FE5">
      <w:pPr>
        <w:pStyle w:val="Textoindependiente"/>
        <w:rPr>
          <w:rFonts w:cs="Tahoma"/>
          <w:sz w:val="20"/>
        </w:rPr>
      </w:pPr>
    </w:p>
    <w:p w:rsidR="00101FE5" w:rsidRPr="004024A4" w:rsidRDefault="00101FE5" w:rsidP="00101FE5">
      <w:pPr>
        <w:pStyle w:val="Textoindependiente"/>
        <w:numPr>
          <w:ilvl w:val="0"/>
          <w:numId w:val="4"/>
        </w:numPr>
        <w:tabs>
          <w:tab w:val="clear" w:pos="454"/>
        </w:tabs>
        <w:ind w:left="540" w:hanging="540"/>
        <w:rPr>
          <w:rFonts w:cs="Tahoma"/>
          <w:sz w:val="20"/>
        </w:rPr>
      </w:pPr>
      <w:r w:rsidRPr="001F30F9">
        <w:rPr>
          <w:sz w:val="20"/>
        </w:rPr>
        <w:t>En relación a lo expuesto, una cuestión previa que debe analizar esta Sala es determinar si el recurso materia de análisis fue interpuesto oportunamente, es decir, dentro del plazo otorgado expresamente por la normativa para dicho fin.</w:t>
      </w:r>
      <w:r>
        <w:rPr>
          <w:rFonts w:cs="Tahoma"/>
          <w:sz w:val="20"/>
        </w:rPr>
        <w:t xml:space="preserve"> </w:t>
      </w:r>
      <w:r w:rsidRPr="004024A4">
        <w:rPr>
          <w:rFonts w:cs="Tahoma"/>
          <w:sz w:val="20"/>
        </w:rPr>
        <w:t xml:space="preserve">Al respecto, el artículo 306 del indicado cuerpo reglamentario señala que contra lo resuelto por el Tribunal en un procedimiento sancionador </w:t>
      </w:r>
      <w:r w:rsidRPr="004024A4">
        <w:rPr>
          <w:rFonts w:cs="Tahoma"/>
          <w:b/>
          <w:sz w:val="20"/>
        </w:rPr>
        <w:t>podrá interponerse recurso de reconsideración dentro de los tres (3) días hábiles de notificada o publicada la respectiva resolución</w:t>
      </w:r>
      <w:r w:rsidRPr="004024A4">
        <w:rPr>
          <w:rFonts w:cs="Tahoma"/>
          <w:sz w:val="20"/>
        </w:rPr>
        <w:t xml:space="preserve">; debiendo tenerse en cuenta que </w:t>
      </w:r>
      <w:r w:rsidRPr="004024A4">
        <w:rPr>
          <w:rFonts w:cs="Tahoma"/>
          <w:b/>
          <w:sz w:val="20"/>
        </w:rPr>
        <w:t>los plazos fijados por norma expresa son improrrogables</w:t>
      </w:r>
      <w:r w:rsidRPr="004024A4">
        <w:rPr>
          <w:rFonts w:cs="Tahoma"/>
          <w:sz w:val="20"/>
        </w:rPr>
        <w:t>, salvo disposición habilitante en contrario, conforme lo dispuesto en el numeral 136.1 del artículo 136 de la Ley del Procedimiento Administrativo General - Ley N.° 27444.</w:t>
      </w:r>
    </w:p>
    <w:p w:rsidR="00101FE5" w:rsidRPr="004024A4" w:rsidRDefault="00101FE5" w:rsidP="00101FE5">
      <w:pPr>
        <w:pStyle w:val="Textoindependiente"/>
        <w:ind w:left="454"/>
        <w:rPr>
          <w:rFonts w:cs="Tahoma"/>
          <w:sz w:val="20"/>
          <w:lang w:val="es-ES"/>
        </w:rPr>
      </w:pPr>
    </w:p>
    <w:p w:rsidR="00101FE5" w:rsidRPr="004024A4" w:rsidRDefault="00101FE5" w:rsidP="00101FE5">
      <w:pPr>
        <w:pStyle w:val="Textoindependiente"/>
        <w:ind w:left="540" w:hanging="274"/>
        <w:rPr>
          <w:rFonts w:cs="Tahoma"/>
          <w:sz w:val="20"/>
          <w:lang w:val="es-ES"/>
        </w:rPr>
      </w:pPr>
      <w:r>
        <w:rPr>
          <w:rFonts w:cs="Tahoma"/>
          <w:sz w:val="20"/>
          <w:lang w:val="es-ES"/>
        </w:rPr>
        <w:t xml:space="preserve">    </w:t>
      </w:r>
      <w:r w:rsidRPr="004024A4">
        <w:rPr>
          <w:rFonts w:cs="Tahoma"/>
          <w:sz w:val="20"/>
          <w:lang w:val="es-ES"/>
        </w:rPr>
        <w:t xml:space="preserve">Atendiendo a las normas antes glosadas, así como a la revisión de la documentación obrante en autos, esta Sala advierte que la Resolución </w:t>
      </w:r>
      <w:r>
        <w:rPr>
          <w:rFonts w:cs="Tahoma"/>
          <w:sz w:val="20"/>
          <w:lang w:val="es-ES"/>
        </w:rPr>
        <w:t>impugnada</w:t>
      </w:r>
      <w:r w:rsidRPr="004024A4">
        <w:rPr>
          <w:rFonts w:cs="Tahoma"/>
          <w:sz w:val="20"/>
          <w:lang w:val="es-ES"/>
        </w:rPr>
        <w:t xml:space="preserve"> fue</w:t>
      </w:r>
      <w:r>
        <w:rPr>
          <w:rFonts w:cs="Tahoma"/>
          <w:sz w:val="20"/>
          <w:lang w:val="es-ES"/>
        </w:rPr>
        <w:t xml:space="preserve"> notificada al Contratista el 12</w:t>
      </w:r>
      <w:r w:rsidRPr="004024A4">
        <w:rPr>
          <w:rFonts w:cs="Tahoma"/>
          <w:sz w:val="20"/>
          <w:lang w:val="es-ES"/>
        </w:rPr>
        <w:t xml:space="preserve"> de </w:t>
      </w:r>
      <w:r>
        <w:rPr>
          <w:rFonts w:cs="Tahoma"/>
          <w:sz w:val="20"/>
          <w:lang w:val="es-ES"/>
        </w:rPr>
        <w:t xml:space="preserve">setiembre </w:t>
      </w:r>
      <w:r w:rsidRPr="004024A4">
        <w:rPr>
          <w:rFonts w:cs="Tahoma"/>
          <w:sz w:val="20"/>
          <w:lang w:val="es-ES"/>
        </w:rPr>
        <w:t>de 2007, por lo que éste podía interponer válidamente el recurso impugnativo correspondiente dentro de los tr</w:t>
      </w:r>
      <w:r>
        <w:rPr>
          <w:rFonts w:cs="Tahoma"/>
          <w:sz w:val="20"/>
          <w:lang w:val="es-ES"/>
        </w:rPr>
        <w:t>es (03) días hábiles siguientes, es decir, hasta el  17 de setiembre de 2007, situación que fue efectivamente realizada dentro del plazo debido, por tal motivo, habiendo verificado el cumplimiento del plazo determinado, corresponde a este colegiado analizar los argumentos de fondo esbozados.</w:t>
      </w:r>
    </w:p>
    <w:p w:rsidR="00101FE5" w:rsidRPr="00D72BA4" w:rsidRDefault="00101FE5" w:rsidP="00101FE5">
      <w:pPr>
        <w:tabs>
          <w:tab w:val="left" w:pos="540"/>
        </w:tabs>
        <w:jc w:val="both"/>
        <w:rPr>
          <w:rFonts w:ascii="Tahoma" w:hAnsi="Tahoma" w:cs="Tahoma"/>
          <w:lang w:val="es-PE"/>
        </w:rPr>
      </w:pPr>
    </w:p>
    <w:p w:rsidR="00101FE5" w:rsidRPr="00D72BA4" w:rsidRDefault="00101FE5" w:rsidP="00101FE5">
      <w:pPr>
        <w:numPr>
          <w:ilvl w:val="0"/>
          <w:numId w:val="4"/>
        </w:numPr>
        <w:tabs>
          <w:tab w:val="left" w:pos="540"/>
        </w:tabs>
        <w:jc w:val="both"/>
        <w:rPr>
          <w:rFonts w:ascii="Tahoma" w:hAnsi="Tahoma" w:cs="Tahoma"/>
        </w:rPr>
      </w:pPr>
      <w:r w:rsidRPr="00D72BA4">
        <w:rPr>
          <w:rFonts w:ascii="Tahoma" w:hAnsi="Tahoma" w:cs="Tahoma"/>
          <w:lang w:val="es-PE"/>
        </w:rPr>
        <w:t>En el presente recurso impugnativo, el Postor presentó una serie de argumentos que fundamenten sus pretensión, los cuales serán desarrollados en su totalidad a continuación:</w:t>
      </w:r>
    </w:p>
    <w:p w:rsidR="00101FE5" w:rsidRPr="00D72BA4" w:rsidRDefault="00101FE5" w:rsidP="00101FE5">
      <w:pPr>
        <w:ind w:left="1413" w:hanging="705"/>
        <w:jc w:val="both"/>
        <w:rPr>
          <w:rFonts w:ascii="Tahoma" w:hAnsi="Tahoma" w:cs="Tahoma"/>
          <w:b/>
          <w:u w:val="single"/>
        </w:rPr>
      </w:pPr>
    </w:p>
    <w:p w:rsidR="00101FE5" w:rsidRPr="00D72BA4" w:rsidRDefault="00101FE5" w:rsidP="00101FE5">
      <w:pPr>
        <w:numPr>
          <w:ilvl w:val="0"/>
          <w:numId w:val="5"/>
        </w:numPr>
        <w:jc w:val="both"/>
        <w:rPr>
          <w:rFonts w:ascii="Tahoma" w:hAnsi="Tahoma" w:cs="Tahoma"/>
        </w:rPr>
      </w:pPr>
      <w:r w:rsidRPr="00D72BA4">
        <w:rPr>
          <w:rFonts w:ascii="Tahoma" w:hAnsi="Tahoma" w:cs="Tahoma"/>
        </w:rPr>
        <w:t>Al respecto, este Colegiado coincide plenamente con el Postor respecto a los plazos legalmente establecidos, pues tal como indicó en su recurso impugnativo, el otorgamiento de la buena pro se realizó en Acto Público el 18 de julio de 2005 y de acuerdo a lo que señala la norma aplicable al caso concreto</w:t>
      </w:r>
      <w:r w:rsidRPr="00D72BA4">
        <w:rPr>
          <w:rStyle w:val="Refdenotaalpie"/>
          <w:rFonts w:ascii="Tahoma" w:hAnsi="Tahoma" w:cs="Tahoma"/>
        </w:rPr>
        <w:footnoteReference w:id="3"/>
      </w:r>
      <w:r w:rsidRPr="00D72BA4">
        <w:rPr>
          <w:rFonts w:ascii="Tahoma" w:hAnsi="Tahoma" w:cs="Tahoma"/>
        </w:rPr>
        <w:t xml:space="preserve">, el consentimiento de la buena pro se produjo a los cinco días hábiles de su notificación, sin que los postores hayan ejercido su derecho de interponer recurso impugnativo alguno, es decir el 25 de julio de 2005. Sin embargo, este Tribunal discrepa con la interpretación que el impugnante realiza respecto al acto de notificación, pues debe precisarse que el Reglamento de la Ley de Contrataciones y Adquisiciones del Estado dispone expresamente, sin lugar a una interpretación distinta, que </w:t>
      </w:r>
      <w:r w:rsidRPr="00D72BA4">
        <w:rPr>
          <w:rFonts w:ascii="Tahoma" w:hAnsi="Tahoma" w:cs="Tahoma"/>
          <w:b/>
          <w:i/>
          <w:u w:val="single"/>
        </w:rPr>
        <w:t>el consentimiento se producirá a los cinco (05) días hábiles de su notificación</w:t>
      </w:r>
      <w:r w:rsidRPr="00D72BA4">
        <w:rPr>
          <w:rFonts w:ascii="Tahoma" w:hAnsi="Tahoma" w:cs="Tahoma"/>
        </w:rPr>
        <w:t>,</w:t>
      </w:r>
      <w:r w:rsidRPr="00D72BA4">
        <w:rPr>
          <w:rFonts w:ascii="Tahoma" w:hAnsi="Tahoma" w:cs="Tahoma"/>
          <w:b/>
        </w:rPr>
        <w:t xml:space="preserve"> </w:t>
      </w:r>
      <w:r w:rsidRPr="00D72BA4">
        <w:rPr>
          <w:rFonts w:ascii="Tahoma" w:hAnsi="Tahoma" w:cs="Tahoma"/>
        </w:rPr>
        <w:t xml:space="preserve">es decir, no se ha establecido normativamente una etapa para el consentimiento de la adjudicación  realizada, sino que se trata de una condición que surge a favor del administrado, con el solo devenir o transcurrir del tiempo, produciendo una situación incuestionable al otorgamiento realizado, sin necesidad de una etapa independiente para que este </w:t>
      </w:r>
      <w:r>
        <w:rPr>
          <w:rFonts w:ascii="Tahoma" w:hAnsi="Tahoma" w:cs="Tahoma"/>
        </w:rPr>
        <w:t>acto se configure o perfeccione. Por lo tanto, la validez de la misma no está sujeta</w:t>
      </w:r>
      <w:r w:rsidRPr="00D72BA4">
        <w:rPr>
          <w:rFonts w:ascii="Tahoma" w:hAnsi="Tahoma" w:cs="Tahoma"/>
        </w:rPr>
        <w:t xml:space="preserve"> a su publicación en el Sistema Electrónico de Contrataciones y Adquisiciones del Estado (SEACE), pues dicha publicidad solo tiene efectos d</w:t>
      </w:r>
      <w:r>
        <w:rPr>
          <w:rFonts w:ascii="Tahoma" w:hAnsi="Tahoma" w:cs="Tahoma"/>
        </w:rPr>
        <w:t>eclarativos y no constitutivos.</w:t>
      </w:r>
      <w:r w:rsidRPr="00D72BA4">
        <w:rPr>
          <w:rFonts w:ascii="Tahoma" w:hAnsi="Tahoma" w:cs="Tahoma"/>
        </w:rPr>
        <w:t xml:space="preserve"> </w:t>
      </w:r>
    </w:p>
    <w:p w:rsidR="00101FE5" w:rsidRPr="00D72BA4" w:rsidRDefault="00101FE5" w:rsidP="00101FE5">
      <w:pPr>
        <w:jc w:val="both"/>
        <w:rPr>
          <w:rFonts w:ascii="Tahoma" w:hAnsi="Tahoma" w:cs="Tahoma"/>
        </w:rPr>
      </w:pPr>
    </w:p>
    <w:p w:rsidR="00101FE5" w:rsidRPr="00D72BA4" w:rsidRDefault="00101FE5" w:rsidP="00101FE5">
      <w:pPr>
        <w:ind w:left="1080"/>
        <w:jc w:val="both"/>
        <w:rPr>
          <w:rFonts w:ascii="Tahoma" w:hAnsi="Tahoma" w:cs="Tahoma"/>
        </w:rPr>
      </w:pPr>
      <w:r w:rsidRPr="00D72BA4">
        <w:rPr>
          <w:rFonts w:ascii="Tahoma" w:hAnsi="Tahoma" w:cs="Tahoma"/>
        </w:rPr>
        <w:lastRenderedPageBreak/>
        <w:t>Tal situación ha sido prevista en el artículo 138 del Reglamento</w:t>
      </w:r>
      <w:r w:rsidRPr="00D72BA4">
        <w:rPr>
          <w:rStyle w:val="Refdenotaalpie"/>
          <w:rFonts w:ascii="Tahoma" w:hAnsi="Tahoma" w:cs="Tahoma"/>
        </w:rPr>
        <w:footnoteReference w:id="4"/>
      </w:r>
      <w:r w:rsidRPr="00D72BA4">
        <w:rPr>
          <w:rFonts w:ascii="Tahoma" w:hAnsi="Tahoma" w:cs="Tahoma"/>
        </w:rPr>
        <w:t xml:space="preserve"> que dispone la obligación de las Entidades de publicar en el SEACE el consentimiento de la buena pro un día después de haberse realizado, es decir, la norma señala que dicha condición no nace de su publicación en el  página electrónica antes referida, tal como erróneamente interpreta el Postor, sino de manera previa.</w:t>
      </w:r>
    </w:p>
    <w:p w:rsidR="00101FE5" w:rsidRPr="00D72BA4" w:rsidRDefault="00101FE5" w:rsidP="00101FE5">
      <w:pPr>
        <w:ind w:left="1080"/>
        <w:jc w:val="both"/>
        <w:rPr>
          <w:rFonts w:ascii="Tahoma" w:hAnsi="Tahoma" w:cs="Tahoma"/>
        </w:rPr>
      </w:pPr>
      <w:r w:rsidRPr="00D72BA4">
        <w:rPr>
          <w:rFonts w:ascii="Tahoma" w:hAnsi="Tahoma" w:cs="Tahoma"/>
        </w:rPr>
        <w:t xml:space="preserve"> </w:t>
      </w:r>
    </w:p>
    <w:p w:rsidR="00101FE5" w:rsidRPr="00D72BA4" w:rsidRDefault="00101FE5" w:rsidP="00101FE5">
      <w:pPr>
        <w:ind w:left="1080"/>
        <w:jc w:val="both"/>
        <w:rPr>
          <w:rFonts w:ascii="Tahoma" w:hAnsi="Tahoma" w:cs="Tahoma"/>
        </w:rPr>
      </w:pPr>
      <w:r w:rsidRPr="00D72BA4">
        <w:rPr>
          <w:rFonts w:ascii="Tahoma" w:hAnsi="Tahoma" w:cs="Tahoma"/>
        </w:rPr>
        <w:t>Por otro lado, con esta interpretación no se ha restringido o limitado los derechos de los administrados participantes en el referido proceso, pues como se puede verificar de los actuados obrantes en el expediente administrativo, tuvieron cinco días hábiles para la interposición de medio impugnativo alguno, desde el 19  hasta el 25 de julio de 2005, derecho que no fue ejercido y posibilitó el consentimiento del acto referido en la fecha prevista, para el presente caso el 25 de julio de 2005 y, en cumplimiento a lo indicado en el artículo 138 del Reglamento, se publicó en el SEACE el día posterior inmediato, el 26 de julio del mismo añ</w:t>
      </w:r>
      <w:r>
        <w:rPr>
          <w:rFonts w:ascii="Tahoma" w:hAnsi="Tahoma" w:cs="Tahoma"/>
        </w:rPr>
        <w:t>o, fecha en la cual también se estaba expedito para citar al Postor para suscribir el contrato respectivo.</w:t>
      </w:r>
    </w:p>
    <w:p w:rsidR="00101FE5" w:rsidRPr="00D72BA4" w:rsidRDefault="00101FE5" w:rsidP="00101FE5">
      <w:pPr>
        <w:ind w:left="360"/>
        <w:jc w:val="both"/>
        <w:rPr>
          <w:rFonts w:ascii="Tahoma" w:hAnsi="Tahoma" w:cs="Tahoma"/>
        </w:rPr>
      </w:pPr>
    </w:p>
    <w:p w:rsidR="00101FE5" w:rsidRPr="00D72BA4" w:rsidRDefault="00101FE5" w:rsidP="00101FE5">
      <w:pPr>
        <w:ind w:left="1080"/>
        <w:jc w:val="both"/>
        <w:rPr>
          <w:rFonts w:ascii="Tahoma" w:hAnsi="Tahoma" w:cs="Tahoma"/>
          <w:b/>
          <w:i/>
          <w:u w:val="single"/>
        </w:rPr>
      </w:pPr>
      <w:r w:rsidRPr="00D72BA4">
        <w:rPr>
          <w:rFonts w:ascii="Tahoma" w:hAnsi="Tahoma" w:cs="Tahoma"/>
        </w:rPr>
        <w:t xml:space="preserve">El Postor impugnante adicionalmente señaló que, </w:t>
      </w:r>
      <w:r w:rsidRPr="00D72BA4">
        <w:rPr>
          <w:rFonts w:ascii="Tahoma" w:hAnsi="Tahoma" w:cs="Tahoma"/>
          <w:b/>
          <w:i/>
          <w:u w:val="single"/>
        </w:rPr>
        <w:t>conforme a la Ley del Procedimiento Administrativo General, los plazos se computan en días completos y no en partes o porciones de él. Siendo así que el quinto día después de haber otorgado la buena pro pertenece exclusivamente a la etapa probable para su impugnación y recién al día siguiente opera el consentimiento de aquella, como en efecto lo realizó la Entidad publicando el día 26 dicha condición el SEACE.</w:t>
      </w:r>
    </w:p>
    <w:p w:rsidR="00101FE5" w:rsidRPr="00D72BA4" w:rsidRDefault="00101FE5" w:rsidP="00101FE5">
      <w:pPr>
        <w:ind w:left="360"/>
        <w:jc w:val="both"/>
        <w:rPr>
          <w:rFonts w:ascii="Tahoma" w:hAnsi="Tahoma" w:cs="Tahoma"/>
          <w:b/>
          <w:i/>
          <w:u w:val="single"/>
        </w:rPr>
      </w:pPr>
    </w:p>
    <w:p w:rsidR="00101FE5" w:rsidRPr="00D72BA4" w:rsidRDefault="00101FE5" w:rsidP="00101FE5">
      <w:pPr>
        <w:ind w:left="1080"/>
        <w:jc w:val="both"/>
        <w:rPr>
          <w:rFonts w:ascii="Tahoma" w:hAnsi="Tahoma" w:cs="Tahoma"/>
        </w:rPr>
      </w:pPr>
      <w:r w:rsidRPr="00D72BA4">
        <w:rPr>
          <w:rFonts w:ascii="Tahoma" w:hAnsi="Tahoma" w:cs="Tahoma"/>
        </w:rPr>
        <w:t>Respecto a ello, se debe indicar que los plazos han sido respetados íntegramente, y no han sido fraccionados en perjuicio del administrado, puesto que se ha tenido hasta el último día hábil para presentar la impugnación correspondiente dentro del horario de atención de la Entidad, y al no haberse realizado se produjo el consentimiento del otorgamiento de la Buena Pro, no necesitando una etapa especial para ello, sino como se explicó anteriormente y tal como precisa la norma, se cumplieron los dos requisitos necesarios para que el acto quede consentido, ser el quinto hábil a partir de su notificación y que no se haya interpuesto recurso impugnativo.</w:t>
      </w:r>
    </w:p>
    <w:p w:rsidR="00101FE5" w:rsidRPr="00D72BA4" w:rsidRDefault="00101FE5" w:rsidP="00101FE5">
      <w:pPr>
        <w:ind w:left="1080"/>
        <w:jc w:val="both"/>
        <w:rPr>
          <w:rFonts w:ascii="Tahoma" w:hAnsi="Tahoma" w:cs="Tahoma"/>
        </w:rPr>
      </w:pPr>
    </w:p>
    <w:p w:rsidR="00101FE5" w:rsidRPr="00D72BA4" w:rsidRDefault="00101FE5" w:rsidP="00101FE5">
      <w:pPr>
        <w:ind w:left="1080"/>
        <w:jc w:val="both"/>
        <w:rPr>
          <w:rFonts w:ascii="Tahoma" w:hAnsi="Tahoma" w:cs="Tahoma"/>
        </w:rPr>
      </w:pPr>
      <w:r w:rsidRPr="00D72BA4">
        <w:rPr>
          <w:rFonts w:ascii="Tahoma" w:hAnsi="Tahoma" w:cs="Tahoma"/>
        </w:rPr>
        <w:t>Por los argumentos expuestos, se puede verificar el cumplimiento por parte de la Entidad, de los lineamientos descritos en el Reglamento de la Ley para la citación al respectivo Postor para la firma de contrato, por tal motivo, la comunicación se realizó de manera válida, estrictamente acorde a derecho.</w:t>
      </w:r>
    </w:p>
    <w:p w:rsidR="00101FE5" w:rsidRPr="00D72BA4" w:rsidRDefault="00101FE5" w:rsidP="00101FE5">
      <w:pPr>
        <w:jc w:val="both"/>
        <w:rPr>
          <w:rFonts w:ascii="Tahoma" w:hAnsi="Tahoma" w:cs="Tahoma"/>
        </w:rPr>
      </w:pPr>
    </w:p>
    <w:p w:rsidR="00101FE5" w:rsidRPr="00D72BA4" w:rsidRDefault="00101FE5" w:rsidP="00101FE5">
      <w:pPr>
        <w:numPr>
          <w:ilvl w:val="0"/>
          <w:numId w:val="5"/>
        </w:numPr>
        <w:jc w:val="both"/>
        <w:rPr>
          <w:rFonts w:ascii="Tahoma" w:hAnsi="Tahoma" w:cs="Tahoma"/>
          <w:b/>
          <w:i/>
          <w:u w:val="single"/>
        </w:rPr>
      </w:pPr>
      <w:r w:rsidRPr="00D72BA4">
        <w:rPr>
          <w:rFonts w:ascii="Tahoma" w:hAnsi="Tahoma" w:cs="Tahoma"/>
        </w:rPr>
        <w:t xml:space="preserve">Por otro lado, tal como señaló el Postor impugnante, la infracción imputada supone el cumplimiento de dos supuestos: a) Que el Postor haya sido citado para la firma del contrato conforme al artículo 203 del Reglamento y, b) Que se niegue a suscribir injustificadamente el contrato. Del análisis realizado en el presente procedimiento y en la resolución recurrida, se ha podido constatar el cumplimiento de la Entidad en citar al Postor para la debida firma del contrato, y respecto a la justificación de dicho incumplimiento, en la resolución  recurrida no se </w:t>
      </w:r>
      <w:r w:rsidRPr="00D72BA4">
        <w:rPr>
          <w:rFonts w:ascii="Tahoma" w:hAnsi="Tahoma" w:cs="Tahoma"/>
        </w:rPr>
        <w:lastRenderedPageBreak/>
        <w:t xml:space="preserve">presentó prueba instrumental alguna que permita desvirtuar las imputaciones formuladas en su contra, para acreditar que el incumplimiento se debió a causas justificadas ajenas a su voluntad; sin embargo, en el presente recurso de reconsideración ha señalado que </w:t>
      </w:r>
      <w:r w:rsidRPr="00D72BA4">
        <w:rPr>
          <w:rFonts w:ascii="Tahoma" w:hAnsi="Tahoma" w:cs="Tahoma"/>
          <w:b/>
          <w:i/>
          <w:u w:val="single"/>
        </w:rPr>
        <w:t xml:space="preserve">por la renuncia de varios agentes propuestos para dicho servicio no pudo presentar los documentos solicitados por las Bases administrativas. </w:t>
      </w:r>
    </w:p>
    <w:p w:rsidR="00101FE5" w:rsidRPr="00D72BA4" w:rsidRDefault="00101FE5" w:rsidP="00101FE5">
      <w:pPr>
        <w:ind w:left="900"/>
        <w:jc w:val="both"/>
        <w:rPr>
          <w:rFonts w:ascii="Tahoma" w:hAnsi="Tahoma" w:cs="Tahoma"/>
          <w:b/>
          <w:i/>
          <w:u w:val="single"/>
        </w:rPr>
      </w:pPr>
    </w:p>
    <w:p w:rsidR="00101FE5" w:rsidRPr="00D72BA4" w:rsidRDefault="00101FE5" w:rsidP="00101FE5">
      <w:pPr>
        <w:ind w:left="1080" w:hanging="180"/>
        <w:jc w:val="both"/>
        <w:rPr>
          <w:rFonts w:ascii="Tahoma" w:hAnsi="Tahoma" w:cs="Tahoma"/>
        </w:rPr>
      </w:pPr>
      <w:r w:rsidRPr="00D72BA4">
        <w:rPr>
          <w:rFonts w:ascii="Tahoma" w:hAnsi="Tahoma" w:cs="Tahoma"/>
        </w:rPr>
        <w:t xml:space="preserve">   Este hecho nuevo descrito por el Postor, no puede ser considerado como una situación  nueva e imprevisible, pues la renuncia de agentes de seguridad consignados en su propuesta es una eventualidad que debió haber sido prevista y solucionada en su momento, ya que lo ofertado es un Plantel Técnico que cumple determinados requerimientos o características exigidas en las bases, que no supone una obligación </w:t>
      </w:r>
      <w:r w:rsidRPr="00D72BA4">
        <w:rPr>
          <w:rFonts w:ascii="Tahoma" w:hAnsi="Tahoma" w:cs="Tahoma"/>
          <w:i/>
        </w:rPr>
        <w:t xml:space="preserve">intuito </w:t>
      </w:r>
      <w:proofErr w:type="spellStart"/>
      <w:r w:rsidRPr="00D72BA4">
        <w:rPr>
          <w:rFonts w:ascii="Tahoma" w:hAnsi="Tahoma" w:cs="Tahoma"/>
          <w:i/>
        </w:rPr>
        <w:t>personae</w:t>
      </w:r>
      <w:proofErr w:type="spellEnd"/>
      <w:r w:rsidRPr="00D72BA4">
        <w:rPr>
          <w:rFonts w:ascii="Tahoma" w:hAnsi="Tahoma" w:cs="Tahoma"/>
          <w:i/>
        </w:rPr>
        <w:t xml:space="preserve">, </w:t>
      </w:r>
      <w:r w:rsidRPr="00D72BA4">
        <w:rPr>
          <w:rFonts w:ascii="Tahoma" w:hAnsi="Tahoma" w:cs="Tahoma"/>
        </w:rPr>
        <w:t>sino que por  el contrario, se fundamenta en lineamientos predeterminados de manera objetiva en las bases administrativas, y es obligación del Postor mantener su oferta hasta el otorgamiento de la buena pro y de resultar ganadores hasta la suscripción del contrato, siendo total responsabilidad del Postor la vigencia de su propuesta y no constituyéndose este hecho como causa justificada que lo exima de sanción por no  suscribir el contrato respectivo.</w:t>
      </w:r>
    </w:p>
    <w:p w:rsidR="00101FE5" w:rsidRPr="00D72BA4" w:rsidRDefault="00101FE5" w:rsidP="00101FE5">
      <w:pPr>
        <w:ind w:left="900"/>
        <w:jc w:val="both"/>
        <w:rPr>
          <w:rFonts w:ascii="Tahoma" w:hAnsi="Tahoma" w:cs="Tahoma"/>
        </w:rPr>
      </w:pPr>
    </w:p>
    <w:p w:rsidR="00101FE5" w:rsidRPr="00D72BA4" w:rsidRDefault="00101FE5" w:rsidP="00101FE5">
      <w:pPr>
        <w:numPr>
          <w:ilvl w:val="0"/>
          <w:numId w:val="5"/>
        </w:numPr>
        <w:jc w:val="both"/>
        <w:rPr>
          <w:rFonts w:ascii="Tahoma" w:hAnsi="Tahoma" w:cs="Tahoma"/>
        </w:rPr>
      </w:pPr>
      <w:r w:rsidRPr="00D72BA4">
        <w:rPr>
          <w:rFonts w:ascii="Tahoma" w:hAnsi="Tahoma" w:cs="Tahoma"/>
        </w:rPr>
        <w:t xml:space="preserve">Asimismo, </w:t>
      </w:r>
      <w:r>
        <w:rPr>
          <w:rFonts w:ascii="Tahoma" w:hAnsi="Tahoma" w:cs="Tahoma"/>
        </w:rPr>
        <w:t>el Postor no puede alegar la in</w:t>
      </w:r>
      <w:r w:rsidRPr="00D72BA4">
        <w:rPr>
          <w:rFonts w:ascii="Tahoma" w:hAnsi="Tahoma" w:cs="Tahoma"/>
        </w:rPr>
        <w:t>existencia de daño a la Entidad producto de la no suscripción del contrato, pues si bien es cierto, se mantuvo la continuidad del servicio, convocando al Postor que obtuvo el segundo lugar en el orden de prelación, para que brindara el servicio requerido</w:t>
      </w:r>
      <w:r>
        <w:rPr>
          <w:rFonts w:ascii="Tahoma" w:hAnsi="Tahoma" w:cs="Tahoma"/>
        </w:rPr>
        <w:t xml:space="preserve">, y a pesar que la propuesta económica presentada por la empresa </w:t>
      </w:r>
      <w:r w:rsidRPr="003B40AD">
        <w:rPr>
          <w:rFonts w:ascii="Tahoma" w:hAnsi="Tahoma" w:cs="Tahoma"/>
          <w:b/>
        </w:rPr>
        <w:t>Agencia de Policía de Protección y Seguridad Privada Única S.A.C.</w:t>
      </w:r>
      <w:r>
        <w:rPr>
          <w:rFonts w:ascii="Tahoma" w:hAnsi="Tahoma" w:cs="Tahoma"/>
        </w:rPr>
        <w:t>, ascendía a un monto igual al ofertado por el Postor adjudicado, no se puede negar la demora adicional al cronograma diseñado con anticipación para contratar el servicio</w:t>
      </w:r>
      <w:r w:rsidRPr="00D72BA4">
        <w:rPr>
          <w:rFonts w:ascii="Tahoma" w:hAnsi="Tahoma" w:cs="Tahoma"/>
        </w:rPr>
        <w:t>.</w:t>
      </w:r>
      <w:r>
        <w:rPr>
          <w:rFonts w:ascii="Tahoma" w:hAnsi="Tahoma" w:cs="Tahoma"/>
        </w:rPr>
        <w:t xml:space="preserve"> Por tal motivo, debe indicarse que</w:t>
      </w:r>
      <w:r w:rsidRPr="00D72BA4">
        <w:rPr>
          <w:rFonts w:ascii="Tahoma" w:hAnsi="Tahoma" w:cs="Tahoma"/>
        </w:rPr>
        <w:t xml:space="preserve"> </w:t>
      </w:r>
      <w:r>
        <w:rPr>
          <w:rFonts w:ascii="Tahoma" w:hAnsi="Tahoma" w:cs="Tahoma"/>
        </w:rPr>
        <w:t>e</w:t>
      </w:r>
      <w:r w:rsidRPr="00D72BA4">
        <w:rPr>
          <w:rFonts w:ascii="Tahoma" w:hAnsi="Tahoma" w:cs="Tahoma"/>
        </w:rPr>
        <w:t>l daño surge con la sola realización de la conducta tipificada como sancionable, que si bien es cierto, puede existir un grado mayor o menor de perjuicio realizado, es innegable el detrimento ocasionado a los fines</w:t>
      </w:r>
      <w:r>
        <w:rPr>
          <w:rFonts w:ascii="Tahoma" w:hAnsi="Tahoma" w:cs="Tahoma"/>
        </w:rPr>
        <w:t xml:space="preserve"> y objetivos</w:t>
      </w:r>
      <w:r w:rsidRPr="00D72BA4">
        <w:rPr>
          <w:rFonts w:ascii="Tahoma" w:hAnsi="Tahoma" w:cs="Tahoma"/>
        </w:rPr>
        <w:t xml:space="preserve"> de la Entidad.</w:t>
      </w:r>
    </w:p>
    <w:p w:rsidR="00101FE5" w:rsidRPr="00D72BA4" w:rsidRDefault="00101FE5" w:rsidP="00101FE5">
      <w:pPr>
        <w:ind w:left="900"/>
        <w:jc w:val="both"/>
        <w:rPr>
          <w:rFonts w:ascii="Tahoma" w:hAnsi="Tahoma" w:cs="Tahoma"/>
        </w:rPr>
      </w:pPr>
    </w:p>
    <w:p w:rsidR="00101FE5" w:rsidRPr="00D72BA4" w:rsidRDefault="00101FE5" w:rsidP="00101FE5">
      <w:pPr>
        <w:numPr>
          <w:ilvl w:val="0"/>
          <w:numId w:val="5"/>
        </w:numPr>
        <w:jc w:val="both"/>
        <w:rPr>
          <w:rFonts w:ascii="Tahoma" w:hAnsi="Tahoma" w:cs="Tahoma"/>
        </w:rPr>
      </w:pPr>
      <w:r w:rsidRPr="00D72BA4">
        <w:rPr>
          <w:rFonts w:ascii="Tahoma" w:hAnsi="Tahoma" w:cs="Tahoma"/>
        </w:rPr>
        <w:t>La sanción impuesta ha sido otorgada en función a los elementos probatorios presentados, los hechos concomitantes a la conducta realizada, los anteriores pronunciamientos vertidos por este órgano colegiado a través de su función jurisdiccional,  y  en virtud a la conducta procesal realizada por el Postor en el presente procedimiento, ajustándose totalmente a derecho y en busca de no inhabilitar al postor con un tiempo mayor al necesario, y adecuado en función al comportamiento realizado, no teniendo como objetivo su salida del mercado, pues en el ambiente donde concurren ofertantes y consumidores, el Estado es sólo uno de los participantes, encontrándose expedito su derecho y potestad de ofertar sus servicios al sector privado,  y precisándose que la sanción impuesta se realiza por causal únicamente atribuible al Postor.</w:t>
      </w:r>
    </w:p>
    <w:p w:rsidR="00101FE5" w:rsidRPr="00D72BA4" w:rsidRDefault="00101FE5" w:rsidP="00101FE5">
      <w:pPr>
        <w:ind w:left="360"/>
        <w:jc w:val="both"/>
        <w:rPr>
          <w:rFonts w:ascii="Tahoma" w:hAnsi="Tahoma" w:cs="Tahoma"/>
        </w:rPr>
      </w:pPr>
    </w:p>
    <w:p w:rsidR="00101FE5" w:rsidRPr="00D72BA4" w:rsidRDefault="00101FE5" w:rsidP="00101FE5">
      <w:pPr>
        <w:numPr>
          <w:ilvl w:val="0"/>
          <w:numId w:val="4"/>
        </w:numPr>
        <w:tabs>
          <w:tab w:val="left" w:pos="540"/>
        </w:tabs>
        <w:jc w:val="both"/>
        <w:rPr>
          <w:rFonts w:ascii="Tahoma" w:hAnsi="Tahoma" w:cs="Tahoma"/>
          <w:lang w:val="es-PE"/>
        </w:rPr>
      </w:pPr>
      <w:r w:rsidRPr="00D72BA4">
        <w:rPr>
          <w:rFonts w:ascii="Tahoma" w:hAnsi="Tahoma" w:cs="Tahoma"/>
          <w:lang w:val="es-PE"/>
        </w:rPr>
        <w:t xml:space="preserve">En consideración a los argumentos descritos, se ha acreditado que el recurso de reconsideración interpuesto por el Postor no ha presentado argumento u hechos que ameriten la variación de lo resuelto por parte de este Colegiado, por tanto debe ser declarado infundado, debiendo tenerse en cuenta que con la presente decisión se agota la vía administrativa, a fin que, de estimarlo conveniente a sus intereses, el Postor haga uso de los recursos que la ley prevé. </w:t>
      </w:r>
    </w:p>
    <w:p w:rsidR="00101FE5" w:rsidRPr="00D949F4" w:rsidRDefault="00101FE5" w:rsidP="00101FE5">
      <w:pPr>
        <w:jc w:val="both"/>
        <w:rPr>
          <w:rFonts w:ascii="Tahoma" w:hAnsi="Tahoma" w:cs="Tahoma"/>
          <w:b/>
          <w:shadow/>
        </w:rPr>
      </w:pPr>
    </w:p>
    <w:p w:rsidR="00101FE5" w:rsidRPr="00FB366F" w:rsidRDefault="00101FE5" w:rsidP="00101FE5">
      <w:pPr>
        <w:ind w:left="-180"/>
        <w:jc w:val="both"/>
        <w:rPr>
          <w:rFonts w:ascii="Tahoma" w:hAnsi="Tahoma" w:cs="Tahoma"/>
        </w:rPr>
      </w:pPr>
      <w:r w:rsidRPr="00FB366F">
        <w:rPr>
          <w:rFonts w:ascii="Tahoma" w:hAnsi="Tahoma" w:cs="Tahoma"/>
        </w:rPr>
        <w:lastRenderedPageBreak/>
        <w:t xml:space="preserve">Por estos fundamentos, de conformidad con el informe de la Vocal Ponente doctora </w:t>
      </w:r>
      <w:proofErr w:type="spellStart"/>
      <w:r w:rsidRPr="00FB366F">
        <w:rPr>
          <w:rFonts w:ascii="Tahoma" w:hAnsi="Tahoma" w:cs="Tahoma"/>
        </w:rPr>
        <w:t>Janette</w:t>
      </w:r>
      <w:proofErr w:type="spellEnd"/>
      <w:r w:rsidRPr="00FB366F">
        <w:rPr>
          <w:rFonts w:ascii="Tahoma" w:hAnsi="Tahoma" w:cs="Tahoma"/>
        </w:rPr>
        <w:t xml:space="preserve"> </w:t>
      </w:r>
      <w:proofErr w:type="spellStart"/>
      <w:r w:rsidRPr="00FB366F">
        <w:rPr>
          <w:rFonts w:ascii="Tahoma" w:hAnsi="Tahoma" w:cs="Tahoma"/>
        </w:rPr>
        <w:t>Elke</w:t>
      </w:r>
      <w:proofErr w:type="spellEnd"/>
      <w:r w:rsidRPr="00FB366F">
        <w:rPr>
          <w:rFonts w:ascii="Tahoma" w:hAnsi="Tahoma" w:cs="Tahoma"/>
        </w:rPr>
        <w:t xml:space="preserve"> Ramírez </w:t>
      </w:r>
      <w:proofErr w:type="spellStart"/>
      <w:r w:rsidRPr="00FB366F">
        <w:rPr>
          <w:rFonts w:ascii="Tahoma" w:hAnsi="Tahoma" w:cs="Tahoma"/>
        </w:rPr>
        <w:t>Maynetto</w:t>
      </w:r>
      <w:proofErr w:type="spellEnd"/>
      <w:r w:rsidRPr="00FB366F">
        <w:rPr>
          <w:rFonts w:ascii="Tahoma" w:hAnsi="Tahoma" w:cs="Tahoma"/>
        </w:rPr>
        <w:t xml:space="preserve">, con la intervención de los doctores Juan Carlos Valdivia </w:t>
      </w:r>
      <w:proofErr w:type="spellStart"/>
      <w:r w:rsidRPr="00FB366F">
        <w:rPr>
          <w:rFonts w:ascii="Tahoma" w:hAnsi="Tahoma" w:cs="Tahoma"/>
        </w:rPr>
        <w:t>Huaringa</w:t>
      </w:r>
      <w:proofErr w:type="spellEnd"/>
      <w:r w:rsidRPr="00FB366F">
        <w:rPr>
          <w:rFonts w:ascii="Tahoma" w:hAnsi="Tahoma" w:cs="Tahoma"/>
        </w:rPr>
        <w:t xml:space="preserve"> y Carlos Vicente Navas Rondón, atendiendo a la </w:t>
      </w:r>
      <w:proofErr w:type="spellStart"/>
      <w:r w:rsidRPr="00FB366F">
        <w:rPr>
          <w:rFonts w:ascii="Tahoma" w:hAnsi="Tahoma" w:cs="Tahoma"/>
        </w:rPr>
        <w:t>reconformación</w:t>
      </w:r>
      <w:proofErr w:type="spellEnd"/>
      <w:r w:rsidRPr="00FB366F">
        <w:rPr>
          <w:rFonts w:ascii="Tahoma" w:hAnsi="Tahoma" w:cs="Tahoma"/>
        </w:rPr>
        <w:t xml:space="preserve"> de </w:t>
      </w:r>
      <w:smartTag w:uri="urn:schemas-microsoft-com:office:smarttags" w:element="PersonName">
        <w:smartTagPr>
          <w:attr w:name="ProductID" w:val="la Tercera Sala"/>
        </w:smartTagPr>
        <w:r w:rsidRPr="00FB366F">
          <w:rPr>
            <w:rFonts w:ascii="Tahoma" w:hAnsi="Tahoma" w:cs="Tahoma"/>
          </w:rPr>
          <w:t>la Tercera Sala</w:t>
        </w:r>
      </w:smartTag>
      <w:r w:rsidRPr="00FB366F">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B366F">
          <w:rPr>
            <w:rFonts w:ascii="Tahoma" w:hAnsi="Tahoma" w:cs="Tahoma"/>
          </w:rPr>
          <w:t>la Resolución N.º</w:t>
        </w:r>
      </w:smartTag>
      <w:r w:rsidRPr="00FB366F">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B366F">
          <w:rPr>
            <w:rFonts w:ascii="Tahoma" w:hAnsi="Tahoma" w:cs="Tahoma"/>
          </w:rPr>
          <w:t>la Ley</w:t>
        </w:r>
      </w:smartTag>
      <w:r w:rsidRPr="00FB366F">
        <w:rPr>
          <w:rFonts w:ascii="Tahoma" w:hAnsi="Tahoma" w:cs="Tahoma"/>
        </w:rPr>
        <w:t xml:space="preserve"> de Contrataciones y Adquisiciones del Estado, aprobado por Decreto Supremo N.º 083-2004-PCM, el artículo 171 de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101FE5" w:rsidRDefault="00101FE5" w:rsidP="00101FE5">
      <w:pPr>
        <w:tabs>
          <w:tab w:val="num" w:pos="360"/>
        </w:tabs>
        <w:ind w:left="-180" w:firstLine="180"/>
        <w:jc w:val="both"/>
        <w:rPr>
          <w:rFonts w:ascii="Tahoma" w:hAnsi="Tahoma" w:cs="Tahoma"/>
          <w:b/>
          <w:shadow/>
        </w:rPr>
      </w:pPr>
    </w:p>
    <w:p w:rsidR="00101FE5" w:rsidRPr="00D949F4" w:rsidRDefault="00101FE5" w:rsidP="00101FE5">
      <w:pPr>
        <w:tabs>
          <w:tab w:val="num" w:pos="360"/>
        </w:tabs>
        <w:ind w:left="-180" w:firstLine="180"/>
        <w:jc w:val="both"/>
        <w:rPr>
          <w:rFonts w:ascii="Tahoma" w:hAnsi="Tahoma" w:cs="Tahoma"/>
          <w:b/>
          <w:shadow/>
        </w:rPr>
      </w:pPr>
      <w:r w:rsidRPr="00D949F4">
        <w:rPr>
          <w:rFonts w:ascii="Tahoma" w:hAnsi="Tahoma" w:cs="Tahoma"/>
          <w:b/>
          <w:shadow/>
        </w:rPr>
        <w:t>LA SALA RESUELVE:</w:t>
      </w:r>
    </w:p>
    <w:p w:rsidR="00101FE5" w:rsidRPr="00D72BA4" w:rsidRDefault="00101FE5" w:rsidP="00101FE5">
      <w:pPr>
        <w:jc w:val="both"/>
        <w:rPr>
          <w:rFonts w:ascii="Tahoma" w:hAnsi="Tahoma" w:cs="Tahoma"/>
        </w:rPr>
      </w:pPr>
    </w:p>
    <w:p w:rsidR="00101FE5" w:rsidRPr="00D72BA4" w:rsidRDefault="00101FE5" w:rsidP="00101FE5">
      <w:pPr>
        <w:numPr>
          <w:ilvl w:val="1"/>
          <w:numId w:val="6"/>
        </w:numPr>
        <w:tabs>
          <w:tab w:val="clear" w:pos="1440"/>
          <w:tab w:val="num" w:pos="540"/>
        </w:tabs>
        <w:ind w:left="540" w:hanging="540"/>
        <w:jc w:val="both"/>
        <w:rPr>
          <w:rFonts w:ascii="Tahoma" w:hAnsi="Tahoma" w:cs="Tahoma"/>
        </w:rPr>
      </w:pPr>
      <w:r w:rsidRPr="00D72BA4">
        <w:rPr>
          <w:rFonts w:ascii="Tahoma" w:hAnsi="Tahoma" w:cs="Tahoma"/>
        </w:rPr>
        <w:t xml:space="preserve">Declarar Infundado el recurso de reconsideración, presentado por la empresa </w:t>
      </w:r>
      <w:r w:rsidRPr="00D72BA4">
        <w:rPr>
          <w:rFonts w:ascii="Tahoma" w:hAnsi="Tahoma" w:cs="Tahoma"/>
          <w:b/>
        </w:rPr>
        <w:t>MORGAN SEGURITY S.A.C.</w:t>
      </w:r>
      <w:r w:rsidRPr="00D72BA4">
        <w:rPr>
          <w:rFonts w:ascii="Tahoma" w:hAnsi="Tahoma" w:cs="Tahoma"/>
        </w:rPr>
        <w:t>, por los fundamentos expuestos.</w:t>
      </w:r>
    </w:p>
    <w:p w:rsidR="00101FE5" w:rsidRPr="00D72BA4" w:rsidRDefault="00101FE5" w:rsidP="00101FE5">
      <w:pPr>
        <w:jc w:val="both"/>
        <w:rPr>
          <w:rFonts w:ascii="Tahoma" w:hAnsi="Tahoma" w:cs="Tahoma"/>
        </w:rPr>
      </w:pPr>
    </w:p>
    <w:p w:rsidR="00101FE5" w:rsidRPr="00D72BA4" w:rsidRDefault="00101FE5" w:rsidP="00101FE5">
      <w:pPr>
        <w:numPr>
          <w:ilvl w:val="1"/>
          <w:numId w:val="6"/>
        </w:numPr>
        <w:tabs>
          <w:tab w:val="clear" w:pos="1440"/>
          <w:tab w:val="num" w:pos="540"/>
        </w:tabs>
        <w:ind w:left="540" w:hanging="540"/>
        <w:jc w:val="both"/>
        <w:rPr>
          <w:rFonts w:ascii="Tahoma" w:hAnsi="Tahoma" w:cs="Tahoma"/>
        </w:rPr>
      </w:pPr>
      <w:r w:rsidRPr="00D72BA4">
        <w:rPr>
          <w:rFonts w:ascii="Tahoma" w:hAnsi="Tahoma" w:cs="Tahoma"/>
        </w:rPr>
        <w:t>Dar por agotada la vía administrativa.</w:t>
      </w:r>
    </w:p>
    <w:p w:rsidR="00101FE5" w:rsidRPr="00D72BA4" w:rsidRDefault="00101FE5" w:rsidP="00101FE5">
      <w:pPr>
        <w:pStyle w:val="Textoindependiente21"/>
        <w:ind w:firstLine="567"/>
        <w:rPr>
          <w:rFonts w:cs="Tahoma"/>
          <w:sz w:val="20"/>
        </w:rPr>
      </w:pPr>
    </w:p>
    <w:p w:rsidR="00101FE5" w:rsidRPr="00D949F4" w:rsidRDefault="00101FE5" w:rsidP="00101FE5">
      <w:pPr>
        <w:pStyle w:val="Textoindependiente"/>
        <w:widowControl/>
        <w:suppressAutoHyphens w:val="0"/>
        <w:rPr>
          <w:rFonts w:cs="Tahoma"/>
          <w:sz w:val="20"/>
        </w:rPr>
      </w:pPr>
    </w:p>
    <w:p w:rsidR="00101FE5" w:rsidRPr="00D949F4" w:rsidRDefault="00101FE5" w:rsidP="00101FE5">
      <w:pPr>
        <w:pStyle w:val="Textoindependiente21"/>
        <w:rPr>
          <w:rFonts w:cs="Tahoma"/>
          <w:sz w:val="20"/>
        </w:rPr>
      </w:pPr>
      <w:r w:rsidRPr="00D949F4">
        <w:rPr>
          <w:rFonts w:cs="Tahoma"/>
          <w:sz w:val="20"/>
        </w:rPr>
        <w:t>Regístrese, comuníquese y publíquese.</w:t>
      </w:r>
    </w:p>
    <w:p w:rsidR="00101FE5" w:rsidRPr="00D949F4" w:rsidRDefault="00101FE5" w:rsidP="00101FE5">
      <w:pPr>
        <w:jc w:val="center"/>
        <w:rPr>
          <w:rFonts w:ascii="Tahoma" w:hAnsi="Tahoma" w:cs="Tahoma"/>
          <w:b/>
        </w:rPr>
      </w:pPr>
    </w:p>
    <w:p w:rsidR="00101FE5" w:rsidRPr="00D949F4" w:rsidRDefault="00101FE5" w:rsidP="00101FE5">
      <w:pPr>
        <w:jc w:val="center"/>
        <w:rPr>
          <w:rFonts w:ascii="Tahoma" w:hAnsi="Tahoma" w:cs="Tahoma"/>
          <w:b/>
        </w:rPr>
      </w:pPr>
    </w:p>
    <w:p w:rsidR="00101FE5" w:rsidRPr="00D949F4" w:rsidRDefault="00101FE5" w:rsidP="00101FE5">
      <w:pPr>
        <w:jc w:val="center"/>
        <w:rPr>
          <w:rFonts w:ascii="Tahoma" w:hAnsi="Tahoma" w:cs="Tahoma"/>
          <w:b/>
        </w:rPr>
      </w:pPr>
    </w:p>
    <w:p w:rsidR="00101FE5" w:rsidRPr="00D949F4" w:rsidRDefault="00101FE5" w:rsidP="00101FE5">
      <w:pPr>
        <w:jc w:val="center"/>
        <w:rPr>
          <w:rFonts w:ascii="Tahoma" w:hAnsi="Tahoma" w:cs="Tahoma"/>
          <w:b/>
        </w:rPr>
      </w:pPr>
    </w:p>
    <w:p w:rsidR="00101FE5" w:rsidRPr="00D949F4" w:rsidRDefault="00101FE5" w:rsidP="00101FE5">
      <w:pPr>
        <w:jc w:val="center"/>
        <w:rPr>
          <w:rFonts w:ascii="Tahoma" w:hAnsi="Tahoma" w:cs="Tahoma"/>
          <w:b/>
          <w:lang w:val="es-ES_tradnl"/>
        </w:rPr>
      </w:pPr>
    </w:p>
    <w:p w:rsidR="00101FE5" w:rsidRPr="00D949F4" w:rsidRDefault="00101FE5" w:rsidP="00101FE5">
      <w:pPr>
        <w:jc w:val="center"/>
        <w:rPr>
          <w:rFonts w:ascii="Tahoma" w:hAnsi="Tahoma" w:cs="Tahoma"/>
          <w:b/>
        </w:rPr>
      </w:pPr>
    </w:p>
    <w:p w:rsidR="00101FE5" w:rsidRPr="00D949F4" w:rsidRDefault="00101FE5" w:rsidP="00101FE5">
      <w:pPr>
        <w:jc w:val="center"/>
        <w:rPr>
          <w:rFonts w:ascii="Tahoma" w:hAnsi="Tahoma" w:cs="Tahoma"/>
          <w:b/>
        </w:rPr>
      </w:pPr>
    </w:p>
    <w:p w:rsidR="00101FE5" w:rsidRPr="00D949F4" w:rsidRDefault="00101FE5" w:rsidP="00101FE5">
      <w:pPr>
        <w:jc w:val="center"/>
        <w:rPr>
          <w:rFonts w:ascii="Tahoma" w:hAnsi="Tahoma" w:cs="Tahoma"/>
          <w:b/>
          <w:shadow/>
          <w:lang w:val="pt-BR"/>
        </w:rPr>
      </w:pPr>
      <w:r w:rsidRPr="00D949F4">
        <w:rPr>
          <w:rFonts w:ascii="Tahoma" w:hAnsi="Tahoma" w:cs="Tahoma"/>
          <w:b/>
          <w:shadow/>
          <w:lang w:val="pt-BR"/>
        </w:rPr>
        <w:t>PRESIDENTE</w:t>
      </w:r>
    </w:p>
    <w:p w:rsidR="00101FE5" w:rsidRPr="00D949F4" w:rsidRDefault="00101FE5" w:rsidP="00101FE5">
      <w:pPr>
        <w:jc w:val="center"/>
        <w:rPr>
          <w:rFonts w:ascii="Tahoma" w:hAnsi="Tahoma" w:cs="Tahoma"/>
          <w:b/>
          <w:shadow/>
          <w:lang w:val="pt-BR"/>
        </w:rPr>
      </w:pPr>
    </w:p>
    <w:p w:rsidR="00101FE5" w:rsidRPr="00D949F4" w:rsidRDefault="00101FE5" w:rsidP="00101FE5">
      <w:pPr>
        <w:jc w:val="center"/>
        <w:rPr>
          <w:rFonts w:ascii="Tahoma" w:hAnsi="Tahoma" w:cs="Tahoma"/>
          <w:b/>
          <w:shadow/>
          <w:lang w:val="pt-BR"/>
        </w:rPr>
      </w:pPr>
    </w:p>
    <w:p w:rsidR="00101FE5" w:rsidRPr="00D949F4" w:rsidRDefault="00101FE5" w:rsidP="00101FE5">
      <w:pPr>
        <w:jc w:val="center"/>
        <w:rPr>
          <w:rFonts w:ascii="Tahoma" w:hAnsi="Tahoma" w:cs="Tahoma"/>
          <w:b/>
          <w:shadow/>
          <w:lang w:val="pt-BR"/>
        </w:rPr>
      </w:pPr>
    </w:p>
    <w:p w:rsidR="00101FE5" w:rsidRPr="00D949F4" w:rsidRDefault="00101FE5" w:rsidP="00101FE5">
      <w:pPr>
        <w:ind w:firstLine="708"/>
        <w:rPr>
          <w:rFonts w:ascii="Tahoma" w:hAnsi="Tahoma" w:cs="Tahoma"/>
          <w:b/>
          <w:shadow/>
          <w:lang w:val="pt-BR"/>
        </w:rPr>
      </w:pPr>
      <w:r w:rsidRPr="00D949F4">
        <w:rPr>
          <w:rFonts w:ascii="Tahoma" w:hAnsi="Tahoma" w:cs="Tahoma"/>
          <w:b/>
          <w:shadow/>
          <w:lang w:val="pt-BR"/>
        </w:rPr>
        <w:t xml:space="preserve"> VOCAL           </w:t>
      </w:r>
      <w:r w:rsidRPr="00D949F4">
        <w:rPr>
          <w:rFonts w:ascii="Tahoma" w:hAnsi="Tahoma" w:cs="Tahoma"/>
          <w:b/>
          <w:shadow/>
          <w:lang w:val="pt-BR"/>
        </w:rPr>
        <w:tab/>
      </w:r>
      <w:r w:rsidRPr="00D949F4">
        <w:rPr>
          <w:rFonts w:ascii="Tahoma" w:hAnsi="Tahoma" w:cs="Tahoma"/>
          <w:b/>
          <w:shadow/>
          <w:lang w:val="pt-BR"/>
        </w:rPr>
        <w:tab/>
        <w:t xml:space="preserve">                                                                            VOCAL</w:t>
      </w:r>
    </w:p>
    <w:p w:rsidR="00101FE5" w:rsidRPr="00D949F4" w:rsidRDefault="00101FE5" w:rsidP="00101FE5">
      <w:pPr>
        <w:ind w:firstLine="708"/>
        <w:rPr>
          <w:rFonts w:ascii="Tahoma" w:hAnsi="Tahoma" w:cs="Tahoma"/>
          <w:b/>
          <w:shadow/>
          <w:lang w:val="pt-BR"/>
        </w:rPr>
      </w:pPr>
    </w:p>
    <w:p w:rsidR="00101FE5" w:rsidRPr="00D949F4" w:rsidRDefault="00101FE5" w:rsidP="00101FE5">
      <w:pPr>
        <w:ind w:firstLine="708"/>
        <w:rPr>
          <w:rFonts w:ascii="Tahoma" w:hAnsi="Tahoma" w:cs="Tahoma"/>
          <w:b/>
          <w:shadow/>
          <w:lang w:val="pt-BR"/>
        </w:rPr>
      </w:pPr>
    </w:p>
    <w:p w:rsidR="00101FE5" w:rsidRPr="00D949F4" w:rsidRDefault="00101FE5" w:rsidP="00101FE5">
      <w:pPr>
        <w:ind w:firstLine="708"/>
        <w:rPr>
          <w:rFonts w:ascii="Tahoma" w:hAnsi="Tahoma" w:cs="Tahoma"/>
          <w:b/>
          <w:shadow/>
          <w:lang w:val="pt-BR"/>
        </w:rPr>
      </w:pPr>
    </w:p>
    <w:p w:rsidR="00101FE5" w:rsidRPr="00D949F4" w:rsidRDefault="00101FE5" w:rsidP="00101FE5">
      <w:pPr>
        <w:ind w:firstLine="708"/>
        <w:rPr>
          <w:rFonts w:ascii="Tahoma" w:hAnsi="Tahoma" w:cs="Tahoma"/>
          <w:b/>
          <w:shadow/>
          <w:lang w:val="pt-BR"/>
        </w:rPr>
      </w:pPr>
    </w:p>
    <w:p w:rsidR="00101FE5" w:rsidRPr="00D949F4" w:rsidRDefault="00101FE5" w:rsidP="00101FE5">
      <w:pPr>
        <w:jc w:val="both"/>
        <w:rPr>
          <w:rFonts w:ascii="Tahoma" w:hAnsi="Tahoma" w:cs="Tahoma"/>
          <w:lang w:val="pt-BR"/>
        </w:rPr>
      </w:pPr>
      <w:proofErr w:type="gramStart"/>
      <w:r w:rsidRPr="00D949F4">
        <w:rPr>
          <w:rFonts w:ascii="Tahoma" w:hAnsi="Tahoma" w:cs="Tahoma"/>
          <w:lang w:val="pt-BR"/>
        </w:rPr>
        <w:t>ss.</w:t>
      </w:r>
      <w:proofErr w:type="gramEnd"/>
    </w:p>
    <w:p w:rsidR="00101FE5" w:rsidRPr="00F13B59" w:rsidRDefault="00101FE5" w:rsidP="00101FE5">
      <w:pPr>
        <w:pStyle w:val="Textoindependiente21"/>
        <w:rPr>
          <w:rFonts w:cs="Tahoma"/>
          <w:sz w:val="18"/>
          <w:szCs w:val="18"/>
          <w:lang w:val="pt-BR"/>
        </w:rPr>
      </w:pPr>
      <w:proofErr w:type="spellStart"/>
      <w:r w:rsidRPr="00F13B59">
        <w:rPr>
          <w:rFonts w:cs="Tahoma"/>
          <w:sz w:val="18"/>
          <w:szCs w:val="18"/>
          <w:lang w:val="pt-BR"/>
        </w:rPr>
        <w:t>Valdivia</w:t>
      </w:r>
      <w:proofErr w:type="spellEnd"/>
      <w:r w:rsidRPr="00F13B59">
        <w:rPr>
          <w:rFonts w:cs="Tahoma"/>
          <w:sz w:val="18"/>
          <w:szCs w:val="18"/>
          <w:lang w:val="pt-BR"/>
        </w:rPr>
        <w:t xml:space="preserve"> </w:t>
      </w:r>
      <w:proofErr w:type="spellStart"/>
      <w:r w:rsidRPr="00F13B59">
        <w:rPr>
          <w:rFonts w:cs="Tahoma"/>
          <w:sz w:val="18"/>
          <w:szCs w:val="18"/>
          <w:lang w:val="pt-BR"/>
        </w:rPr>
        <w:t>Huaringa</w:t>
      </w:r>
      <w:proofErr w:type="spellEnd"/>
      <w:r w:rsidRPr="00F13B59">
        <w:rPr>
          <w:rFonts w:cs="Tahoma"/>
          <w:sz w:val="18"/>
          <w:szCs w:val="18"/>
          <w:lang w:val="pt-BR"/>
        </w:rPr>
        <w:t>.</w:t>
      </w:r>
    </w:p>
    <w:p w:rsidR="00101FE5" w:rsidRPr="00F13B59" w:rsidRDefault="00101FE5" w:rsidP="00101FE5">
      <w:pPr>
        <w:pStyle w:val="Textoindependiente21"/>
        <w:rPr>
          <w:rFonts w:cs="Tahoma"/>
          <w:sz w:val="18"/>
          <w:szCs w:val="18"/>
        </w:rPr>
      </w:pPr>
      <w:r w:rsidRPr="00F13B59">
        <w:rPr>
          <w:rFonts w:cs="Tahoma"/>
          <w:sz w:val="18"/>
          <w:szCs w:val="18"/>
        </w:rPr>
        <w:t xml:space="preserve">Ramírez </w:t>
      </w:r>
      <w:proofErr w:type="spellStart"/>
      <w:r w:rsidRPr="00F13B59">
        <w:rPr>
          <w:rFonts w:cs="Tahoma"/>
          <w:sz w:val="18"/>
          <w:szCs w:val="18"/>
        </w:rPr>
        <w:t>Maynetto</w:t>
      </w:r>
      <w:proofErr w:type="spellEnd"/>
      <w:r w:rsidRPr="00F13B59">
        <w:rPr>
          <w:rFonts w:cs="Tahoma"/>
          <w:sz w:val="18"/>
          <w:szCs w:val="18"/>
        </w:rPr>
        <w:t>.</w:t>
      </w:r>
    </w:p>
    <w:p w:rsidR="00101FE5" w:rsidRPr="00F13B59" w:rsidRDefault="00101FE5" w:rsidP="00101FE5">
      <w:pPr>
        <w:pStyle w:val="Textoindependiente21"/>
        <w:tabs>
          <w:tab w:val="left" w:pos="7740"/>
        </w:tabs>
        <w:rPr>
          <w:rFonts w:cs="Tahoma"/>
          <w:sz w:val="18"/>
          <w:szCs w:val="18"/>
        </w:rPr>
      </w:pPr>
      <w:r>
        <w:rPr>
          <w:rFonts w:cs="Tahoma"/>
          <w:sz w:val="18"/>
          <w:szCs w:val="18"/>
        </w:rPr>
        <w:t>Navas Rondón</w:t>
      </w:r>
    </w:p>
    <w:p w:rsidR="00101FE5" w:rsidRPr="00D949F4" w:rsidRDefault="00101FE5" w:rsidP="00101FE5">
      <w:pPr>
        <w:rPr>
          <w:rFonts w:ascii="Tahoma" w:hAnsi="Tahoma" w:cs="Tahoma"/>
        </w:rPr>
      </w:pPr>
    </w:p>
    <w:p w:rsidR="00101FE5" w:rsidRDefault="00101FE5" w:rsidP="00101FE5"/>
    <w:p w:rsidR="00101FE5" w:rsidRDefault="00101FE5" w:rsidP="00101FE5"/>
    <w:p w:rsidR="00DD5730" w:rsidRDefault="00A201D5"/>
    <w:sectPr w:rsidR="00DD5730" w:rsidSect="00DB7134">
      <w:footerReference w:type="even" r:id="rId7"/>
      <w:footerReference w:type="default" r:id="rId8"/>
      <w:pgSz w:w="11907" w:h="16840" w:code="9"/>
      <w:pgMar w:top="3774" w:right="1107" w:bottom="1985"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FE5" w:rsidRDefault="00101FE5" w:rsidP="00101FE5">
      <w:r>
        <w:separator/>
      </w:r>
    </w:p>
  </w:endnote>
  <w:endnote w:type="continuationSeparator" w:id="1">
    <w:p w:rsidR="00101FE5" w:rsidRDefault="00101FE5" w:rsidP="00101F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308" w:rsidRDefault="00B9553A" w:rsidP="00DB7134">
    <w:pPr>
      <w:pStyle w:val="Piedepgina"/>
      <w:framePr w:wrap="around" w:vAnchor="text" w:hAnchor="margin" w:xAlign="center" w:y="1"/>
      <w:rPr>
        <w:rStyle w:val="Nmerodepgina"/>
      </w:rPr>
    </w:pPr>
    <w:r>
      <w:rPr>
        <w:rStyle w:val="Nmerodepgina"/>
      </w:rPr>
      <w:fldChar w:fldCharType="begin"/>
    </w:r>
    <w:r w:rsidR="00EE6D45">
      <w:rPr>
        <w:rStyle w:val="Nmerodepgina"/>
      </w:rPr>
      <w:instrText xml:space="preserve">PAGE  </w:instrText>
    </w:r>
    <w:r>
      <w:rPr>
        <w:rStyle w:val="Nmerodepgina"/>
      </w:rPr>
      <w:fldChar w:fldCharType="end"/>
    </w:r>
  </w:p>
  <w:p w:rsidR="00D93308" w:rsidRDefault="00A201D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308" w:rsidRPr="00106079" w:rsidRDefault="00EE6D45">
    <w:pPr>
      <w:pStyle w:val="Piedepgina"/>
      <w:framePr w:wrap="around" w:vAnchor="text" w:hAnchor="margin" w:xAlign="center" w:y="1"/>
      <w:rPr>
        <w:rStyle w:val="Nmerodepgina"/>
        <w:rFonts w:ascii="Tahoma" w:hAnsi="Tahoma" w:cs="Tahoma"/>
        <w:sz w:val="20"/>
      </w:rPr>
    </w:pPr>
    <w:r w:rsidRPr="00106079">
      <w:rPr>
        <w:rStyle w:val="Nmerodepgina"/>
        <w:rFonts w:ascii="Tahoma" w:hAnsi="Tahoma" w:cs="Tahoma"/>
        <w:sz w:val="20"/>
      </w:rPr>
      <w:t xml:space="preserve">Página </w:t>
    </w:r>
    <w:r w:rsidR="00B9553A" w:rsidRPr="00106079">
      <w:rPr>
        <w:rStyle w:val="Nmerodepgina"/>
        <w:rFonts w:ascii="Tahoma" w:hAnsi="Tahoma" w:cs="Tahoma"/>
        <w:sz w:val="20"/>
      </w:rPr>
      <w:fldChar w:fldCharType="begin"/>
    </w:r>
    <w:r w:rsidRPr="00106079">
      <w:rPr>
        <w:rStyle w:val="Nmerodepgina"/>
        <w:rFonts w:ascii="Tahoma" w:hAnsi="Tahoma" w:cs="Tahoma"/>
        <w:sz w:val="20"/>
      </w:rPr>
      <w:instrText xml:space="preserve"> PAGE </w:instrText>
    </w:r>
    <w:r w:rsidR="00B9553A" w:rsidRPr="00106079">
      <w:rPr>
        <w:rStyle w:val="Nmerodepgina"/>
        <w:rFonts w:ascii="Tahoma" w:hAnsi="Tahoma" w:cs="Tahoma"/>
        <w:sz w:val="20"/>
      </w:rPr>
      <w:fldChar w:fldCharType="separate"/>
    </w:r>
    <w:r w:rsidR="00A201D5">
      <w:rPr>
        <w:rStyle w:val="Nmerodepgina"/>
        <w:rFonts w:ascii="Tahoma" w:hAnsi="Tahoma" w:cs="Tahoma"/>
        <w:noProof/>
        <w:sz w:val="20"/>
      </w:rPr>
      <w:t>1</w:t>
    </w:r>
    <w:r w:rsidR="00B9553A" w:rsidRPr="00106079">
      <w:rPr>
        <w:rStyle w:val="Nmerodepgina"/>
        <w:rFonts w:ascii="Tahoma" w:hAnsi="Tahoma" w:cs="Tahoma"/>
        <w:sz w:val="20"/>
      </w:rPr>
      <w:fldChar w:fldCharType="end"/>
    </w:r>
    <w:r w:rsidRPr="00106079">
      <w:rPr>
        <w:rStyle w:val="Nmerodepgina"/>
        <w:rFonts w:ascii="Tahoma" w:hAnsi="Tahoma" w:cs="Tahoma"/>
        <w:sz w:val="20"/>
      </w:rPr>
      <w:t xml:space="preserve"> de </w:t>
    </w:r>
    <w:r w:rsidR="00B9553A" w:rsidRPr="00106079">
      <w:rPr>
        <w:rStyle w:val="Nmerodepgina"/>
        <w:rFonts w:ascii="Tahoma" w:hAnsi="Tahoma" w:cs="Tahoma"/>
        <w:sz w:val="20"/>
      </w:rPr>
      <w:fldChar w:fldCharType="begin"/>
    </w:r>
    <w:r w:rsidRPr="00106079">
      <w:rPr>
        <w:rStyle w:val="Nmerodepgina"/>
        <w:rFonts w:ascii="Tahoma" w:hAnsi="Tahoma" w:cs="Tahoma"/>
        <w:sz w:val="20"/>
      </w:rPr>
      <w:instrText xml:space="preserve"> NUMPAGES </w:instrText>
    </w:r>
    <w:r w:rsidR="00B9553A" w:rsidRPr="00106079">
      <w:rPr>
        <w:rStyle w:val="Nmerodepgina"/>
        <w:rFonts w:ascii="Tahoma" w:hAnsi="Tahoma" w:cs="Tahoma"/>
        <w:sz w:val="20"/>
      </w:rPr>
      <w:fldChar w:fldCharType="separate"/>
    </w:r>
    <w:r w:rsidR="00A201D5">
      <w:rPr>
        <w:rStyle w:val="Nmerodepgina"/>
        <w:rFonts w:ascii="Tahoma" w:hAnsi="Tahoma" w:cs="Tahoma"/>
        <w:noProof/>
        <w:sz w:val="20"/>
      </w:rPr>
      <w:t>7</w:t>
    </w:r>
    <w:r w:rsidR="00B9553A" w:rsidRPr="00106079">
      <w:rPr>
        <w:rStyle w:val="Nmerodepgina"/>
        <w:rFonts w:ascii="Tahoma" w:hAnsi="Tahoma" w:cs="Tahoma"/>
        <w:sz w:val="20"/>
      </w:rPr>
      <w:fldChar w:fldCharType="end"/>
    </w:r>
  </w:p>
  <w:p w:rsidR="00D93308" w:rsidRDefault="00A201D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FE5" w:rsidRDefault="00101FE5" w:rsidP="00101FE5">
      <w:r>
        <w:separator/>
      </w:r>
    </w:p>
  </w:footnote>
  <w:footnote w:type="continuationSeparator" w:id="1">
    <w:p w:rsidR="00101FE5" w:rsidRDefault="00101FE5" w:rsidP="00101FE5">
      <w:r>
        <w:continuationSeparator/>
      </w:r>
    </w:p>
  </w:footnote>
  <w:footnote w:id="2">
    <w:p w:rsidR="00101FE5" w:rsidRPr="006C5315" w:rsidRDefault="00101FE5" w:rsidP="00101FE5">
      <w:pPr>
        <w:pStyle w:val="Textonotapie"/>
        <w:ind w:left="180" w:hanging="180"/>
        <w:jc w:val="both"/>
        <w:rPr>
          <w:rFonts w:ascii="Tahoma" w:hAnsi="Tahoma" w:cs="Tahoma"/>
          <w:sz w:val="16"/>
          <w:szCs w:val="16"/>
        </w:rPr>
      </w:pPr>
      <w:r w:rsidRPr="006C5315">
        <w:rPr>
          <w:rStyle w:val="Refdenotaalpie"/>
          <w:rFonts w:ascii="Tahoma" w:hAnsi="Tahoma" w:cs="Tahoma"/>
          <w:sz w:val="16"/>
          <w:szCs w:val="16"/>
        </w:rPr>
        <w:footnoteRef/>
      </w:r>
      <w:r w:rsidRPr="006C5315">
        <w:rPr>
          <w:rFonts w:ascii="Tahoma" w:hAnsi="Tahoma" w:cs="Tahoma"/>
          <w:b/>
          <w:sz w:val="16"/>
          <w:szCs w:val="16"/>
        </w:rPr>
        <w:t>Artículo 306.- Recurso de Reconsideración.-</w:t>
      </w:r>
      <w:r w:rsidRPr="006C5315">
        <w:rPr>
          <w:rFonts w:ascii="Tahoma" w:hAnsi="Tahoma" w:cs="Tahoma"/>
          <w:sz w:val="16"/>
          <w:szCs w:val="16"/>
        </w:rPr>
        <w:t xml:space="preserve"> Contra lo resuelto por el Tribunal en un procedimiento sancionador podrá interponerse Recurso de Reconsideración dentro de los tres (3) días hábiles de notificada o publicada la respectiva resolución.</w:t>
      </w:r>
    </w:p>
    <w:p w:rsidR="00101FE5" w:rsidRPr="006C5315" w:rsidRDefault="00101FE5" w:rsidP="00101FE5">
      <w:pPr>
        <w:pStyle w:val="Textonotapie"/>
        <w:ind w:left="180"/>
        <w:jc w:val="both"/>
        <w:rPr>
          <w:rFonts w:ascii="Tahoma" w:hAnsi="Tahoma" w:cs="Tahoma"/>
          <w:sz w:val="16"/>
          <w:szCs w:val="16"/>
        </w:rPr>
      </w:pPr>
      <w:r w:rsidRPr="006C5315">
        <w:rPr>
          <w:rFonts w:ascii="Tahoma" w:hAnsi="Tahoma" w:cs="Tahoma"/>
          <w:sz w:val="16"/>
          <w:szCs w:val="16"/>
        </w:rPr>
        <w:t xml:space="preserve">El tribunal resolverá dentro del plazo de quince (15) días hábiles; contra esta decisión procede la acción </w:t>
      </w:r>
      <w:proofErr w:type="gramStart"/>
      <w:r w:rsidRPr="006C5315">
        <w:rPr>
          <w:rFonts w:ascii="Tahoma" w:hAnsi="Tahoma" w:cs="Tahoma"/>
          <w:sz w:val="16"/>
          <w:szCs w:val="16"/>
        </w:rPr>
        <w:t>contencioso</w:t>
      </w:r>
      <w:proofErr w:type="gramEnd"/>
      <w:r w:rsidRPr="006C5315">
        <w:rPr>
          <w:rFonts w:ascii="Tahoma" w:hAnsi="Tahoma" w:cs="Tahoma"/>
          <w:sz w:val="16"/>
          <w:szCs w:val="16"/>
        </w:rPr>
        <w:t xml:space="preserve"> </w:t>
      </w:r>
      <w:r>
        <w:rPr>
          <w:rFonts w:ascii="Tahoma" w:hAnsi="Tahoma" w:cs="Tahoma"/>
          <w:sz w:val="16"/>
          <w:szCs w:val="16"/>
        </w:rPr>
        <w:t>a</w:t>
      </w:r>
      <w:r w:rsidRPr="006C5315">
        <w:rPr>
          <w:rFonts w:ascii="Tahoma" w:hAnsi="Tahoma" w:cs="Tahoma"/>
          <w:sz w:val="16"/>
          <w:szCs w:val="16"/>
        </w:rPr>
        <w:t>dminis</w:t>
      </w:r>
      <w:r>
        <w:rPr>
          <w:rFonts w:ascii="Tahoma" w:hAnsi="Tahoma" w:cs="Tahoma"/>
          <w:sz w:val="16"/>
          <w:szCs w:val="16"/>
        </w:rPr>
        <w:t>trativa ante el Poder Judicial.</w:t>
      </w:r>
    </w:p>
  </w:footnote>
  <w:footnote w:id="3">
    <w:p w:rsidR="00101FE5" w:rsidRPr="006C5315" w:rsidRDefault="00101FE5" w:rsidP="00101FE5">
      <w:pPr>
        <w:pStyle w:val="Textonotapie"/>
        <w:rPr>
          <w:rFonts w:ascii="Tahoma" w:hAnsi="Tahoma" w:cs="Tahoma"/>
          <w:b/>
          <w:sz w:val="16"/>
          <w:szCs w:val="16"/>
        </w:rPr>
      </w:pPr>
      <w:r w:rsidRPr="006C5315">
        <w:rPr>
          <w:rStyle w:val="Refdenotaalpie"/>
          <w:sz w:val="16"/>
          <w:szCs w:val="16"/>
        </w:rPr>
        <w:footnoteRef/>
      </w:r>
      <w:r w:rsidRPr="006C5315">
        <w:rPr>
          <w:sz w:val="16"/>
          <w:szCs w:val="16"/>
        </w:rPr>
        <w:t xml:space="preserve"> </w:t>
      </w:r>
      <w:r w:rsidRPr="006C5315">
        <w:rPr>
          <w:rFonts w:ascii="Tahoma" w:hAnsi="Tahoma" w:cs="Tahoma"/>
          <w:b/>
          <w:sz w:val="16"/>
          <w:szCs w:val="16"/>
        </w:rPr>
        <w:t>Artículo 137.-</w:t>
      </w:r>
      <w:r w:rsidRPr="006C5315">
        <w:rPr>
          <w:rFonts w:ascii="Tahoma" w:hAnsi="Tahoma" w:cs="Tahoma"/>
          <w:sz w:val="16"/>
          <w:szCs w:val="16"/>
        </w:rPr>
        <w:t xml:space="preserve"> </w:t>
      </w:r>
      <w:r w:rsidRPr="006C5315">
        <w:rPr>
          <w:rFonts w:ascii="Tahoma" w:hAnsi="Tahoma" w:cs="Tahoma"/>
          <w:b/>
          <w:sz w:val="16"/>
          <w:szCs w:val="16"/>
        </w:rPr>
        <w:t>Consentimiento del Otorgamiento de la Buena Pro</w:t>
      </w:r>
    </w:p>
    <w:p w:rsidR="00101FE5" w:rsidRPr="006C5315" w:rsidRDefault="00101FE5" w:rsidP="00101FE5">
      <w:pPr>
        <w:pStyle w:val="Textonotapie"/>
        <w:jc w:val="both"/>
        <w:rPr>
          <w:rFonts w:ascii="Tahoma" w:hAnsi="Tahoma" w:cs="Tahoma"/>
          <w:sz w:val="16"/>
          <w:szCs w:val="16"/>
        </w:rPr>
      </w:pPr>
      <w:r w:rsidRPr="006C5315">
        <w:rPr>
          <w:rFonts w:ascii="Tahoma" w:hAnsi="Tahoma" w:cs="Tahoma"/>
          <w:sz w:val="16"/>
          <w:szCs w:val="16"/>
        </w:rPr>
        <w:t xml:space="preserve">Cuando se hayan presentado dos o </w:t>
      </w:r>
      <w:proofErr w:type="spellStart"/>
      <w:r w:rsidRPr="006C5315">
        <w:rPr>
          <w:rFonts w:ascii="Tahoma" w:hAnsi="Tahoma" w:cs="Tahoma"/>
          <w:sz w:val="16"/>
          <w:szCs w:val="16"/>
        </w:rPr>
        <w:t>mas</w:t>
      </w:r>
      <w:proofErr w:type="spellEnd"/>
      <w:r w:rsidRPr="006C5315">
        <w:rPr>
          <w:rFonts w:ascii="Tahoma" w:hAnsi="Tahoma" w:cs="Tahoma"/>
          <w:sz w:val="16"/>
          <w:szCs w:val="16"/>
        </w:rPr>
        <w:t xml:space="preserve"> propuestas, el consentimiento de la buena pro se producirá a los cinco días hábiles de su notificación, sin que los postores hayan ejercido el derecho de interponer el recurso de apelación</w:t>
      </w:r>
      <w:proofErr w:type="gramStart"/>
      <w:r w:rsidRPr="006C5315">
        <w:rPr>
          <w:rFonts w:ascii="Tahoma" w:hAnsi="Tahoma" w:cs="Tahoma"/>
          <w:sz w:val="16"/>
          <w:szCs w:val="16"/>
        </w:rPr>
        <w:t>.(</w:t>
      </w:r>
      <w:proofErr w:type="gramEnd"/>
      <w:r w:rsidRPr="006C5315">
        <w:rPr>
          <w:rFonts w:ascii="Tahoma" w:hAnsi="Tahoma" w:cs="Tahoma"/>
          <w:sz w:val="16"/>
          <w:szCs w:val="16"/>
        </w:rPr>
        <w:t>…)</w:t>
      </w:r>
    </w:p>
  </w:footnote>
  <w:footnote w:id="4">
    <w:p w:rsidR="00101FE5" w:rsidRDefault="00101FE5" w:rsidP="00101FE5">
      <w:pPr>
        <w:pStyle w:val="Textonotapie"/>
        <w:rPr>
          <w:rFonts w:ascii="Tahoma" w:hAnsi="Tahoma" w:cs="Tahoma"/>
          <w:b/>
          <w:sz w:val="16"/>
          <w:szCs w:val="16"/>
        </w:rPr>
      </w:pPr>
      <w:r w:rsidRPr="006C5315">
        <w:rPr>
          <w:rStyle w:val="Refdenotaalpie"/>
          <w:sz w:val="16"/>
          <w:szCs w:val="16"/>
        </w:rPr>
        <w:footnoteRef/>
      </w:r>
      <w:r w:rsidRPr="006C5315">
        <w:rPr>
          <w:sz w:val="16"/>
          <w:szCs w:val="16"/>
        </w:rPr>
        <w:t xml:space="preserve"> </w:t>
      </w:r>
      <w:r w:rsidRPr="006C5315">
        <w:rPr>
          <w:rFonts w:ascii="Tahoma" w:hAnsi="Tahoma" w:cs="Tahoma"/>
          <w:b/>
          <w:sz w:val="16"/>
          <w:szCs w:val="16"/>
        </w:rPr>
        <w:t>Publicación del consentimiento de la Buena Pro</w:t>
      </w:r>
    </w:p>
    <w:p w:rsidR="00101FE5" w:rsidRPr="006C5315" w:rsidRDefault="00101FE5" w:rsidP="00101FE5">
      <w:pPr>
        <w:pStyle w:val="Textonotapie"/>
        <w:rPr>
          <w:rFonts w:ascii="Tahoma" w:hAnsi="Tahoma" w:cs="Tahoma"/>
          <w:sz w:val="16"/>
          <w:szCs w:val="16"/>
        </w:rPr>
      </w:pPr>
      <w:r w:rsidRPr="006C5315">
        <w:rPr>
          <w:rFonts w:ascii="Tahoma" w:hAnsi="Tahoma" w:cs="Tahoma"/>
          <w:sz w:val="16"/>
          <w:szCs w:val="16"/>
        </w:rPr>
        <w:t>Dentro del día siguiente de haber quedado consentido el otorgamiento de la buena pro, éste deberá ser publicado en el SEACE.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53D56"/>
    <w:multiLevelType w:val="hybridMultilevel"/>
    <w:tmpl w:val="739CAEE8"/>
    <w:lvl w:ilvl="0" w:tplc="A0427DF4">
      <w:start w:val="3"/>
      <w:numFmt w:val="lowerLetter"/>
      <w:lvlText w:val="%1."/>
      <w:lvlJc w:val="left"/>
      <w:pPr>
        <w:tabs>
          <w:tab w:val="num" w:pos="1068"/>
        </w:tabs>
        <w:ind w:left="1068" w:hanging="360"/>
      </w:pPr>
      <w:rPr>
        <w:rFonts w:hint="default"/>
        <w:b/>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
    <w:nsid w:val="2D5557A8"/>
    <w:multiLevelType w:val="hybridMultilevel"/>
    <w:tmpl w:val="3A74C5B0"/>
    <w:lvl w:ilvl="0" w:tplc="6A4693D8">
      <w:start w:val="4"/>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2">
    <w:nsid w:val="523C18B4"/>
    <w:multiLevelType w:val="hybridMultilevel"/>
    <w:tmpl w:val="97145A16"/>
    <w:lvl w:ilvl="0" w:tplc="D6DC4EF0">
      <w:start w:val="1"/>
      <w:numFmt w:val="lowerRoman"/>
      <w:lvlText w:val="(%1)"/>
      <w:lvlJc w:val="left"/>
      <w:pPr>
        <w:tabs>
          <w:tab w:val="num" w:pos="1134"/>
        </w:tabs>
        <w:ind w:left="1134" w:hanging="680"/>
      </w:pPr>
      <w:rPr>
        <w:rFonts w:ascii="Bookman Old Style" w:hAnsi="Bookman Old Style" w:hint="default"/>
        <w:b/>
        <w:i w:val="0"/>
        <w:shadow/>
        <w:emboss w:val="0"/>
        <w:imprint w:val="0"/>
        <w:color w:val="auto"/>
        <w:sz w:val="20"/>
        <w:szCs w:val="20"/>
      </w:rPr>
    </w:lvl>
    <w:lvl w:ilvl="1" w:tplc="91586B28">
      <w:start w:val="1"/>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57046D87"/>
    <w:multiLevelType w:val="hybridMultilevel"/>
    <w:tmpl w:val="19B2382A"/>
    <w:lvl w:ilvl="0" w:tplc="07E2E712">
      <w:start w:val="1"/>
      <w:numFmt w:val="decimal"/>
      <w:lvlText w:val="%1."/>
      <w:lvlJc w:val="left"/>
      <w:pPr>
        <w:tabs>
          <w:tab w:val="num" w:pos="454"/>
        </w:tabs>
        <w:ind w:left="454" w:hanging="454"/>
      </w:pPr>
      <w:rPr>
        <w:rFonts w:ascii="Tahoma" w:hAnsi="Tahoma" w:cs="Tahoma" w:hint="default"/>
        <w:b w:val="0"/>
        <w:i w:val="0"/>
        <w:shadow/>
        <w:sz w:val="20"/>
        <w:szCs w:val="20"/>
        <w:u w:color="FFFFFF"/>
      </w:rPr>
    </w:lvl>
    <w:lvl w:ilvl="1" w:tplc="0C0A0019">
      <w:start w:val="1"/>
      <w:numFmt w:val="lowerLetter"/>
      <w:lvlText w:val="%2."/>
      <w:lvlJc w:val="left"/>
      <w:pPr>
        <w:tabs>
          <w:tab w:val="num" w:pos="1440"/>
        </w:tabs>
        <w:ind w:left="1440" w:hanging="360"/>
      </w:pPr>
    </w:lvl>
    <w:lvl w:ilvl="2" w:tplc="FEE8C6A8">
      <w:start w:val="1"/>
      <w:numFmt w:val="lowerRoman"/>
      <w:lvlText w:val="(%3)"/>
      <w:lvlJc w:val="left"/>
      <w:pPr>
        <w:tabs>
          <w:tab w:val="num" w:pos="2700"/>
        </w:tabs>
        <w:ind w:left="2700" w:hanging="72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703024AA"/>
    <w:multiLevelType w:val="hybridMultilevel"/>
    <w:tmpl w:val="09403BF8"/>
    <w:lvl w:ilvl="0" w:tplc="246EE812">
      <w:start w:val="1"/>
      <w:numFmt w:val="upperRoman"/>
      <w:lvlText w:val="%1."/>
      <w:lvlJc w:val="right"/>
      <w:pPr>
        <w:tabs>
          <w:tab w:val="num" w:pos="1080"/>
        </w:tabs>
        <w:ind w:left="1080" w:hanging="180"/>
      </w:pPr>
      <w:rPr>
        <w:b/>
        <w:i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
    <w:nsid w:val="757426DC"/>
    <w:multiLevelType w:val="hybridMultilevel"/>
    <w:tmpl w:val="6AF6B694"/>
    <w:lvl w:ilvl="0" w:tplc="CEF65FBE">
      <w:start w:val="1"/>
      <w:numFmt w:val="decimal"/>
      <w:lvlText w:val="%1."/>
      <w:lvlJc w:val="left"/>
      <w:pPr>
        <w:tabs>
          <w:tab w:val="num" w:pos="720"/>
        </w:tabs>
        <w:ind w:left="720" w:hanging="360"/>
      </w:pPr>
      <w:rPr>
        <w:rFonts w:hint="default"/>
        <w:b w:val="0"/>
        <w:i w:val="0"/>
        <w:sz w:val="20"/>
        <w:szCs w:val="20"/>
      </w:rPr>
    </w:lvl>
    <w:lvl w:ilvl="1" w:tplc="1A80FE48">
      <w:start w:val="2"/>
      <w:numFmt w:val="bullet"/>
      <w:lvlText w:val=""/>
      <w:lvlJc w:val="left"/>
      <w:pPr>
        <w:tabs>
          <w:tab w:val="num" w:pos="1440"/>
        </w:tabs>
        <w:ind w:left="1440" w:hanging="360"/>
      </w:pPr>
      <w:rPr>
        <w:rFonts w:ascii="Symbol" w:eastAsia="Times New Roman" w:hAnsi="Symbol" w:cs="Tahoma" w:hint="default"/>
      </w:rPr>
    </w:lvl>
    <w:lvl w:ilvl="2" w:tplc="AAB2FEC0">
      <w:start w:val="1"/>
      <w:numFmt w:val="lowerRoman"/>
      <w:lvlText w:val="%3)"/>
      <w:lvlJc w:val="left"/>
      <w:pPr>
        <w:tabs>
          <w:tab w:val="num" w:pos="2700"/>
        </w:tabs>
        <w:ind w:left="2700" w:hanging="720"/>
      </w:pPr>
      <w:rPr>
        <w:rFonts w:hint="default"/>
      </w:rPr>
    </w:lvl>
    <w:lvl w:ilvl="3" w:tplc="AA7E519A">
      <w:start w:val="1"/>
      <w:numFmt w:val="lowerLetter"/>
      <w:lvlText w:val="%4)"/>
      <w:lvlJc w:val="left"/>
      <w:pPr>
        <w:tabs>
          <w:tab w:val="num" w:pos="2880"/>
        </w:tabs>
        <w:ind w:left="2880" w:hanging="360"/>
      </w:pPr>
      <w:rPr>
        <w:rFonts w:hint="default"/>
        <w:b w:val="0"/>
      </w:rPr>
    </w:lvl>
    <w:lvl w:ilvl="4" w:tplc="E2E650BC">
      <w:start w:val="3"/>
      <w:numFmt w:val="lowerLetter"/>
      <w:lvlText w:val="%5."/>
      <w:lvlJc w:val="left"/>
      <w:pPr>
        <w:tabs>
          <w:tab w:val="num" w:pos="3600"/>
        </w:tabs>
        <w:ind w:left="3600" w:hanging="360"/>
      </w:pPr>
      <w:rPr>
        <w:rFonts w:hint="default"/>
        <w:b/>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101FE5"/>
    <w:rsid w:val="00101FE5"/>
    <w:rsid w:val="005F15D1"/>
    <w:rsid w:val="006A2445"/>
    <w:rsid w:val="007B7ED4"/>
    <w:rsid w:val="00896EE1"/>
    <w:rsid w:val="00A201D5"/>
    <w:rsid w:val="00B9553A"/>
    <w:rsid w:val="00DD3D8C"/>
    <w:rsid w:val="00EE6D4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FE5"/>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101FE5"/>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101FE5"/>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101FE5"/>
  </w:style>
  <w:style w:type="paragraph" w:styleId="Textoindependiente">
    <w:name w:val="Body Text"/>
    <w:basedOn w:val="Normal"/>
    <w:link w:val="TextoindependienteCar"/>
    <w:rsid w:val="00101FE5"/>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101FE5"/>
    <w:rPr>
      <w:rFonts w:ascii="Tahoma" w:eastAsia="Times New Roman" w:hAnsi="Tahoma" w:cs="Times New Roman"/>
      <w:szCs w:val="20"/>
      <w:lang w:val="es-ES_tradnl" w:eastAsia="es-ES"/>
    </w:rPr>
  </w:style>
  <w:style w:type="paragraph" w:customStyle="1" w:styleId="Textoindependiente21">
    <w:name w:val="Texto independiente 21"/>
    <w:basedOn w:val="Normal"/>
    <w:rsid w:val="00101FE5"/>
    <w:pPr>
      <w:jc w:val="both"/>
    </w:pPr>
    <w:rPr>
      <w:rFonts w:ascii="Tahoma" w:hAnsi="Tahoma"/>
      <w:sz w:val="22"/>
    </w:rPr>
  </w:style>
  <w:style w:type="paragraph" w:styleId="Textoindependiente3">
    <w:name w:val="Body Text 3"/>
    <w:basedOn w:val="Normal"/>
    <w:link w:val="Textoindependiente3Car"/>
    <w:rsid w:val="00101FE5"/>
    <w:pPr>
      <w:spacing w:after="120"/>
    </w:pPr>
    <w:rPr>
      <w:sz w:val="16"/>
      <w:szCs w:val="16"/>
      <w:lang w:val="es-PE"/>
    </w:rPr>
  </w:style>
  <w:style w:type="character" w:customStyle="1" w:styleId="Textoindependiente3Car">
    <w:name w:val="Texto independiente 3 Car"/>
    <w:basedOn w:val="Fuentedeprrafopredeter"/>
    <w:link w:val="Textoindependiente3"/>
    <w:rsid w:val="00101FE5"/>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101FE5"/>
  </w:style>
  <w:style w:type="character" w:customStyle="1" w:styleId="TextonotapieCar">
    <w:name w:val="Texto nota pie Car"/>
    <w:basedOn w:val="Fuentedeprrafopredeter"/>
    <w:link w:val="Textonotapie"/>
    <w:semiHidden/>
    <w:rsid w:val="00101FE5"/>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101FE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2945</Words>
  <Characters>16198</Characters>
  <Application>Microsoft Office Word</Application>
  <DocSecurity>0</DocSecurity>
  <Lines>134</Lines>
  <Paragraphs>38</Paragraphs>
  <ScaleCrop>false</ScaleCrop>
  <Company/>
  <LinksUpToDate>false</LinksUpToDate>
  <CharactersWithSpaces>19105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1577-2007/TC-S3</dc:title>
  <dc:subject>APLICACIÓN DE SANCION CONTRA LA EMPRESA MORGAN SEGURITY S.A.C </dc:subject>
  <dc:creator>TRIBUNAL</dc:creator>
  <cp:keywords>CONSENTIMIENTO BUENA PRO</cp:keywords>
  <dc:description/>
  <cp:lastModifiedBy>lgavidia</cp:lastModifiedBy>
  <cp:revision>4</cp:revision>
  <dcterms:created xsi:type="dcterms:W3CDTF">2007-12-03T22:52:00Z</dcterms:created>
  <dcterms:modified xsi:type="dcterms:W3CDTF">2007-12-12T16:13:00Z</dcterms:modified>
  <cp:category>RESOLUCIÓN-TRIBUNAL</cp:category>
</cp:coreProperties>
</file>