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2A2" w:rsidRPr="008C6F5A" w:rsidRDefault="00F932A2" w:rsidP="00F932A2">
      <w:pPr>
        <w:ind w:left="3534" w:right="1304" w:hanging="1410"/>
        <w:jc w:val="both"/>
        <w:rPr>
          <w:rFonts w:ascii="Tahoma" w:hAnsi="Tahoma" w:cs="Tahoma"/>
          <w:b/>
          <w:shadow/>
          <w:sz w:val="24"/>
          <w:szCs w:val="24"/>
        </w:rPr>
      </w:pPr>
      <w:r>
        <w:rPr>
          <w:rFonts w:ascii="Tahoma" w:hAnsi="Tahoma" w:cs="Tahoma"/>
          <w:b/>
          <w:shadow/>
          <w:sz w:val="24"/>
          <w:szCs w:val="24"/>
        </w:rPr>
        <w:t>RESOLUCIÓN Nº 1529-2007/TC-S2</w:t>
      </w:r>
    </w:p>
    <w:p w:rsidR="00F932A2" w:rsidRDefault="00F932A2" w:rsidP="00F932A2">
      <w:pPr>
        <w:ind w:left="3534" w:right="1304" w:hanging="1410"/>
        <w:jc w:val="both"/>
        <w:rPr>
          <w:rFonts w:ascii="Tahoma" w:hAnsi="Tahoma" w:cs="Tahoma"/>
          <w:b/>
          <w:i/>
          <w:shadow/>
          <w:sz w:val="18"/>
          <w:szCs w:val="18"/>
        </w:rPr>
      </w:pPr>
    </w:p>
    <w:p w:rsidR="00F932A2" w:rsidRPr="001F6DAA" w:rsidRDefault="00F932A2" w:rsidP="00F932A2">
      <w:pPr>
        <w:ind w:left="3534" w:right="1304" w:hanging="1410"/>
        <w:jc w:val="both"/>
        <w:rPr>
          <w:rFonts w:ascii="Tahoma" w:hAnsi="Tahoma" w:cs="Tahoma"/>
          <w:i/>
          <w:shadow/>
          <w:sz w:val="18"/>
          <w:szCs w:val="18"/>
          <w:lang w:val="es-ES_tradnl"/>
        </w:rPr>
      </w:pPr>
      <w:r w:rsidRPr="008C4CDF">
        <w:rPr>
          <w:rFonts w:ascii="Tahoma" w:hAnsi="Tahoma" w:cs="Tahoma"/>
          <w:b/>
          <w:i/>
          <w:shadow/>
          <w:sz w:val="18"/>
          <w:szCs w:val="18"/>
        </w:rPr>
        <w:t>Sumilla:</w:t>
      </w:r>
      <w:r w:rsidRPr="006B7F67">
        <w:rPr>
          <w:rFonts w:ascii="Tahoma" w:hAnsi="Tahoma" w:cs="Tahoma"/>
          <w:b/>
          <w:i/>
          <w:shadow/>
        </w:rPr>
        <w:t xml:space="preserve">  </w:t>
      </w:r>
      <w:r>
        <w:rPr>
          <w:rFonts w:ascii="Tahoma" w:hAnsi="Tahoma" w:cs="Tahoma"/>
          <w:b/>
          <w:i/>
          <w:shadow/>
        </w:rPr>
        <w:tab/>
      </w:r>
      <w:r>
        <w:rPr>
          <w:rFonts w:ascii="Tahoma" w:hAnsi="Tahoma" w:cs="Tahoma"/>
          <w:i/>
          <w:sz w:val="18"/>
          <w:szCs w:val="18"/>
        </w:rPr>
        <w:t>El postor que incumpla con acreditar los requerimientos técnicos mínimos</w:t>
      </w:r>
      <w:r w:rsidRPr="00BC05E0">
        <w:rPr>
          <w:rFonts w:ascii="Tahoma" w:hAnsi="Tahoma" w:cs="Tahoma"/>
          <w:i/>
          <w:sz w:val="18"/>
          <w:szCs w:val="18"/>
        </w:rPr>
        <w:t xml:space="preserve"> </w:t>
      </w:r>
      <w:r>
        <w:rPr>
          <w:rFonts w:ascii="Tahoma" w:hAnsi="Tahoma" w:cs="Tahoma"/>
          <w:i/>
          <w:sz w:val="18"/>
          <w:szCs w:val="18"/>
        </w:rPr>
        <w:t xml:space="preserve">o presentar la documentación obligatoria establecida en las Bases, será descalificado del proceso de selección. </w:t>
      </w:r>
      <w:r w:rsidRPr="001F6DAA">
        <w:rPr>
          <w:rFonts w:ascii="Tahoma" w:hAnsi="Tahoma" w:cs="Tahoma"/>
          <w:i/>
          <w:sz w:val="18"/>
          <w:szCs w:val="18"/>
        </w:rPr>
        <w:t xml:space="preserve"> </w:t>
      </w:r>
    </w:p>
    <w:p w:rsidR="00F932A2" w:rsidRPr="008C4CDF" w:rsidRDefault="00F932A2" w:rsidP="00F932A2">
      <w:pPr>
        <w:ind w:left="3534" w:right="1304" w:hanging="1410"/>
        <w:jc w:val="both"/>
        <w:rPr>
          <w:rFonts w:ascii="Tahoma" w:hAnsi="Tahoma" w:cs="Tahoma"/>
          <w:i/>
          <w:shadow/>
          <w:sz w:val="18"/>
          <w:szCs w:val="18"/>
          <w:lang w:eastAsia="es-PE"/>
        </w:rPr>
      </w:pPr>
      <w:r w:rsidRPr="008C4CDF">
        <w:rPr>
          <w:rFonts w:ascii="Tahoma" w:hAnsi="Tahoma" w:cs="Tahoma"/>
          <w:b/>
          <w:i/>
          <w:shadow/>
          <w:sz w:val="18"/>
          <w:szCs w:val="18"/>
        </w:rPr>
        <w:t xml:space="preserve"> </w:t>
      </w:r>
    </w:p>
    <w:p w:rsidR="00F932A2" w:rsidRPr="00951AF0" w:rsidRDefault="00F932A2" w:rsidP="00F932A2">
      <w:pPr>
        <w:pStyle w:val="Textoindependiente3"/>
        <w:rPr>
          <w:rFonts w:ascii="Tahoma" w:hAnsi="Tahoma" w:cs="Tahoma"/>
          <w:i/>
          <w:sz w:val="24"/>
          <w:szCs w:val="24"/>
        </w:rPr>
      </w:pPr>
    </w:p>
    <w:p w:rsidR="00F932A2" w:rsidRPr="008C4CDF" w:rsidRDefault="00F932A2" w:rsidP="00F932A2">
      <w:pPr>
        <w:pStyle w:val="Textoindependiente3"/>
        <w:ind w:left="2124" w:firstLine="708"/>
        <w:jc w:val="center"/>
        <w:rPr>
          <w:rFonts w:ascii="Tahoma" w:hAnsi="Tahoma" w:cs="Tahoma"/>
          <w:sz w:val="20"/>
          <w:szCs w:val="20"/>
        </w:rPr>
      </w:pPr>
      <w:r w:rsidRPr="008C4CDF">
        <w:rPr>
          <w:rFonts w:ascii="Tahoma" w:hAnsi="Tahoma" w:cs="Tahoma"/>
          <w:b/>
          <w:sz w:val="20"/>
          <w:szCs w:val="20"/>
        </w:rPr>
        <w:t xml:space="preserve">Lima, </w:t>
      </w:r>
      <w:r>
        <w:rPr>
          <w:rFonts w:ascii="Tahoma" w:hAnsi="Tahoma" w:cs="Tahoma"/>
          <w:b/>
          <w:sz w:val="20"/>
          <w:szCs w:val="20"/>
        </w:rPr>
        <w:t xml:space="preserve"> 01.10.2007</w:t>
      </w:r>
    </w:p>
    <w:p w:rsidR="00F932A2" w:rsidRPr="00951AF0" w:rsidRDefault="00F932A2" w:rsidP="00F932A2">
      <w:pPr>
        <w:pStyle w:val="Textoindependiente3"/>
        <w:rPr>
          <w:rFonts w:ascii="Tahoma" w:hAnsi="Tahoma" w:cs="Tahoma"/>
          <w:b/>
          <w:sz w:val="24"/>
          <w:szCs w:val="24"/>
        </w:rPr>
      </w:pPr>
    </w:p>
    <w:p w:rsidR="00F932A2" w:rsidRPr="005963B4" w:rsidRDefault="00F932A2" w:rsidP="00F932A2">
      <w:pPr>
        <w:pStyle w:val="Textoindependiente"/>
        <w:widowControl/>
        <w:tabs>
          <w:tab w:val="left" w:pos="540"/>
        </w:tabs>
        <w:suppressAutoHyphens w:val="0"/>
        <w:rPr>
          <w:rFonts w:cs="Tahoma"/>
          <w:sz w:val="20"/>
        </w:rPr>
      </w:pPr>
      <w:r w:rsidRPr="005963B4">
        <w:rPr>
          <w:rFonts w:cs="Tahoma"/>
          <w:b/>
          <w:sz w:val="20"/>
        </w:rPr>
        <w:t>Visto</w:t>
      </w:r>
      <w:r w:rsidRPr="005963B4">
        <w:rPr>
          <w:rFonts w:cs="Tahoma"/>
          <w:sz w:val="20"/>
        </w:rPr>
        <w:t xml:space="preserve"> en sesión de fecha 1 de septiembre de 2007 de </w:t>
      </w:r>
      <w:smartTag w:uri="urn:schemas-microsoft-com:office:smarttags" w:element="PersonName">
        <w:smartTagPr>
          <w:attr w:name="ProductID" w:val="la Segunda Sala"/>
        </w:smartTagPr>
        <w:r w:rsidRPr="005963B4">
          <w:rPr>
            <w:rFonts w:cs="Tahoma"/>
            <w:sz w:val="20"/>
          </w:rPr>
          <w:t>la Segunda Sala</w:t>
        </w:r>
      </w:smartTag>
      <w:r w:rsidRPr="005963B4">
        <w:rPr>
          <w:rFonts w:cs="Tahoma"/>
          <w:sz w:val="20"/>
        </w:rPr>
        <w:t xml:space="preserve"> del Tribunal de Contrataciones y Adquisiciones del Estado</w:t>
      </w:r>
      <w:r>
        <w:rPr>
          <w:rFonts w:cs="Tahoma"/>
          <w:sz w:val="20"/>
        </w:rPr>
        <w:t>,</w:t>
      </w:r>
      <w:r w:rsidRPr="005963B4">
        <w:rPr>
          <w:rFonts w:cs="Tahoma"/>
          <w:sz w:val="20"/>
        </w:rPr>
        <w:t xml:space="preserve"> el Expediente № 1958/2007.TC sobre el recurso de apelación interpuesto por MONT GROUP S.A.C. contra el otorgamiento de la buena pro en el ítem 5 de </w:t>
      </w:r>
      <w:smartTag w:uri="urn:schemas-microsoft-com:office:smarttags" w:element="PersonName">
        <w:smartTagPr>
          <w:attr w:name="ProductID" w:val="la Adjudicación Directa"/>
        </w:smartTagPr>
        <w:r w:rsidRPr="005963B4">
          <w:rPr>
            <w:rFonts w:cs="Tahoma"/>
            <w:sz w:val="20"/>
          </w:rPr>
          <w:t>la Adjudicación Directa</w:t>
        </w:r>
      </w:smartTag>
      <w:r w:rsidRPr="005963B4">
        <w:rPr>
          <w:rFonts w:cs="Tahoma"/>
          <w:sz w:val="20"/>
        </w:rPr>
        <w:t xml:space="preserve"> Selectiva № 0016-2007-SESAN/FAP, convocada por </w:t>
      </w:r>
      <w:smartTag w:uri="urn:schemas-microsoft-com:office:smarttags" w:element="PersonName">
        <w:smartTagPr>
          <w:attr w:name="ProductID" w:val="la Fuerza A￩rea"/>
        </w:smartTagPr>
        <w:r w:rsidRPr="005963B4">
          <w:rPr>
            <w:rFonts w:cs="Tahoma"/>
            <w:sz w:val="20"/>
          </w:rPr>
          <w:t>la Fuerza Aérea</w:t>
        </w:r>
      </w:smartTag>
      <w:r w:rsidRPr="005963B4">
        <w:rPr>
          <w:rFonts w:cs="Tahoma"/>
          <w:sz w:val="20"/>
        </w:rPr>
        <w:t xml:space="preserve"> del Perú, para la “Adquisición de Material para el Programa de ETS/VIH y Drogas” oídos los informes orales en </w:t>
      </w:r>
      <w:smartTag w:uri="urn:schemas-microsoft-com:office:smarttags" w:element="PersonName">
        <w:smartTagPr>
          <w:attr w:name="ProductID" w:val="la Audiencia Pública"/>
        </w:smartTagPr>
        <w:smartTag w:uri="urn:schemas-microsoft-com:office:smarttags" w:element="PersonName">
          <w:smartTagPr>
            <w:attr w:name="ProductID" w:val="la Audiencia"/>
          </w:smartTagPr>
          <w:r w:rsidRPr="005963B4">
            <w:rPr>
              <w:rFonts w:cs="Tahoma"/>
              <w:sz w:val="20"/>
            </w:rPr>
            <w:t>la Audiencia</w:t>
          </w:r>
        </w:smartTag>
        <w:r w:rsidRPr="005963B4">
          <w:rPr>
            <w:rFonts w:cs="Tahoma"/>
            <w:sz w:val="20"/>
          </w:rPr>
          <w:t xml:space="preserve"> Pública</w:t>
        </w:r>
      </w:smartTag>
      <w:r w:rsidRPr="005963B4">
        <w:rPr>
          <w:rFonts w:cs="Tahoma"/>
          <w:sz w:val="20"/>
        </w:rPr>
        <w:t xml:space="preserve"> de fecha 21 de septiembre de 2007 y atendiendo a los siguientes:  </w:t>
      </w:r>
    </w:p>
    <w:p w:rsidR="00F932A2" w:rsidRPr="008C4CDF" w:rsidRDefault="00F932A2" w:rsidP="00F932A2">
      <w:pPr>
        <w:rPr>
          <w:rFonts w:ascii="Tahoma" w:hAnsi="Tahoma" w:cs="Tahoma"/>
          <w:sz w:val="24"/>
          <w:szCs w:val="24"/>
          <w:lang w:val="es-ES_tradnl"/>
        </w:rPr>
      </w:pPr>
    </w:p>
    <w:p w:rsidR="00F932A2" w:rsidRPr="009D33C5" w:rsidRDefault="00F932A2" w:rsidP="00F932A2">
      <w:pPr>
        <w:rPr>
          <w:rFonts w:ascii="Tahoma" w:hAnsi="Tahoma" w:cs="Tahoma"/>
          <w:b/>
        </w:rPr>
      </w:pPr>
      <w:r w:rsidRPr="009D33C5">
        <w:rPr>
          <w:rFonts w:ascii="Tahoma" w:hAnsi="Tahoma" w:cs="Tahoma"/>
          <w:b/>
        </w:rPr>
        <w:t>ANTECEDENTES:</w:t>
      </w:r>
    </w:p>
    <w:p w:rsidR="00F932A2" w:rsidRPr="00951AF0" w:rsidRDefault="00F932A2" w:rsidP="00F932A2">
      <w:pPr>
        <w:rPr>
          <w:rFonts w:ascii="Tahoma" w:hAnsi="Tahoma" w:cs="Tahoma"/>
          <w:b/>
          <w:sz w:val="24"/>
          <w:szCs w:val="24"/>
        </w:rPr>
      </w:pPr>
    </w:p>
    <w:p w:rsidR="00F932A2" w:rsidRPr="002D3E30" w:rsidRDefault="00F932A2" w:rsidP="00F932A2">
      <w:pPr>
        <w:numPr>
          <w:ilvl w:val="0"/>
          <w:numId w:val="2"/>
        </w:numPr>
        <w:tabs>
          <w:tab w:val="clear" w:pos="360"/>
          <w:tab w:val="num" w:pos="567"/>
        </w:tabs>
        <w:ind w:left="567" w:hanging="567"/>
        <w:jc w:val="both"/>
        <w:rPr>
          <w:rFonts w:ascii="Tahoma" w:hAnsi="Tahoma" w:cs="Tahoma"/>
        </w:rPr>
      </w:pPr>
      <w:r w:rsidRPr="002D3E30">
        <w:rPr>
          <w:rFonts w:ascii="Tahoma" w:hAnsi="Tahoma" w:cs="Tahoma"/>
        </w:rPr>
        <w:t xml:space="preserve">El 6 de junio de 2007, </w:t>
      </w:r>
      <w:smartTag w:uri="urn:schemas-microsoft-com:office:smarttags" w:element="PersonName">
        <w:smartTagPr>
          <w:attr w:name="ProductID" w:val="la Fuerza A￩rea"/>
        </w:smartTagPr>
        <w:r w:rsidRPr="002D3E30">
          <w:rPr>
            <w:rFonts w:ascii="Tahoma" w:hAnsi="Tahoma" w:cs="Tahoma"/>
          </w:rPr>
          <w:t>la Fuerza Aérea</w:t>
        </w:r>
      </w:smartTag>
      <w:r w:rsidRPr="002D3E30">
        <w:rPr>
          <w:rFonts w:ascii="Tahoma" w:hAnsi="Tahoma" w:cs="Tahoma"/>
        </w:rPr>
        <w:t xml:space="preserve"> del Perú, en adelante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convocó </w:t>
      </w:r>
      <w:smartTag w:uri="urn:schemas-microsoft-com:office:smarttags" w:element="PersonName">
        <w:smartTagPr>
          <w:attr w:name="ProductID" w:val="la Adjudicaci￳n Directa"/>
        </w:smartTagPr>
        <w:smartTag w:uri="urn:schemas-microsoft-com:office:smarttags" w:element="PersonName">
          <w:smartTagPr>
            <w:attr w:name="ProductID" w:val="la Adjudicaci￳n"/>
          </w:smartTagPr>
          <w:r w:rsidRPr="002D3E30">
            <w:rPr>
              <w:rFonts w:ascii="Tahoma" w:hAnsi="Tahoma" w:cs="Tahoma"/>
            </w:rPr>
            <w:t>la Adjudicación</w:t>
          </w:r>
        </w:smartTag>
        <w:r w:rsidRPr="002D3E30">
          <w:rPr>
            <w:rFonts w:ascii="Tahoma" w:hAnsi="Tahoma" w:cs="Tahoma"/>
          </w:rPr>
          <w:t xml:space="preserve"> Directa</w:t>
        </w:r>
      </w:smartTag>
      <w:r w:rsidRPr="002D3E30">
        <w:rPr>
          <w:rFonts w:ascii="Tahoma" w:hAnsi="Tahoma" w:cs="Tahoma"/>
        </w:rPr>
        <w:t xml:space="preserve"> Selectiva № 0016-2007-SESAN/FAP para la “Adquisición de Material para el Programa de ETS/VIH y Drogas”, según relación de ítems, bajo el sistema de precios unitarios y con un valor referencial ascendente a </w:t>
      </w:r>
      <w:r w:rsidRPr="002D3E30">
        <w:rPr>
          <w:rFonts w:ascii="Tahoma" w:hAnsi="Tahoma" w:cs="Tahoma"/>
          <w:lang w:val="es-MX"/>
        </w:rPr>
        <w:t>S/. 168 621,18 (Ciento sesenta y ocho mil seiscientos veintiuno con 18/100</w:t>
      </w:r>
      <w:r w:rsidRPr="002D3E30">
        <w:rPr>
          <w:rFonts w:ascii="Tahoma" w:hAnsi="Tahoma" w:cs="Tahoma"/>
        </w:rPr>
        <w:t xml:space="preserve"> nuevos soles) incluido el Impuesto General a las Ventas (IGV), entre los cuales se encontraba el ítem 5 referido a Test de Detección de </w:t>
      </w:r>
      <w:proofErr w:type="spellStart"/>
      <w:r w:rsidRPr="002D3E30">
        <w:rPr>
          <w:rFonts w:ascii="Tahoma" w:hAnsi="Tahoma" w:cs="Tahoma"/>
        </w:rPr>
        <w:t>Metabolitos</w:t>
      </w:r>
      <w:proofErr w:type="spellEnd"/>
      <w:r w:rsidRPr="002D3E30">
        <w:rPr>
          <w:rFonts w:ascii="Tahoma" w:hAnsi="Tahoma" w:cs="Tahoma"/>
        </w:rPr>
        <w:t xml:space="preserve"> de Cocaína, Marihuana y Éxtasis con un valor referencial de S/. 74 993,10 nuevos soles.</w:t>
      </w:r>
    </w:p>
    <w:p w:rsidR="00F932A2" w:rsidRPr="002D3E30" w:rsidRDefault="00F932A2" w:rsidP="00F932A2">
      <w:pPr>
        <w:jc w:val="both"/>
        <w:rPr>
          <w:rFonts w:ascii="Tahoma" w:hAnsi="Tahoma" w:cs="Tahoma"/>
        </w:rPr>
      </w:pPr>
    </w:p>
    <w:p w:rsidR="00F932A2" w:rsidRPr="002D3E30" w:rsidRDefault="00F932A2" w:rsidP="00F932A2">
      <w:pPr>
        <w:numPr>
          <w:ilvl w:val="0"/>
          <w:numId w:val="2"/>
        </w:numPr>
        <w:tabs>
          <w:tab w:val="clear" w:pos="360"/>
          <w:tab w:val="num" w:pos="567"/>
        </w:tabs>
        <w:ind w:left="567" w:hanging="567"/>
        <w:jc w:val="both"/>
        <w:rPr>
          <w:rFonts w:ascii="Tahoma" w:hAnsi="Tahoma" w:cs="Tahoma"/>
        </w:rPr>
      </w:pPr>
      <w:r w:rsidRPr="002D3E30">
        <w:rPr>
          <w:rFonts w:ascii="Tahoma" w:hAnsi="Tahoma" w:cs="Tahoma"/>
        </w:rPr>
        <w:t xml:space="preserve">El 11 de julio de 2007, se llevó a cabo el acto de evaluación de propuestas y otorgamiento de la buena pro, en el cual el Comité Especial a cargo del proceso de selección obtuvo los siguientes resultados: </w:t>
      </w:r>
    </w:p>
    <w:p w:rsidR="00F932A2" w:rsidRPr="0048633B" w:rsidRDefault="00F932A2" w:rsidP="00F932A2">
      <w:pPr>
        <w:jc w:val="both"/>
        <w:rPr>
          <w:rFonts w:ascii="Tahoma" w:hAnsi="Tahoma" w:cs="Tahoma"/>
          <w:sz w:val="24"/>
          <w:szCs w:val="24"/>
        </w:rPr>
      </w:pPr>
    </w:p>
    <w:tbl>
      <w:tblPr>
        <w:tblStyle w:val="Tablaconcuadrcula"/>
        <w:tblW w:w="7825" w:type="dxa"/>
        <w:tblInd w:w="675" w:type="dxa"/>
        <w:tblLook w:val="01E0"/>
      </w:tblPr>
      <w:tblGrid>
        <w:gridCol w:w="1292"/>
        <w:gridCol w:w="1359"/>
        <w:gridCol w:w="1408"/>
        <w:gridCol w:w="1274"/>
        <w:gridCol w:w="1176"/>
        <w:gridCol w:w="1316"/>
      </w:tblGrid>
      <w:tr w:rsidR="00F932A2" w:rsidRPr="004054D3" w:rsidTr="008B79D3">
        <w:tc>
          <w:tcPr>
            <w:tcW w:w="7825" w:type="dxa"/>
            <w:gridSpan w:val="6"/>
            <w:tcBorders>
              <w:top w:val="single" w:sz="4" w:space="0" w:color="auto"/>
              <w:left w:val="single" w:sz="4" w:space="0" w:color="auto"/>
              <w:bottom w:val="nil"/>
              <w:right w:val="single" w:sz="4" w:space="0" w:color="auto"/>
            </w:tcBorders>
            <w:shd w:val="clear" w:color="auto" w:fill="000000"/>
          </w:tcPr>
          <w:p w:rsidR="00F932A2" w:rsidRPr="004054D3" w:rsidRDefault="00F932A2" w:rsidP="008B79D3">
            <w:pPr>
              <w:jc w:val="center"/>
              <w:rPr>
                <w:rFonts w:ascii="Tahoma" w:hAnsi="Tahoma" w:cs="Tahoma"/>
                <w:b/>
                <w:color w:val="FFFFFF"/>
                <w:sz w:val="18"/>
                <w:szCs w:val="18"/>
              </w:rPr>
            </w:pPr>
            <w:r>
              <w:rPr>
                <w:rFonts w:ascii="Tahoma" w:hAnsi="Tahoma" w:cs="Tahoma"/>
                <w:b/>
                <w:color w:val="FFFFFF"/>
                <w:sz w:val="18"/>
                <w:szCs w:val="18"/>
              </w:rPr>
              <w:t>CUADRO COMPARATIVO</w:t>
            </w:r>
          </w:p>
        </w:tc>
      </w:tr>
      <w:tr w:rsidR="00F932A2" w:rsidRPr="004054D3" w:rsidTr="008B79D3">
        <w:tc>
          <w:tcPr>
            <w:tcW w:w="1409" w:type="dxa"/>
            <w:tcBorders>
              <w:top w:val="single" w:sz="4" w:space="0" w:color="FFFFFF"/>
              <w:left w:val="single" w:sz="4" w:space="0" w:color="auto"/>
              <w:bottom w:val="single" w:sz="4" w:space="0" w:color="auto"/>
              <w:right w:val="single" w:sz="4" w:space="0" w:color="FFFFFF"/>
            </w:tcBorders>
            <w:shd w:val="clear" w:color="auto" w:fill="000000"/>
          </w:tcPr>
          <w:p w:rsidR="00F932A2" w:rsidRPr="004054D3" w:rsidRDefault="00F932A2" w:rsidP="008B79D3">
            <w:pPr>
              <w:jc w:val="center"/>
              <w:rPr>
                <w:rFonts w:ascii="Tahoma" w:hAnsi="Tahoma" w:cs="Tahoma"/>
                <w:b/>
                <w:color w:val="FFFFFF"/>
                <w:sz w:val="18"/>
                <w:szCs w:val="18"/>
              </w:rPr>
            </w:pPr>
            <w:r w:rsidRPr="004054D3">
              <w:rPr>
                <w:rFonts w:ascii="Tahoma" w:hAnsi="Tahoma" w:cs="Tahoma"/>
                <w:b/>
                <w:color w:val="FFFFFF"/>
                <w:sz w:val="18"/>
                <w:szCs w:val="18"/>
              </w:rPr>
              <w:t>POSTOR</w:t>
            </w:r>
          </w:p>
        </w:tc>
        <w:tc>
          <w:tcPr>
            <w:tcW w:w="1392" w:type="dxa"/>
            <w:tcBorders>
              <w:top w:val="single" w:sz="4" w:space="0" w:color="FFFFFF"/>
              <w:left w:val="single" w:sz="4" w:space="0" w:color="FFFFFF"/>
              <w:bottom w:val="single" w:sz="4" w:space="0" w:color="auto"/>
              <w:right w:val="single" w:sz="4" w:space="0" w:color="FFFFFF"/>
            </w:tcBorders>
            <w:shd w:val="clear" w:color="auto" w:fill="000000"/>
          </w:tcPr>
          <w:p w:rsidR="00F932A2" w:rsidRDefault="00F932A2" w:rsidP="008B79D3">
            <w:pPr>
              <w:jc w:val="center"/>
              <w:rPr>
                <w:rFonts w:ascii="Tahoma" w:hAnsi="Tahoma" w:cs="Tahoma"/>
                <w:b/>
                <w:color w:val="FFFFFF"/>
                <w:sz w:val="18"/>
                <w:szCs w:val="18"/>
              </w:rPr>
            </w:pPr>
            <w:r>
              <w:rPr>
                <w:rFonts w:ascii="Tahoma" w:hAnsi="Tahoma" w:cs="Tahoma"/>
                <w:b/>
                <w:color w:val="FFFFFF"/>
                <w:sz w:val="18"/>
                <w:szCs w:val="18"/>
              </w:rPr>
              <w:t xml:space="preserve">PROPUESTA </w:t>
            </w:r>
          </w:p>
          <w:p w:rsidR="00F932A2" w:rsidRPr="004054D3" w:rsidRDefault="00F932A2" w:rsidP="008B79D3">
            <w:pPr>
              <w:jc w:val="center"/>
              <w:rPr>
                <w:rFonts w:ascii="Tahoma" w:hAnsi="Tahoma" w:cs="Tahoma"/>
                <w:b/>
                <w:color w:val="FFFFFF"/>
                <w:sz w:val="18"/>
                <w:szCs w:val="18"/>
              </w:rPr>
            </w:pPr>
            <w:r>
              <w:rPr>
                <w:rFonts w:ascii="Tahoma" w:hAnsi="Tahoma" w:cs="Tahoma"/>
                <w:b/>
                <w:color w:val="FFFFFF"/>
                <w:sz w:val="18"/>
                <w:szCs w:val="18"/>
              </w:rPr>
              <w:t>TÉCNICA</w:t>
            </w:r>
          </w:p>
          <w:p w:rsidR="00F932A2" w:rsidRPr="004054D3" w:rsidRDefault="00F932A2" w:rsidP="008B79D3">
            <w:pPr>
              <w:pBdr>
                <w:left w:val="single" w:sz="4" w:space="4" w:color="auto"/>
              </w:pBdr>
              <w:jc w:val="center"/>
              <w:rPr>
                <w:rFonts w:ascii="Tahoma" w:hAnsi="Tahoma" w:cs="Tahoma"/>
                <w:b/>
                <w:color w:val="FFFFFF"/>
                <w:sz w:val="18"/>
                <w:szCs w:val="18"/>
              </w:rPr>
            </w:pPr>
          </w:p>
        </w:tc>
        <w:tc>
          <w:tcPr>
            <w:tcW w:w="1435" w:type="dxa"/>
            <w:tcBorders>
              <w:top w:val="single" w:sz="4" w:space="0" w:color="FFFFFF"/>
              <w:left w:val="single" w:sz="4" w:space="0" w:color="FFFFFF"/>
              <w:bottom w:val="single" w:sz="4" w:space="0" w:color="auto"/>
              <w:right w:val="single" w:sz="4" w:space="0" w:color="FFFFFF"/>
            </w:tcBorders>
            <w:shd w:val="clear" w:color="auto" w:fill="000000"/>
          </w:tcPr>
          <w:p w:rsidR="00F932A2" w:rsidRPr="004054D3" w:rsidRDefault="00F932A2" w:rsidP="008B79D3">
            <w:pPr>
              <w:jc w:val="center"/>
              <w:rPr>
                <w:rFonts w:ascii="Tahoma" w:hAnsi="Tahoma" w:cs="Tahoma"/>
                <w:b/>
                <w:color w:val="FFFFFF"/>
                <w:sz w:val="18"/>
                <w:szCs w:val="18"/>
              </w:rPr>
            </w:pPr>
            <w:r w:rsidRPr="004054D3">
              <w:rPr>
                <w:rFonts w:ascii="Tahoma" w:hAnsi="Tahoma" w:cs="Tahoma"/>
                <w:b/>
                <w:color w:val="FFFFFF"/>
                <w:sz w:val="18"/>
                <w:szCs w:val="18"/>
              </w:rPr>
              <w:t>PUNTAJE ECONÓMICO</w:t>
            </w:r>
          </w:p>
          <w:p w:rsidR="00F932A2" w:rsidRPr="004054D3" w:rsidRDefault="00F932A2" w:rsidP="008B79D3">
            <w:pPr>
              <w:jc w:val="center"/>
              <w:rPr>
                <w:rFonts w:ascii="Tahoma" w:hAnsi="Tahoma" w:cs="Tahoma"/>
                <w:b/>
                <w:color w:val="FFFFFF"/>
                <w:sz w:val="18"/>
                <w:szCs w:val="18"/>
              </w:rPr>
            </w:pPr>
          </w:p>
        </w:tc>
        <w:tc>
          <w:tcPr>
            <w:tcW w:w="1274" w:type="dxa"/>
            <w:tcBorders>
              <w:top w:val="single" w:sz="4" w:space="0" w:color="FFFFFF"/>
              <w:left w:val="single" w:sz="4" w:space="0" w:color="FFFFFF"/>
              <w:bottom w:val="single" w:sz="4" w:space="0" w:color="auto"/>
              <w:right w:val="single" w:sz="4" w:space="0" w:color="FFFFFF"/>
            </w:tcBorders>
            <w:shd w:val="clear" w:color="auto" w:fill="000000"/>
          </w:tcPr>
          <w:p w:rsidR="00F932A2" w:rsidRPr="004054D3" w:rsidRDefault="00F932A2" w:rsidP="008B79D3">
            <w:pPr>
              <w:jc w:val="center"/>
              <w:rPr>
                <w:rFonts w:ascii="Tahoma" w:hAnsi="Tahoma" w:cs="Tahoma"/>
                <w:b/>
                <w:color w:val="FFFFFF"/>
                <w:sz w:val="18"/>
                <w:szCs w:val="18"/>
              </w:rPr>
            </w:pPr>
            <w:r w:rsidRPr="004054D3">
              <w:rPr>
                <w:rFonts w:ascii="Tahoma" w:hAnsi="Tahoma" w:cs="Tahoma"/>
                <w:b/>
                <w:color w:val="FFFFFF"/>
                <w:sz w:val="18"/>
                <w:szCs w:val="18"/>
              </w:rPr>
              <w:t>PUNTAJE</w:t>
            </w:r>
          </w:p>
          <w:p w:rsidR="00F932A2" w:rsidRPr="004054D3" w:rsidRDefault="00F932A2" w:rsidP="008B79D3">
            <w:pPr>
              <w:jc w:val="center"/>
              <w:rPr>
                <w:rFonts w:ascii="Tahoma" w:hAnsi="Tahoma" w:cs="Tahoma"/>
                <w:b/>
                <w:color w:val="FFFFFF"/>
                <w:sz w:val="18"/>
                <w:szCs w:val="18"/>
              </w:rPr>
            </w:pPr>
            <w:r>
              <w:rPr>
                <w:rFonts w:ascii="Tahoma" w:hAnsi="Tahoma" w:cs="Tahoma"/>
                <w:b/>
                <w:color w:val="FFFFFF"/>
                <w:sz w:val="18"/>
                <w:szCs w:val="18"/>
              </w:rPr>
              <w:t>ADICIONAL</w:t>
            </w:r>
          </w:p>
          <w:p w:rsidR="00F932A2" w:rsidRPr="004054D3" w:rsidRDefault="00F932A2" w:rsidP="008B79D3">
            <w:pPr>
              <w:jc w:val="center"/>
              <w:rPr>
                <w:rFonts w:ascii="Tahoma" w:hAnsi="Tahoma" w:cs="Tahoma"/>
                <w:b/>
                <w:color w:val="FFFFFF"/>
                <w:sz w:val="18"/>
                <w:szCs w:val="18"/>
              </w:rPr>
            </w:pPr>
            <w:r>
              <w:rPr>
                <w:rFonts w:ascii="Tahoma" w:hAnsi="Tahoma" w:cs="Tahoma"/>
                <w:b/>
                <w:color w:val="FFFFFF"/>
                <w:sz w:val="18"/>
                <w:szCs w:val="18"/>
              </w:rPr>
              <w:t>(20%)</w:t>
            </w:r>
          </w:p>
        </w:tc>
        <w:tc>
          <w:tcPr>
            <w:tcW w:w="1274" w:type="dxa"/>
            <w:tcBorders>
              <w:top w:val="single" w:sz="4" w:space="0" w:color="FFFFFF"/>
              <w:left w:val="single" w:sz="4" w:space="0" w:color="FFFFFF"/>
              <w:bottom w:val="single" w:sz="4" w:space="0" w:color="auto"/>
              <w:right w:val="single" w:sz="4" w:space="0" w:color="FFFFFF"/>
            </w:tcBorders>
            <w:shd w:val="clear" w:color="auto" w:fill="000000"/>
          </w:tcPr>
          <w:p w:rsidR="00F932A2" w:rsidRPr="004054D3" w:rsidRDefault="00F932A2" w:rsidP="008B79D3">
            <w:pPr>
              <w:jc w:val="center"/>
              <w:rPr>
                <w:rFonts w:ascii="Tahoma" w:hAnsi="Tahoma" w:cs="Tahoma"/>
                <w:b/>
                <w:color w:val="FFFFFF"/>
                <w:sz w:val="18"/>
                <w:szCs w:val="18"/>
              </w:rPr>
            </w:pPr>
            <w:r w:rsidRPr="004054D3">
              <w:rPr>
                <w:rFonts w:ascii="Tahoma" w:hAnsi="Tahoma" w:cs="Tahoma"/>
                <w:b/>
                <w:color w:val="FFFFFF"/>
                <w:sz w:val="18"/>
                <w:szCs w:val="18"/>
              </w:rPr>
              <w:t>PUNTAJE</w:t>
            </w:r>
          </w:p>
          <w:p w:rsidR="00F932A2" w:rsidRPr="004054D3" w:rsidRDefault="00F932A2" w:rsidP="008B79D3">
            <w:pPr>
              <w:jc w:val="center"/>
              <w:rPr>
                <w:rFonts w:ascii="Tahoma" w:hAnsi="Tahoma" w:cs="Tahoma"/>
                <w:b/>
                <w:color w:val="FFFFFF"/>
                <w:sz w:val="18"/>
                <w:szCs w:val="18"/>
              </w:rPr>
            </w:pPr>
            <w:r>
              <w:rPr>
                <w:rFonts w:ascii="Tahoma" w:hAnsi="Tahoma" w:cs="Tahoma"/>
                <w:b/>
                <w:color w:val="FFFFFF"/>
                <w:sz w:val="18"/>
                <w:szCs w:val="18"/>
              </w:rPr>
              <w:t>FINAL</w:t>
            </w:r>
          </w:p>
        </w:tc>
        <w:tc>
          <w:tcPr>
            <w:tcW w:w="1041" w:type="dxa"/>
            <w:tcBorders>
              <w:top w:val="single" w:sz="4" w:space="0" w:color="FFFFFF"/>
              <w:left w:val="single" w:sz="4" w:space="0" w:color="FFFFFF"/>
              <w:bottom w:val="single" w:sz="4" w:space="0" w:color="auto"/>
              <w:right w:val="single" w:sz="4" w:space="0" w:color="auto"/>
            </w:tcBorders>
            <w:shd w:val="clear" w:color="auto" w:fill="000000"/>
          </w:tcPr>
          <w:p w:rsidR="00F932A2" w:rsidRPr="004054D3" w:rsidRDefault="00F932A2" w:rsidP="008B79D3">
            <w:pPr>
              <w:jc w:val="center"/>
              <w:rPr>
                <w:rFonts w:ascii="Tahoma" w:hAnsi="Tahoma" w:cs="Tahoma"/>
                <w:b/>
                <w:color w:val="FFFFFF"/>
                <w:sz w:val="18"/>
                <w:szCs w:val="18"/>
              </w:rPr>
            </w:pPr>
            <w:r>
              <w:rPr>
                <w:rFonts w:ascii="Tahoma" w:hAnsi="Tahoma" w:cs="Tahoma"/>
                <w:b/>
                <w:color w:val="FFFFFF"/>
                <w:sz w:val="18"/>
                <w:szCs w:val="18"/>
              </w:rPr>
              <w:t>RESULTADO</w:t>
            </w:r>
          </w:p>
        </w:tc>
      </w:tr>
      <w:tr w:rsidR="00F932A2" w:rsidRPr="001975E9" w:rsidTr="008B79D3">
        <w:trPr>
          <w:trHeight w:val="159"/>
        </w:trPr>
        <w:tc>
          <w:tcPr>
            <w:tcW w:w="1409" w:type="dxa"/>
            <w:tcBorders>
              <w:right w:val="single" w:sz="4" w:space="0" w:color="000000"/>
            </w:tcBorders>
          </w:tcPr>
          <w:p w:rsidR="00F932A2" w:rsidRPr="008C6F5A" w:rsidRDefault="00F932A2" w:rsidP="008B79D3">
            <w:pPr>
              <w:rPr>
                <w:rFonts w:ascii="Tahoma" w:hAnsi="Tahoma" w:cs="Tahoma"/>
                <w:sz w:val="18"/>
                <w:szCs w:val="18"/>
                <w:lang w:val="en-US"/>
              </w:rPr>
            </w:pPr>
            <w:r w:rsidRPr="008C6F5A">
              <w:rPr>
                <w:rFonts w:ascii="Tahoma" w:hAnsi="Tahoma" w:cs="Tahoma"/>
                <w:sz w:val="18"/>
                <w:szCs w:val="18"/>
                <w:lang w:val="en-US"/>
              </w:rPr>
              <w:t>LKG CLINIMARK  S.R.L.</w:t>
            </w:r>
          </w:p>
        </w:tc>
        <w:tc>
          <w:tcPr>
            <w:tcW w:w="1392" w:type="dxa"/>
            <w:tcBorders>
              <w:left w:val="single" w:sz="4" w:space="0" w:color="000000"/>
            </w:tcBorders>
          </w:tcPr>
          <w:p w:rsidR="00F932A2" w:rsidRPr="00F1157E" w:rsidRDefault="00F932A2" w:rsidP="008B79D3">
            <w:pPr>
              <w:jc w:val="center"/>
              <w:rPr>
                <w:rFonts w:ascii="Tahoma" w:hAnsi="Tahoma" w:cs="Tahoma"/>
                <w:sz w:val="18"/>
                <w:szCs w:val="18"/>
              </w:rPr>
            </w:pPr>
            <w:r>
              <w:rPr>
                <w:rFonts w:ascii="Tahoma" w:hAnsi="Tahoma" w:cs="Tahoma"/>
                <w:sz w:val="18"/>
                <w:szCs w:val="18"/>
              </w:rPr>
              <w:t>70</w:t>
            </w:r>
          </w:p>
        </w:tc>
        <w:tc>
          <w:tcPr>
            <w:tcW w:w="1435" w:type="dxa"/>
            <w:tcBorders>
              <w:right w:val="single" w:sz="4" w:space="0" w:color="000000"/>
            </w:tcBorders>
          </w:tcPr>
          <w:p w:rsidR="00F932A2" w:rsidRPr="001975E9" w:rsidRDefault="00F932A2" w:rsidP="008B79D3">
            <w:pPr>
              <w:jc w:val="center"/>
              <w:rPr>
                <w:rFonts w:ascii="Tahoma" w:hAnsi="Tahoma" w:cs="Tahoma"/>
                <w:sz w:val="18"/>
                <w:szCs w:val="18"/>
                <w:lang w:val="en-US"/>
              </w:rPr>
            </w:pPr>
            <w:r>
              <w:rPr>
                <w:rFonts w:ascii="Tahoma" w:hAnsi="Tahoma" w:cs="Tahoma"/>
                <w:sz w:val="18"/>
                <w:szCs w:val="18"/>
              </w:rPr>
              <w:t>30</w:t>
            </w:r>
          </w:p>
        </w:tc>
        <w:tc>
          <w:tcPr>
            <w:tcW w:w="1274" w:type="dxa"/>
            <w:tcBorders>
              <w:left w:val="single" w:sz="4" w:space="0" w:color="000000"/>
              <w:right w:val="single" w:sz="4" w:space="0" w:color="000000"/>
            </w:tcBorders>
          </w:tcPr>
          <w:p w:rsidR="00F932A2" w:rsidRPr="001975E9" w:rsidRDefault="00F932A2" w:rsidP="008B79D3">
            <w:pPr>
              <w:jc w:val="center"/>
              <w:rPr>
                <w:rFonts w:ascii="Tahoma" w:hAnsi="Tahoma" w:cs="Tahoma"/>
                <w:sz w:val="18"/>
                <w:szCs w:val="18"/>
                <w:lang w:val="en-US"/>
              </w:rPr>
            </w:pPr>
            <w:r>
              <w:rPr>
                <w:rFonts w:ascii="Tahoma" w:hAnsi="Tahoma" w:cs="Tahoma"/>
                <w:sz w:val="18"/>
                <w:szCs w:val="18"/>
              </w:rPr>
              <w:t>--</w:t>
            </w:r>
          </w:p>
        </w:tc>
        <w:tc>
          <w:tcPr>
            <w:tcW w:w="1274" w:type="dxa"/>
            <w:tcBorders>
              <w:left w:val="single" w:sz="4" w:space="0" w:color="000000"/>
              <w:right w:val="single" w:sz="4" w:space="0" w:color="000000"/>
            </w:tcBorders>
          </w:tcPr>
          <w:p w:rsidR="00F932A2" w:rsidRPr="001975E9" w:rsidRDefault="00F932A2" w:rsidP="008B79D3">
            <w:pPr>
              <w:jc w:val="center"/>
              <w:rPr>
                <w:rFonts w:ascii="Tahoma" w:hAnsi="Tahoma" w:cs="Tahoma"/>
                <w:sz w:val="18"/>
                <w:szCs w:val="18"/>
                <w:lang w:val="en-US"/>
              </w:rPr>
            </w:pPr>
            <w:r>
              <w:rPr>
                <w:rFonts w:ascii="Tahoma" w:hAnsi="Tahoma" w:cs="Tahoma"/>
                <w:sz w:val="18"/>
                <w:szCs w:val="18"/>
                <w:lang w:val="en-US"/>
              </w:rPr>
              <w:t>100</w:t>
            </w:r>
          </w:p>
        </w:tc>
        <w:tc>
          <w:tcPr>
            <w:tcW w:w="1041" w:type="dxa"/>
            <w:tcBorders>
              <w:left w:val="single" w:sz="4" w:space="0" w:color="000000"/>
            </w:tcBorders>
          </w:tcPr>
          <w:p w:rsidR="00F932A2" w:rsidRPr="001975E9" w:rsidRDefault="00F932A2" w:rsidP="008B79D3">
            <w:pPr>
              <w:jc w:val="center"/>
              <w:rPr>
                <w:rFonts w:ascii="Tahoma" w:hAnsi="Tahoma" w:cs="Tahoma"/>
                <w:sz w:val="18"/>
                <w:szCs w:val="18"/>
              </w:rPr>
            </w:pPr>
            <w:r>
              <w:rPr>
                <w:rFonts w:ascii="Tahoma" w:hAnsi="Tahoma" w:cs="Tahoma"/>
                <w:sz w:val="18"/>
                <w:szCs w:val="18"/>
              </w:rPr>
              <w:t>1º</w:t>
            </w:r>
          </w:p>
        </w:tc>
      </w:tr>
      <w:tr w:rsidR="00F932A2" w:rsidRPr="001975E9" w:rsidTr="008B79D3">
        <w:trPr>
          <w:trHeight w:val="159"/>
        </w:trPr>
        <w:tc>
          <w:tcPr>
            <w:tcW w:w="1409" w:type="dxa"/>
            <w:tcBorders>
              <w:right w:val="single" w:sz="4" w:space="0" w:color="000000"/>
            </w:tcBorders>
          </w:tcPr>
          <w:p w:rsidR="00F932A2" w:rsidRPr="008C6F5A" w:rsidRDefault="00F932A2" w:rsidP="008B79D3">
            <w:pPr>
              <w:rPr>
                <w:rFonts w:ascii="Tahoma" w:hAnsi="Tahoma" w:cs="Tahoma"/>
                <w:sz w:val="18"/>
                <w:szCs w:val="18"/>
                <w:lang w:val="en-US"/>
              </w:rPr>
            </w:pPr>
            <w:r w:rsidRPr="008C6F5A">
              <w:rPr>
                <w:rFonts w:ascii="Tahoma" w:hAnsi="Tahoma" w:cs="Tahoma"/>
                <w:sz w:val="18"/>
                <w:szCs w:val="18"/>
                <w:lang w:val="en-US"/>
              </w:rPr>
              <w:t>MONT GROUP S.A.C.</w:t>
            </w:r>
          </w:p>
        </w:tc>
        <w:tc>
          <w:tcPr>
            <w:tcW w:w="1392" w:type="dxa"/>
            <w:tcBorders>
              <w:left w:val="single" w:sz="4" w:space="0" w:color="000000"/>
            </w:tcBorders>
          </w:tcPr>
          <w:p w:rsidR="00F932A2" w:rsidRPr="001975E9" w:rsidRDefault="00F932A2" w:rsidP="008B79D3">
            <w:pPr>
              <w:jc w:val="center"/>
              <w:rPr>
                <w:rFonts w:ascii="Tahoma" w:hAnsi="Tahoma" w:cs="Tahoma"/>
                <w:sz w:val="18"/>
                <w:szCs w:val="18"/>
              </w:rPr>
            </w:pPr>
            <w:r>
              <w:rPr>
                <w:rFonts w:ascii="Tahoma" w:hAnsi="Tahoma" w:cs="Tahoma"/>
                <w:sz w:val="18"/>
                <w:szCs w:val="18"/>
              </w:rPr>
              <w:t>68.60</w:t>
            </w:r>
          </w:p>
        </w:tc>
        <w:tc>
          <w:tcPr>
            <w:tcW w:w="1435" w:type="dxa"/>
            <w:tcBorders>
              <w:right w:val="single" w:sz="4" w:space="0" w:color="000000"/>
            </w:tcBorders>
          </w:tcPr>
          <w:p w:rsidR="00F932A2" w:rsidRPr="001975E9" w:rsidRDefault="00F932A2" w:rsidP="008B79D3">
            <w:pPr>
              <w:jc w:val="center"/>
              <w:rPr>
                <w:rFonts w:ascii="Tahoma" w:hAnsi="Tahoma" w:cs="Tahoma"/>
                <w:sz w:val="18"/>
                <w:szCs w:val="18"/>
              </w:rPr>
            </w:pPr>
            <w:r>
              <w:rPr>
                <w:rFonts w:ascii="Tahoma" w:hAnsi="Tahoma" w:cs="Tahoma"/>
                <w:sz w:val="18"/>
                <w:szCs w:val="18"/>
              </w:rPr>
              <w:t>30</w:t>
            </w:r>
          </w:p>
        </w:tc>
        <w:tc>
          <w:tcPr>
            <w:tcW w:w="1274" w:type="dxa"/>
            <w:tcBorders>
              <w:left w:val="single" w:sz="4" w:space="0" w:color="000000"/>
              <w:right w:val="single" w:sz="4" w:space="0" w:color="000000"/>
            </w:tcBorders>
          </w:tcPr>
          <w:p w:rsidR="00F932A2" w:rsidRPr="001975E9" w:rsidRDefault="00F932A2" w:rsidP="008B79D3">
            <w:pPr>
              <w:jc w:val="center"/>
              <w:rPr>
                <w:rFonts w:ascii="Tahoma" w:hAnsi="Tahoma" w:cs="Tahoma"/>
                <w:sz w:val="18"/>
                <w:szCs w:val="18"/>
              </w:rPr>
            </w:pPr>
            <w:r>
              <w:rPr>
                <w:rFonts w:ascii="Tahoma" w:hAnsi="Tahoma" w:cs="Tahoma"/>
                <w:sz w:val="18"/>
                <w:szCs w:val="18"/>
              </w:rPr>
              <w:t>--</w:t>
            </w:r>
          </w:p>
        </w:tc>
        <w:tc>
          <w:tcPr>
            <w:tcW w:w="1274" w:type="dxa"/>
            <w:tcBorders>
              <w:left w:val="single" w:sz="4" w:space="0" w:color="000000"/>
              <w:right w:val="single" w:sz="4" w:space="0" w:color="000000"/>
            </w:tcBorders>
          </w:tcPr>
          <w:p w:rsidR="00F932A2" w:rsidRDefault="00F932A2" w:rsidP="008B79D3">
            <w:pPr>
              <w:jc w:val="center"/>
            </w:pPr>
            <w:r>
              <w:rPr>
                <w:rFonts w:ascii="Tahoma" w:hAnsi="Tahoma" w:cs="Tahoma"/>
                <w:sz w:val="18"/>
                <w:szCs w:val="18"/>
              </w:rPr>
              <w:t>98.60</w:t>
            </w:r>
          </w:p>
        </w:tc>
        <w:tc>
          <w:tcPr>
            <w:tcW w:w="1041" w:type="dxa"/>
            <w:tcBorders>
              <w:left w:val="single" w:sz="4" w:space="0" w:color="000000"/>
            </w:tcBorders>
          </w:tcPr>
          <w:p w:rsidR="00F932A2" w:rsidRPr="001975E9" w:rsidRDefault="00F932A2" w:rsidP="008B79D3">
            <w:pPr>
              <w:jc w:val="center"/>
              <w:rPr>
                <w:rFonts w:ascii="Tahoma" w:hAnsi="Tahoma" w:cs="Tahoma"/>
                <w:sz w:val="18"/>
                <w:szCs w:val="18"/>
              </w:rPr>
            </w:pPr>
            <w:r>
              <w:rPr>
                <w:rFonts w:ascii="Tahoma" w:hAnsi="Tahoma" w:cs="Tahoma"/>
                <w:sz w:val="18"/>
                <w:szCs w:val="18"/>
              </w:rPr>
              <w:t>2º</w:t>
            </w:r>
          </w:p>
        </w:tc>
      </w:tr>
    </w:tbl>
    <w:p w:rsidR="00F932A2" w:rsidRDefault="00F932A2" w:rsidP="00F932A2">
      <w:pPr>
        <w:ind w:left="567"/>
        <w:jc w:val="both"/>
        <w:rPr>
          <w:rFonts w:ascii="Tahoma" w:hAnsi="Tahoma" w:cs="Tahoma"/>
          <w:sz w:val="24"/>
          <w:szCs w:val="24"/>
        </w:rPr>
      </w:pPr>
    </w:p>
    <w:p w:rsidR="00F932A2" w:rsidRPr="002D3E30" w:rsidRDefault="00F932A2" w:rsidP="00F932A2">
      <w:pPr>
        <w:ind w:left="567"/>
        <w:jc w:val="both"/>
        <w:rPr>
          <w:rFonts w:ascii="Tahoma" w:hAnsi="Tahoma" w:cs="Tahoma"/>
          <w:lang w:val="es-ES_tradnl"/>
        </w:rPr>
      </w:pPr>
      <w:r w:rsidRPr="002D3E30">
        <w:rPr>
          <w:rFonts w:ascii="Tahoma" w:hAnsi="Tahoma" w:cs="Tahoma"/>
        </w:rPr>
        <w:t>Por tanto, el Comité Especial procedió otorgó la buena pro a la empresa LKG CLINIMARK S.R.L. con una oferta económica ascendente a S</w:t>
      </w:r>
      <w:r w:rsidRPr="002D3E30">
        <w:rPr>
          <w:rFonts w:ascii="Tahoma" w:hAnsi="Tahoma" w:cs="Tahoma"/>
          <w:lang w:val="es-MX"/>
        </w:rPr>
        <w:t>/. 52 495,17 (Cincuenta y dos mil cuatrocientos noventa y cinco con 17/100</w:t>
      </w:r>
      <w:r w:rsidRPr="002D3E30">
        <w:rPr>
          <w:rFonts w:ascii="Tahoma" w:hAnsi="Tahoma" w:cs="Tahoma"/>
        </w:rPr>
        <w:t xml:space="preserve"> nuevos soles) incluido el Impuesto General a las Ventas (IGV)</w:t>
      </w:r>
      <w:r w:rsidRPr="002D3E30">
        <w:rPr>
          <w:rFonts w:ascii="Tahoma" w:hAnsi="Tahoma" w:cs="Tahoma"/>
          <w:lang w:val="es-ES_tradnl"/>
        </w:rPr>
        <w:t>.</w:t>
      </w:r>
    </w:p>
    <w:p w:rsidR="00F932A2" w:rsidRPr="002D3E30" w:rsidRDefault="00F932A2" w:rsidP="00F932A2">
      <w:pPr>
        <w:ind w:left="567"/>
        <w:jc w:val="both"/>
        <w:rPr>
          <w:rFonts w:ascii="Tahoma" w:hAnsi="Tahoma" w:cs="Tahoma"/>
          <w:lang w:val="es-ES_tradnl"/>
        </w:rPr>
      </w:pPr>
    </w:p>
    <w:p w:rsidR="00F932A2" w:rsidRPr="002D3E30" w:rsidRDefault="00F932A2" w:rsidP="00F932A2">
      <w:pPr>
        <w:numPr>
          <w:ilvl w:val="0"/>
          <w:numId w:val="2"/>
        </w:numPr>
        <w:tabs>
          <w:tab w:val="clear" w:pos="360"/>
          <w:tab w:val="num" w:pos="567"/>
        </w:tabs>
        <w:ind w:left="567" w:hanging="567"/>
        <w:jc w:val="both"/>
        <w:rPr>
          <w:rFonts w:ascii="Tahoma" w:hAnsi="Tahoma" w:cs="Tahoma"/>
        </w:rPr>
      </w:pPr>
      <w:r w:rsidRPr="002D3E30">
        <w:rPr>
          <w:rFonts w:ascii="Tahoma" w:hAnsi="Tahoma" w:cs="Tahoma"/>
        </w:rPr>
        <w:t xml:space="preserve">El 23 de julio de 2007, el postor MONT GROUP S.A.C. interpuso recurso de apelación contra el otorgamiento de la buena pro del ítem 5 de </w:t>
      </w:r>
      <w:smartTag w:uri="urn:schemas-microsoft-com:office:smarttags" w:element="PersonName">
        <w:smartTagPr>
          <w:attr w:name="ProductID" w:val="la Adjudicaci￳n Directa"/>
        </w:smartTagPr>
        <w:r w:rsidRPr="002D3E30">
          <w:rPr>
            <w:rFonts w:ascii="Tahoma" w:hAnsi="Tahoma" w:cs="Tahoma"/>
          </w:rPr>
          <w:t>la Adjudicación Directa</w:t>
        </w:r>
      </w:smartTag>
      <w:r w:rsidRPr="002D3E30">
        <w:rPr>
          <w:rFonts w:ascii="Tahoma" w:hAnsi="Tahoma" w:cs="Tahoma"/>
        </w:rPr>
        <w:t xml:space="preserve"> Selectiva № 0016-2007-SESAN/FAP, solicitando la descalificación de dicha empresa debido a los siguientes motivos:</w:t>
      </w:r>
    </w:p>
    <w:p w:rsidR="00F932A2" w:rsidRPr="002D3E30" w:rsidRDefault="00F932A2" w:rsidP="00F932A2">
      <w:pPr>
        <w:jc w:val="both"/>
        <w:rPr>
          <w:rFonts w:ascii="Tahoma" w:hAnsi="Tahoma" w:cs="Tahoma"/>
        </w:rPr>
      </w:pPr>
    </w:p>
    <w:p w:rsidR="00F932A2" w:rsidRPr="002D3E30" w:rsidRDefault="00F932A2" w:rsidP="00F932A2">
      <w:pPr>
        <w:ind w:left="567"/>
        <w:jc w:val="both"/>
        <w:rPr>
          <w:rFonts w:ascii="Tahoma" w:hAnsi="Tahoma" w:cs="Tahoma"/>
        </w:rPr>
      </w:pPr>
      <w:r w:rsidRPr="002D3E30">
        <w:rPr>
          <w:rFonts w:ascii="Tahoma" w:hAnsi="Tahoma" w:cs="Tahoma"/>
        </w:rPr>
        <w:t xml:space="preserve">La muestra del postor LKG CLINIMARK S.R.L. no consignó fecha de vencimiento ni número de Registro Sanitario, contraviniendo el literal a) de </w:t>
      </w:r>
      <w:smartTag w:uri="urn:schemas-microsoft-com:office:smarttags" w:element="PersonName">
        <w:smartTagPr>
          <w:attr w:name="ProductID" w:val="la Secci￳n IV"/>
        </w:smartTagPr>
        <w:r w:rsidRPr="002D3E30">
          <w:rPr>
            <w:rFonts w:ascii="Tahoma" w:hAnsi="Tahoma" w:cs="Tahoma"/>
          </w:rPr>
          <w:t>la Sección IV</w:t>
        </w:r>
      </w:smartTag>
      <w:r w:rsidRPr="002D3E30">
        <w:rPr>
          <w:rFonts w:ascii="Tahoma" w:hAnsi="Tahoma" w:cs="Tahoma"/>
        </w:rPr>
        <w:t xml:space="preserve"> de las Bases.</w:t>
      </w:r>
    </w:p>
    <w:p w:rsidR="00F932A2" w:rsidRPr="002D3E30" w:rsidRDefault="00F932A2" w:rsidP="00F932A2">
      <w:pPr>
        <w:jc w:val="both"/>
        <w:rPr>
          <w:rFonts w:ascii="Tahoma" w:hAnsi="Tahoma" w:cs="Tahoma"/>
        </w:rPr>
      </w:pPr>
    </w:p>
    <w:p w:rsidR="00F932A2" w:rsidRPr="002D3E30" w:rsidRDefault="00F932A2" w:rsidP="00F932A2">
      <w:pPr>
        <w:ind w:left="567"/>
        <w:jc w:val="both"/>
        <w:rPr>
          <w:rFonts w:ascii="Tahoma" w:hAnsi="Tahoma" w:cs="Tahoma"/>
        </w:rPr>
      </w:pPr>
      <w:r w:rsidRPr="002D3E30">
        <w:rPr>
          <w:rFonts w:ascii="Tahoma" w:hAnsi="Tahoma" w:cs="Tahoma"/>
        </w:rPr>
        <w:t>El número de lote del Protocolo de Análisis no coincidía con el número de lote de la muestra presentada, transgrediendo las Bases integradas.</w:t>
      </w:r>
    </w:p>
    <w:p w:rsidR="00F932A2" w:rsidRPr="002D3E30" w:rsidRDefault="00F932A2" w:rsidP="00F932A2">
      <w:pPr>
        <w:jc w:val="both"/>
        <w:rPr>
          <w:rFonts w:ascii="Tahoma" w:hAnsi="Tahoma" w:cs="Tahoma"/>
        </w:rPr>
      </w:pPr>
    </w:p>
    <w:p w:rsidR="00F932A2" w:rsidRPr="002D3E30" w:rsidRDefault="00F932A2" w:rsidP="00F932A2">
      <w:pPr>
        <w:ind w:firstLine="567"/>
        <w:jc w:val="both"/>
        <w:rPr>
          <w:rFonts w:ascii="Tahoma" w:hAnsi="Tahoma" w:cs="Tahoma"/>
        </w:rPr>
      </w:pPr>
      <w:r w:rsidRPr="002D3E30">
        <w:rPr>
          <w:rFonts w:ascii="Tahoma" w:hAnsi="Tahoma" w:cs="Tahoma"/>
        </w:rPr>
        <w:t>No cumplió con adjuntar la traducción simple del Protocolo de Análisis.</w:t>
      </w:r>
    </w:p>
    <w:p w:rsidR="00F932A2" w:rsidRPr="002D3E30" w:rsidRDefault="00F932A2" w:rsidP="00F932A2">
      <w:pPr>
        <w:jc w:val="both"/>
        <w:rPr>
          <w:rFonts w:ascii="Tahoma" w:hAnsi="Tahoma" w:cs="Tahoma"/>
        </w:rPr>
      </w:pPr>
    </w:p>
    <w:p w:rsidR="00F932A2" w:rsidRPr="002D3E30" w:rsidRDefault="00F932A2" w:rsidP="00F932A2">
      <w:pPr>
        <w:numPr>
          <w:ilvl w:val="0"/>
          <w:numId w:val="2"/>
        </w:numPr>
        <w:tabs>
          <w:tab w:val="clear" w:pos="360"/>
          <w:tab w:val="num" w:pos="567"/>
        </w:tabs>
        <w:ind w:left="567" w:hanging="567"/>
        <w:jc w:val="both"/>
        <w:rPr>
          <w:rFonts w:ascii="Tahoma" w:hAnsi="Tahoma" w:cs="Tahoma"/>
        </w:rPr>
      </w:pPr>
      <w:r w:rsidRPr="002D3E30">
        <w:rPr>
          <w:rFonts w:ascii="Tahoma" w:hAnsi="Tahoma" w:cs="Tahoma"/>
        </w:rPr>
        <w:t xml:space="preserve">El 6 de agosto de 2007,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remitió la información relacionada al caso de autos. En su Informe Técnico Legal,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sostuvo que la muestra entregada contenía la información </w:t>
      </w:r>
      <w:proofErr w:type="spellStart"/>
      <w:r w:rsidRPr="002D3E30">
        <w:rPr>
          <w:rFonts w:ascii="Tahoma" w:hAnsi="Tahoma" w:cs="Tahoma"/>
        </w:rPr>
        <w:t>sufienciente</w:t>
      </w:r>
      <w:proofErr w:type="spellEnd"/>
      <w:r w:rsidRPr="002D3E30">
        <w:rPr>
          <w:rFonts w:ascii="Tahoma" w:hAnsi="Tahoma" w:cs="Tahoma"/>
        </w:rPr>
        <w:t xml:space="preserve"> para la evaluación del producto, contando con autorización la sanitaria para </w:t>
      </w:r>
    </w:p>
    <w:p w:rsidR="00F932A2" w:rsidRPr="002D3E30" w:rsidRDefault="00F932A2" w:rsidP="00F932A2">
      <w:pPr>
        <w:jc w:val="both"/>
        <w:rPr>
          <w:rFonts w:ascii="Tahoma" w:hAnsi="Tahoma" w:cs="Tahoma"/>
        </w:rPr>
      </w:pPr>
    </w:p>
    <w:p w:rsidR="00F932A2" w:rsidRPr="002D3E30" w:rsidRDefault="00F932A2" w:rsidP="00F932A2">
      <w:pPr>
        <w:numPr>
          <w:ilvl w:val="0"/>
          <w:numId w:val="2"/>
        </w:numPr>
        <w:tabs>
          <w:tab w:val="clear" w:pos="360"/>
          <w:tab w:val="num" w:pos="567"/>
        </w:tabs>
        <w:ind w:left="567" w:hanging="567"/>
        <w:jc w:val="both"/>
        <w:rPr>
          <w:rFonts w:ascii="Tahoma" w:hAnsi="Tahoma" w:cs="Tahoma"/>
        </w:rPr>
      </w:pPr>
      <w:r w:rsidRPr="002D3E30">
        <w:rPr>
          <w:rFonts w:ascii="Tahoma" w:hAnsi="Tahoma" w:cs="Tahoma"/>
        </w:rPr>
        <w:t>Mediante escritos de fecha 21 de agosto de 2007 y del 3 de septiembre de 2007, la empresa LKG CLINIMARK S.R.L. se apersonó al proceso en calidad de tercero administrado y absolvió el traslado del recurso de apelación, indicando lo siguiente:</w:t>
      </w:r>
    </w:p>
    <w:p w:rsidR="00F932A2" w:rsidRPr="002D3E30" w:rsidRDefault="00F932A2" w:rsidP="00F932A2">
      <w:pPr>
        <w:jc w:val="both"/>
        <w:rPr>
          <w:rFonts w:ascii="Tahoma" w:hAnsi="Tahoma" w:cs="Tahoma"/>
        </w:rPr>
      </w:pPr>
    </w:p>
    <w:p w:rsidR="00F932A2" w:rsidRPr="002D3E30" w:rsidRDefault="00F932A2" w:rsidP="00F932A2">
      <w:pPr>
        <w:ind w:left="567"/>
        <w:jc w:val="both"/>
        <w:rPr>
          <w:rFonts w:ascii="Tahoma" w:hAnsi="Tahoma" w:cs="Tahoma"/>
        </w:rPr>
      </w:pPr>
      <w:r w:rsidRPr="002D3E30">
        <w:rPr>
          <w:rFonts w:ascii="Tahoma" w:hAnsi="Tahoma" w:cs="Tahoma"/>
        </w:rPr>
        <w:t xml:space="preserve">La traducción simple del Protocolo no es necesaria debido a que </w:t>
      </w:r>
      <w:proofErr w:type="spellStart"/>
      <w:r w:rsidRPr="002D3E30">
        <w:rPr>
          <w:rFonts w:ascii="Tahoma" w:hAnsi="Tahoma" w:cs="Tahoma"/>
        </w:rPr>
        <w:t>esta</w:t>
      </w:r>
      <w:proofErr w:type="spellEnd"/>
      <w:r w:rsidRPr="002D3E30">
        <w:rPr>
          <w:rFonts w:ascii="Tahoma" w:hAnsi="Tahoma" w:cs="Tahoma"/>
        </w:rPr>
        <w:t xml:space="preserve"> compuesta en un 90% de valores numéricos y era perfectamente entendible, debido a que los términos utilizados con cocaína, marihuana y éxtasis que se escriben igual en </w:t>
      </w:r>
      <w:proofErr w:type="spellStart"/>
      <w:r w:rsidRPr="002D3E30">
        <w:rPr>
          <w:rFonts w:ascii="Tahoma" w:hAnsi="Tahoma" w:cs="Tahoma"/>
        </w:rPr>
        <w:t>ingles</w:t>
      </w:r>
      <w:proofErr w:type="spellEnd"/>
      <w:r w:rsidRPr="002D3E30">
        <w:rPr>
          <w:rFonts w:ascii="Tahoma" w:hAnsi="Tahoma" w:cs="Tahoma"/>
        </w:rPr>
        <w:t xml:space="preserve"> y castellano.</w:t>
      </w:r>
    </w:p>
    <w:p w:rsidR="00F932A2" w:rsidRPr="002D3E30" w:rsidRDefault="00F932A2" w:rsidP="00F932A2">
      <w:pPr>
        <w:jc w:val="both"/>
        <w:rPr>
          <w:rFonts w:ascii="Tahoma" w:hAnsi="Tahoma" w:cs="Tahoma"/>
        </w:rPr>
      </w:pPr>
    </w:p>
    <w:p w:rsidR="00F932A2" w:rsidRPr="002D3E30" w:rsidRDefault="00F932A2" w:rsidP="00F932A2">
      <w:pPr>
        <w:ind w:left="567"/>
        <w:jc w:val="both"/>
        <w:rPr>
          <w:rFonts w:ascii="Tahoma" w:hAnsi="Tahoma" w:cs="Tahoma"/>
        </w:rPr>
      </w:pPr>
      <w:r w:rsidRPr="002D3E30">
        <w:rPr>
          <w:rFonts w:ascii="Tahoma" w:hAnsi="Tahoma" w:cs="Tahoma"/>
        </w:rPr>
        <w:t>El Protocolo de Análisis en su segundo párrafo señalaba que el lote era PM030504A que es el mismo del la muestra.</w:t>
      </w:r>
    </w:p>
    <w:p w:rsidR="00F932A2" w:rsidRPr="002D3E30" w:rsidRDefault="00F932A2" w:rsidP="00F932A2">
      <w:pPr>
        <w:ind w:left="567"/>
        <w:jc w:val="both"/>
        <w:rPr>
          <w:rFonts w:ascii="Tahoma" w:hAnsi="Tahoma" w:cs="Tahoma"/>
        </w:rPr>
      </w:pPr>
    </w:p>
    <w:p w:rsidR="00F932A2" w:rsidRPr="002D3E30" w:rsidRDefault="00F932A2" w:rsidP="00F932A2">
      <w:pPr>
        <w:ind w:left="567"/>
        <w:jc w:val="both"/>
        <w:rPr>
          <w:rFonts w:ascii="Tahoma" w:hAnsi="Tahoma" w:cs="Tahoma"/>
        </w:rPr>
      </w:pPr>
      <w:r w:rsidRPr="002D3E30">
        <w:rPr>
          <w:rFonts w:ascii="Tahoma" w:hAnsi="Tahoma" w:cs="Tahoma"/>
        </w:rPr>
        <w:t>El Comité Especial examinó la muestra sin encontrar ningún defecto por lo que descartó cualquier error en su rotulado.</w:t>
      </w:r>
    </w:p>
    <w:p w:rsidR="00F932A2" w:rsidRPr="002D3E30" w:rsidRDefault="00F932A2" w:rsidP="00F932A2">
      <w:pPr>
        <w:jc w:val="both"/>
        <w:rPr>
          <w:rFonts w:ascii="Tahoma" w:hAnsi="Tahoma" w:cs="Tahoma"/>
        </w:rPr>
      </w:pPr>
    </w:p>
    <w:p w:rsidR="00F932A2" w:rsidRPr="002D3E30" w:rsidRDefault="00F932A2" w:rsidP="00F932A2">
      <w:pPr>
        <w:numPr>
          <w:ilvl w:val="0"/>
          <w:numId w:val="2"/>
        </w:numPr>
        <w:tabs>
          <w:tab w:val="clear" w:pos="360"/>
          <w:tab w:val="num" w:pos="567"/>
        </w:tabs>
        <w:ind w:left="567" w:hanging="567"/>
        <w:jc w:val="both"/>
        <w:rPr>
          <w:rFonts w:ascii="Tahoma" w:hAnsi="Tahoma" w:cs="Tahoma"/>
        </w:rPr>
      </w:pPr>
      <w:r w:rsidRPr="002D3E30">
        <w:rPr>
          <w:rFonts w:ascii="Tahoma" w:hAnsi="Tahoma" w:cs="Tahoma"/>
        </w:rPr>
        <w:t>El 11 de septiembre el tercero administrado reiteró los argumentos expuestos en la absolución del traslado del recurso de apelación.</w:t>
      </w:r>
    </w:p>
    <w:p w:rsidR="00F932A2" w:rsidRPr="002D3E30" w:rsidRDefault="00F932A2" w:rsidP="00F932A2">
      <w:pPr>
        <w:jc w:val="both"/>
        <w:rPr>
          <w:rFonts w:ascii="Tahoma" w:hAnsi="Tahoma" w:cs="Tahoma"/>
        </w:rPr>
      </w:pPr>
    </w:p>
    <w:p w:rsidR="00F932A2" w:rsidRPr="002D3E30" w:rsidRDefault="00F932A2" w:rsidP="00F932A2">
      <w:pPr>
        <w:numPr>
          <w:ilvl w:val="0"/>
          <w:numId w:val="2"/>
        </w:numPr>
        <w:tabs>
          <w:tab w:val="clear" w:pos="360"/>
          <w:tab w:val="num" w:pos="567"/>
        </w:tabs>
        <w:ind w:left="567" w:hanging="567"/>
        <w:jc w:val="both"/>
        <w:rPr>
          <w:rFonts w:ascii="Tahoma" w:hAnsi="Tahoma" w:cs="Tahoma"/>
        </w:rPr>
      </w:pPr>
      <w:r w:rsidRPr="002D3E30">
        <w:rPr>
          <w:rFonts w:ascii="Tahoma" w:hAnsi="Tahoma" w:cs="Tahoma"/>
        </w:rPr>
        <w:t xml:space="preserve">El 21 de septiembre de 2007 se llevó a cabo </w:t>
      </w:r>
      <w:smartTag w:uri="urn:schemas-microsoft-com:office:smarttags" w:element="PersonName">
        <w:smartTagPr>
          <w:attr w:name="ProductID" w:val="la Audiencia P￺blica"/>
        </w:smartTagPr>
        <w:r w:rsidRPr="002D3E30">
          <w:rPr>
            <w:rFonts w:ascii="Tahoma" w:hAnsi="Tahoma" w:cs="Tahoma"/>
          </w:rPr>
          <w:t>la Audiencia Pública</w:t>
        </w:r>
      </w:smartTag>
      <w:r w:rsidRPr="002D3E30">
        <w:rPr>
          <w:rFonts w:ascii="Tahoma" w:hAnsi="Tahoma" w:cs="Tahoma"/>
        </w:rPr>
        <w:t xml:space="preserve"> con la participación de los representantes de las partes.</w:t>
      </w:r>
    </w:p>
    <w:p w:rsidR="00F932A2" w:rsidRPr="002D3E30" w:rsidRDefault="00F932A2" w:rsidP="00F932A2">
      <w:pPr>
        <w:jc w:val="both"/>
        <w:rPr>
          <w:rFonts w:ascii="Tahoma" w:hAnsi="Tahoma" w:cs="Tahoma"/>
        </w:rPr>
      </w:pPr>
    </w:p>
    <w:p w:rsidR="00F932A2" w:rsidRPr="002D3E30" w:rsidRDefault="00F932A2" w:rsidP="00F932A2">
      <w:pPr>
        <w:numPr>
          <w:ilvl w:val="0"/>
          <w:numId w:val="2"/>
        </w:numPr>
        <w:tabs>
          <w:tab w:val="clear" w:pos="360"/>
          <w:tab w:val="num" w:pos="567"/>
        </w:tabs>
        <w:ind w:left="567" w:hanging="567"/>
        <w:jc w:val="both"/>
        <w:rPr>
          <w:rFonts w:ascii="Tahoma" w:hAnsi="Tahoma" w:cs="Tahoma"/>
        </w:rPr>
      </w:pPr>
      <w:r w:rsidRPr="002D3E30">
        <w:rPr>
          <w:rFonts w:ascii="Tahoma" w:hAnsi="Tahoma" w:cs="Tahoma"/>
        </w:rPr>
        <w:t>El 24 de septiembre de 2007, el Expediente se declaró expedito para resolver.</w:t>
      </w:r>
    </w:p>
    <w:p w:rsidR="00F932A2" w:rsidRPr="002D3E30" w:rsidRDefault="00F932A2" w:rsidP="00F932A2">
      <w:pPr>
        <w:jc w:val="both"/>
        <w:rPr>
          <w:rFonts w:ascii="Tahoma" w:hAnsi="Tahoma" w:cs="Tahoma"/>
        </w:rPr>
      </w:pPr>
    </w:p>
    <w:p w:rsidR="00F932A2" w:rsidRPr="002D3E30" w:rsidRDefault="00F932A2" w:rsidP="00F932A2">
      <w:pPr>
        <w:numPr>
          <w:ilvl w:val="0"/>
          <w:numId w:val="2"/>
        </w:numPr>
        <w:tabs>
          <w:tab w:val="clear" w:pos="360"/>
          <w:tab w:val="num" w:pos="567"/>
        </w:tabs>
        <w:ind w:left="567" w:hanging="567"/>
        <w:jc w:val="both"/>
        <w:rPr>
          <w:rFonts w:ascii="Tahoma" w:hAnsi="Tahoma" w:cs="Tahoma"/>
        </w:rPr>
      </w:pPr>
      <w:r w:rsidRPr="002D3E30">
        <w:rPr>
          <w:rFonts w:ascii="Tahoma" w:hAnsi="Tahoma" w:cs="Tahoma"/>
        </w:rPr>
        <w:t>El 21 de septiembre de 2007, el Impugnante sostuvo que el protocolo de análisis se refería a un producto que analizaba 13 tipos de droga. Sin embargo, el producto ofrecido analizaba 3 tipos de droga, por lo que no había correspondencia entre uno y otro.</w:t>
      </w:r>
    </w:p>
    <w:p w:rsidR="00F932A2" w:rsidRPr="002D3E30" w:rsidRDefault="00F932A2" w:rsidP="00F932A2">
      <w:pPr>
        <w:jc w:val="both"/>
        <w:rPr>
          <w:rFonts w:ascii="Tahoma" w:hAnsi="Tahoma" w:cs="Tahoma"/>
        </w:rPr>
      </w:pPr>
    </w:p>
    <w:p w:rsidR="00F932A2" w:rsidRPr="002D3E30" w:rsidRDefault="00F932A2" w:rsidP="00F932A2">
      <w:pPr>
        <w:numPr>
          <w:ilvl w:val="0"/>
          <w:numId w:val="2"/>
        </w:numPr>
        <w:tabs>
          <w:tab w:val="clear" w:pos="360"/>
          <w:tab w:val="num" w:pos="567"/>
        </w:tabs>
        <w:ind w:left="567" w:hanging="567"/>
        <w:jc w:val="both"/>
        <w:rPr>
          <w:rFonts w:ascii="Tahoma" w:hAnsi="Tahoma" w:cs="Tahoma"/>
        </w:rPr>
      </w:pPr>
      <w:r w:rsidRPr="002D3E30">
        <w:rPr>
          <w:rFonts w:ascii="Tahoma" w:hAnsi="Tahoma" w:cs="Tahoma"/>
        </w:rPr>
        <w:t>El 24 de septiembre de 2007, el Tercero Administrado sostuvo que su muestra si cumplía con todos los requisitos establecidos en las Bases, para lo cual adjuntó una nueva muestra.</w:t>
      </w:r>
    </w:p>
    <w:p w:rsidR="00F932A2" w:rsidRDefault="00F932A2" w:rsidP="00F932A2">
      <w:pPr>
        <w:jc w:val="both"/>
        <w:rPr>
          <w:rFonts w:ascii="Tahoma" w:hAnsi="Tahoma" w:cs="Tahoma"/>
          <w:b/>
          <w:lang w:val="es-ES_tradnl"/>
        </w:rPr>
      </w:pPr>
    </w:p>
    <w:p w:rsidR="00F932A2" w:rsidRDefault="00F932A2" w:rsidP="00F932A2">
      <w:pPr>
        <w:jc w:val="both"/>
        <w:rPr>
          <w:rFonts w:ascii="Tahoma" w:hAnsi="Tahoma" w:cs="Tahoma"/>
          <w:b/>
          <w:lang w:val="es-ES_tradnl"/>
        </w:rPr>
      </w:pPr>
    </w:p>
    <w:p w:rsidR="00F932A2" w:rsidRPr="002D3E30" w:rsidRDefault="00F932A2" w:rsidP="00F932A2">
      <w:pPr>
        <w:jc w:val="both"/>
        <w:rPr>
          <w:rFonts w:ascii="Tahoma" w:hAnsi="Tahoma" w:cs="Tahoma"/>
          <w:b/>
          <w:lang w:val="es-ES_tradnl"/>
        </w:rPr>
      </w:pPr>
    </w:p>
    <w:p w:rsidR="00F932A2" w:rsidRPr="002F6F8A" w:rsidRDefault="00F932A2" w:rsidP="00F932A2">
      <w:pPr>
        <w:pStyle w:val="Textoindependiente3"/>
        <w:spacing w:after="0"/>
        <w:rPr>
          <w:rFonts w:ascii="Tahoma" w:hAnsi="Tahoma" w:cs="Tahoma"/>
          <w:b/>
          <w:sz w:val="20"/>
          <w:szCs w:val="20"/>
        </w:rPr>
      </w:pPr>
      <w:r w:rsidRPr="002F6F8A">
        <w:rPr>
          <w:rFonts w:ascii="Tahoma" w:hAnsi="Tahoma" w:cs="Tahoma"/>
          <w:b/>
          <w:sz w:val="20"/>
          <w:szCs w:val="20"/>
        </w:rPr>
        <w:t>FUNDAMENTOS:</w:t>
      </w:r>
    </w:p>
    <w:p w:rsidR="00F932A2" w:rsidRPr="002F6F8A" w:rsidRDefault="00F932A2" w:rsidP="00F932A2">
      <w:pPr>
        <w:pStyle w:val="Textoindependiente3"/>
        <w:spacing w:after="0"/>
        <w:rPr>
          <w:rFonts w:ascii="Tahoma" w:hAnsi="Tahoma" w:cs="Tahoma"/>
          <w:b/>
          <w:sz w:val="20"/>
          <w:szCs w:val="20"/>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Es materia del presente procedimiento el cuestionamiento que ha planteado el postor MONT GROUP S.A.C. contra el otorgamiento de la buena pro del ítem 5 de </w:t>
      </w:r>
      <w:smartTag w:uri="urn:schemas-microsoft-com:office:smarttags" w:element="PersonName">
        <w:smartTagPr>
          <w:attr w:name="ProductID" w:val="la Adjudicaci￳n Directa"/>
        </w:smartTagPr>
        <w:r w:rsidRPr="002D3E30">
          <w:rPr>
            <w:rFonts w:ascii="Tahoma" w:hAnsi="Tahoma" w:cs="Tahoma"/>
          </w:rPr>
          <w:t>la Adjudicación Directa</w:t>
        </w:r>
      </w:smartTag>
      <w:r w:rsidRPr="002D3E30">
        <w:rPr>
          <w:rFonts w:ascii="Tahoma" w:hAnsi="Tahoma" w:cs="Tahoma"/>
        </w:rPr>
        <w:t xml:space="preserve"> Selectiva № 0016-2007-SESAN/FAP convocada por </w:t>
      </w:r>
      <w:smartTag w:uri="urn:schemas-microsoft-com:office:smarttags" w:element="PersonName">
        <w:smartTagPr>
          <w:attr w:name="ProductID" w:val="la Fuerza A￩rea"/>
        </w:smartTagPr>
        <w:r w:rsidRPr="002D3E30">
          <w:rPr>
            <w:rFonts w:ascii="Tahoma" w:hAnsi="Tahoma" w:cs="Tahoma"/>
          </w:rPr>
          <w:t>la Fuerza Aérea</w:t>
        </w:r>
      </w:smartTag>
      <w:r w:rsidRPr="002D3E30">
        <w:rPr>
          <w:rFonts w:ascii="Tahoma" w:hAnsi="Tahoma" w:cs="Tahoma"/>
        </w:rPr>
        <w:t xml:space="preserve"> del Perú para la “Adquisición de Material para el Programa de ETS/VIH y Drogas”.</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Conforme fluye de los antecedentes reseñados, el asunto controvertido está referido a la descalificación del postor ganador de la buena pro, de manera que corresponde que este Colegiado determine si lo solicitado por el Impugnante tiene amparo en las Bases y las normas que rigen la contratación pública.</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Sobre el particular, debe tenerse en cuenta que constituye facultad y responsabilidad de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la determinación tanto del requerimiento del bien que pretende contratar como de sus especificaciones técnicas, las cuales, de conformidad con el artículo 29 del Reglamento, conforman la descripción de las características fundamentales que dicho bien debe cumplir.</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40"/>
        </w:tabs>
        <w:ind w:left="540" w:hanging="540"/>
        <w:jc w:val="both"/>
        <w:rPr>
          <w:rFonts w:ascii="Tahoma" w:hAnsi="Tahoma" w:cs="Tahoma"/>
        </w:rPr>
      </w:pPr>
      <w:r w:rsidRPr="002D3E30">
        <w:rPr>
          <w:rFonts w:ascii="Tahoma" w:hAnsi="Tahoma" w:cs="Tahoma"/>
        </w:rPr>
        <w:t xml:space="preserve">En este sentido, las Bases constituyen las reglas del proceso de selección y es en función de ellas que debe efectuarse la calificación y evaluación de las propuestas, conforme a lo dispuesto en el artículo 25 de </w:t>
      </w:r>
      <w:smartTag w:uri="urn:schemas-microsoft-com:office:smarttags" w:element="PersonName">
        <w:smartTagPr>
          <w:attr w:name="ProductID" w:val="la Ley"/>
        </w:smartTagPr>
        <w:r w:rsidRPr="002D3E30">
          <w:rPr>
            <w:rFonts w:ascii="Tahoma" w:hAnsi="Tahoma" w:cs="Tahoma"/>
          </w:rPr>
          <w:t>la Ley</w:t>
        </w:r>
      </w:smartTag>
      <w:r w:rsidRPr="002D3E30">
        <w:rPr>
          <w:rFonts w:ascii="Tahoma" w:hAnsi="Tahoma" w:cs="Tahoma"/>
        </w:rPr>
        <w:t xml:space="preserve"> de Contrataciones y Adquisiciones del Estado, el cual prescribe que lo establecido en las Bases, en la presente Ley y su Reglamento obliga a todos los postores y a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convocante. Asimismo, el artículo 117 del citado Reglamento consigna que, absueltas todas las consultas y observaciones, o si las mismas no se han presentado, las Bases quedarán integradas como reglas definitivas del proceso de selección. Así, tanto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como los postores están obligados a cumplir con lo dispuesto en las Bases, teniendo el Comité Especial el deber de calificar las propuestas de acuerdo a lo especificado en ellas.</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40"/>
        </w:tabs>
        <w:ind w:left="540" w:hanging="540"/>
        <w:jc w:val="both"/>
        <w:rPr>
          <w:rFonts w:ascii="Tahoma" w:hAnsi="Tahoma" w:cs="Tahoma"/>
        </w:rPr>
      </w:pPr>
      <w:r w:rsidRPr="002D3E30">
        <w:rPr>
          <w:rFonts w:ascii="Tahoma" w:hAnsi="Tahoma" w:cs="Tahoma"/>
        </w:rPr>
        <w:t>Sobre el particular, e</w:t>
      </w:r>
      <w:r w:rsidRPr="002D3E30">
        <w:rPr>
          <w:rFonts w:ascii="Tahoma" w:hAnsi="Tahoma" w:cs="Tahoma"/>
          <w:lang w:val="es-ES_tradnl"/>
        </w:rPr>
        <w:t xml:space="preserve">l artículo 62 del Reglamento establece que los </w:t>
      </w:r>
      <w:r w:rsidRPr="002D3E30">
        <w:rPr>
          <w:rFonts w:ascii="Tahoma" w:hAnsi="Tahoma" w:cs="Tahoma"/>
          <w:bCs/>
        </w:rPr>
        <w:t>requerimientos técnicos mínimos son las normas reglamentarias y cualquier otro requisito establecido como tal en las Bases y en las disposiciones legales que regulan el objeto materia de la adquisición o contratación</w:t>
      </w:r>
      <w:r w:rsidRPr="002D3E30">
        <w:rPr>
          <w:rFonts w:ascii="Tahoma" w:hAnsi="Tahoma" w:cs="Tahoma"/>
          <w:lang w:val="es-ES_tradnl"/>
        </w:rPr>
        <w:t xml:space="preserve">. </w:t>
      </w:r>
      <w:r w:rsidRPr="002D3E30">
        <w:rPr>
          <w:rFonts w:ascii="Tahoma" w:hAnsi="Tahoma" w:cs="Tahoma"/>
        </w:rPr>
        <w:t>Asimismo, el artículo 63</w:t>
      </w:r>
      <w:r w:rsidRPr="002D3E30">
        <w:rPr>
          <w:rFonts w:ascii="Tahoma" w:hAnsi="Tahoma" w:cs="Tahoma"/>
          <w:lang w:val="es-ES_tradnl"/>
        </w:rPr>
        <w:t xml:space="preserve"> del mismo cuerpo legal</w:t>
      </w:r>
      <w:r w:rsidRPr="002D3E30">
        <w:rPr>
          <w:rFonts w:ascii="Tahoma" w:hAnsi="Tahoma" w:cs="Tahoma"/>
        </w:rPr>
        <w:t xml:space="preserve"> prescribe que los postores participantes de un proceso de selección deben cumplir y acreditar los requerimientos técnicos mínimos para que sus propuestas puedan ser admitidas y posteriormente evaluadas técnica y económicamente.</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40"/>
        </w:tabs>
        <w:ind w:left="540" w:hanging="540"/>
        <w:jc w:val="both"/>
        <w:rPr>
          <w:rFonts w:ascii="Tahoma" w:hAnsi="Tahoma" w:cs="Tahoma"/>
        </w:rPr>
      </w:pPr>
      <w:r w:rsidRPr="002D3E30">
        <w:rPr>
          <w:rFonts w:ascii="Tahoma" w:hAnsi="Tahoma" w:cs="Tahoma"/>
        </w:rPr>
        <w:t xml:space="preserve">De las disposiciones glosadas, se desprende que para la evaluación de las propuestas debe considerarse dos aspectos claramente diferenciados: por un lado, los </w:t>
      </w:r>
      <w:r w:rsidRPr="002D3E30">
        <w:rPr>
          <w:rFonts w:ascii="Tahoma" w:hAnsi="Tahoma" w:cs="Tahoma"/>
          <w:bCs/>
        </w:rPr>
        <w:t>requerimientos técnicos mínimos</w:t>
      </w:r>
      <w:r w:rsidRPr="002D3E30">
        <w:rPr>
          <w:rFonts w:ascii="Tahoma" w:hAnsi="Tahoma" w:cs="Tahoma"/>
        </w:rPr>
        <w:t xml:space="preserve">, cuya función es la de asegurar a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que el postor cumple con las características mínimas de idoneidad para ejecutar adecuadamente el objeto de la contratación y que el bien ofrecido se adecua al estándar mínimo solicitado a fin de satisfacer las necesidades de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habilitando con ello a las propuestas que ingresarán en competencia y que serán evaluadas posteriormente; y, por el otro, los </w:t>
      </w:r>
      <w:r w:rsidRPr="002D3E30">
        <w:rPr>
          <w:rFonts w:ascii="Tahoma" w:hAnsi="Tahoma" w:cs="Tahoma"/>
          <w:bCs/>
        </w:rPr>
        <w:t>factores de evaluación</w:t>
      </w:r>
      <w:r w:rsidRPr="002D3E30">
        <w:rPr>
          <w:rFonts w:ascii="Tahoma" w:hAnsi="Tahoma" w:cs="Tahoma"/>
        </w:rPr>
        <w:t>, que contienen los elementos a partir de los cuales se asignará puntaje con el motivo de determinar la oferta más óptima en calidad y precio.</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lastRenderedPageBreak/>
        <w:t xml:space="preserve">Al respecto, el literal a) de </w:t>
      </w:r>
      <w:smartTag w:uri="urn:schemas-microsoft-com:office:smarttags" w:element="PersonName">
        <w:smartTagPr>
          <w:attr w:name="ProductID" w:val="la Secci￳n IV"/>
        </w:smartTagPr>
        <w:smartTag w:uri="urn:schemas-microsoft-com:office:smarttags" w:element="PersonName">
          <w:smartTagPr>
            <w:attr w:name="ProductID" w:val="la Secci￳n"/>
          </w:smartTagPr>
          <w:r w:rsidRPr="002D3E30">
            <w:rPr>
              <w:rFonts w:ascii="Tahoma" w:hAnsi="Tahoma" w:cs="Tahoma"/>
            </w:rPr>
            <w:t>la Sección</w:t>
          </w:r>
        </w:smartTag>
        <w:r w:rsidRPr="002D3E30">
          <w:rPr>
            <w:rFonts w:ascii="Tahoma" w:hAnsi="Tahoma" w:cs="Tahoma"/>
          </w:rPr>
          <w:t xml:space="preserve"> IV</w:t>
        </w:r>
      </w:smartTag>
      <w:r w:rsidRPr="002D3E30">
        <w:rPr>
          <w:rFonts w:ascii="Tahoma" w:hAnsi="Tahoma" w:cs="Tahoma"/>
        </w:rPr>
        <w:t xml:space="preserve"> del Capítulo III “</w:t>
      </w:r>
      <w:r w:rsidRPr="002D3E30">
        <w:rPr>
          <w:rFonts w:ascii="Tahoma" w:hAnsi="Tahoma" w:cs="Tahoma"/>
          <w:i/>
        </w:rPr>
        <w:t xml:space="preserve">De </w:t>
      </w:r>
      <w:smartTag w:uri="urn:schemas-microsoft-com:office:smarttags" w:element="PersonName">
        <w:smartTagPr>
          <w:attr w:name="ProductID" w:val="la Presentaci￳n"/>
        </w:smartTagPr>
        <w:r w:rsidRPr="002D3E30">
          <w:rPr>
            <w:rFonts w:ascii="Tahoma" w:hAnsi="Tahoma" w:cs="Tahoma"/>
            <w:i/>
          </w:rPr>
          <w:t>la Presentación</w:t>
        </w:r>
      </w:smartTag>
      <w:r w:rsidRPr="002D3E30">
        <w:rPr>
          <w:rFonts w:ascii="Tahoma" w:hAnsi="Tahoma" w:cs="Tahoma"/>
          <w:i/>
        </w:rPr>
        <w:t xml:space="preserve"> de Muestras</w:t>
      </w:r>
      <w:r w:rsidRPr="002D3E30">
        <w:rPr>
          <w:rFonts w:ascii="Tahoma" w:hAnsi="Tahoma" w:cs="Tahoma"/>
        </w:rPr>
        <w:t xml:space="preserve">” de las Bases, precisa que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al momento de la entrega de los productos verificará que contengan como mínimo:</w:t>
      </w:r>
    </w:p>
    <w:p w:rsidR="00F932A2" w:rsidRPr="002D3E30" w:rsidRDefault="00F932A2" w:rsidP="00F932A2">
      <w:pPr>
        <w:jc w:val="both"/>
        <w:rPr>
          <w:rFonts w:ascii="Tahoma" w:hAnsi="Tahoma" w:cs="Tahoma"/>
        </w:rPr>
      </w:pPr>
    </w:p>
    <w:p w:rsidR="00F932A2" w:rsidRPr="002D3E30" w:rsidRDefault="00F932A2" w:rsidP="00F932A2">
      <w:pPr>
        <w:ind w:left="567"/>
        <w:jc w:val="both"/>
        <w:rPr>
          <w:rFonts w:ascii="Tahoma" w:hAnsi="Tahoma" w:cs="Tahoma"/>
          <w:i/>
        </w:rPr>
      </w:pPr>
      <w:r w:rsidRPr="002D3E30">
        <w:rPr>
          <w:rFonts w:ascii="Tahoma" w:hAnsi="Tahoma" w:cs="Tahoma"/>
          <w:i/>
        </w:rPr>
        <w:t>“a) El envase inmediato o Primario (Contiene directamente el ítem) y el envase mediato o secundario (Contiene varios envases primarios), lo cuales tendrán que indicar los siguientes datos:</w:t>
      </w:r>
    </w:p>
    <w:p w:rsidR="00F932A2" w:rsidRPr="002D3E30" w:rsidRDefault="00F932A2" w:rsidP="00F932A2">
      <w:pPr>
        <w:jc w:val="both"/>
        <w:rPr>
          <w:rFonts w:ascii="Tahoma" w:hAnsi="Tahoma" w:cs="Tahoma"/>
          <w:i/>
        </w:rPr>
      </w:pPr>
    </w:p>
    <w:p w:rsidR="00F932A2" w:rsidRPr="002D3E30" w:rsidRDefault="00F932A2" w:rsidP="00F932A2">
      <w:pPr>
        <w:ind w:firstLine="567"/>
        <w:jc w:val="both"/>
        <w:rPr>
          <w:rFonts w:ascii="Tahoma" w:hAnsi="Tahoma" w:cs="Tahoma"/>
          <w:i/>
        </w:rPr>
      </w:pPr>
      <w:r w:rsidRPr="002D3E30">
        <w:rPr>
          <w:rFonts w:ascii="Tahoma" w:hAnsi="Tahoma" w:cs="Tahoma"/>
          <w:i/>
        </w:rPr>
        <w:t>-Nombre del producto</w:t>
      </w:r>
    </w:p>
    <w:p w:rsidR="00F932A2" w:rsidRPr="002D3E30" w:rsidRDefault="00F932A2" w:rsidP="00F932A2">
      <w:pPr>
        <w:jc w:val="both"/>
        <w:rPr>
          <w:rFonts w:ascii="Tahoma" w:hAnsi="Tahoma" w:cs="Tahoma"/>
          <w:i/>
        </w:rPr>
      </w:pPr>
    </w:p>
    <w:p w:rsidR="00F932A2" w:rsidRPr="002D3E30" w:rsidRDefault="00F932A2" w:rsidP="00F932A2">
      <w:pPr>
        <w:ind w:firstLine="567"/>
        <w:jc w:val="both"/>
        <w:rPr>
          <w:rFonts w:ascii="Tahoma" w:hAnsi="Tahoma" w:cs="Tahoma"/>
          <w:i/>
        </w:rPr>
      </w:pPr>
      <w:r w:rsidRPr="002D3E30">
        <w:rPr>
          <w:rFonts w:ascii="Tahoma" w:hAnsi="Tahoma" w:cs="Tahoma"/>
          <w:i/>
        </w:rPr>
        <w:t>-Número de lote</w:t>
      </w:r>
    </w:p>
    <w:p w:rsidR="00F932A2" w:rsidRPr="002D3E30" w:rsidRDefault="00F932A2" w:rsidP="00F932A2">
      <w:pPr>
        <w:jc w:val="both"/>
        <w:rPr>
          <w:rFonts w:ascii="Tahoma" w:hAnsi="Tahoma" w:cs="Tahoma"/>
          <w:i/>
        </w:rPr>
      </w:pPr>
    </w:p>
    <w:p w:rsidR="00F932A2" w:rsidRPr="002D3E30" w:rsidRDefault="00F932A2" w:rsidP="00F932A2">
      <w:pPr>
        <w:ind w:firstLine="567"/>
        <w:jc w:val="both"/>
        <w:rPr>
          <w:rFonts w:ascii="Tahoma" w:hAnsi="Tahoma" w:cs="Tahoma"/>
          <w:i/>
        </w:rPr>
      </w:pPr>
      <w:r w:rsidRPr="002D3E30">
        <w:rPr>
          <w:rFonts w:ascii="Tahoma" w:hAnsi="Tahoma" w:cs="Tahoma"/>
          <w:i/>
        </w:rPr>
        <w:t>-Fecha de vencimiento (Mes y año)</w:t>
      </w:r>
    </w:p>
    <w:p w:rsidR="00F932A2" w:rsidRPr="002D3E30" w:rsidRDefault="00F932A2" w:rsidP="00F932A2">
      <w:pPr>
        <w:jc w:val="both"/>
        <w:rPr>
          <w:rFonts w:ascii="Tahoma" w:hAnsi="Tahoma" w:cs="Tahoma"/>
          <w:i/>
        </w:rPr>
      </w:pPr>
    </w:p>
    <w:p w:rsidR="00F932A2" w:rsidRPr="002D3E30" w:rsidRDefault="00F932A2" w:rsidP="00F932A2">
      <w:pPr>
        <w:ind w:firstLine="567"/>
        <w:jc w:val="both"/>
        <w:rPr>
          <w:rFonts w:ascii="Tahoma" w:hAnsi="Tahoma" w:cs="Tahoma"/>
          <w:i/>
        </w:rPr>
      </w:pPr>
      <w:r w:rsidRPr="002D3E30">
        <w:rPr>
          <w:rFonts w:ascii="Tahoma" w:hAnsi="Tahoma" w:cs="Tahoma"/>
          <w:i/>
        </w:rPr>
        <w:t>-Registro sanitario</w:t>
      </w:r>
    </w:p>
    <w:p w:rsidR="00F932A2" w:rsidRPr="002D3E30" w:rsidRDefault="00F932A2" w:rsidP="00F932A2">
      <w:pPr>
        <w:ind w:firstLine="567"/>
        <w:jc w:val="both"/>
        <w:rPr>
          <w:rFonts w:ascii="Tahoma" w:hAnsi="Tahoma" w:cs="Tahoma"/>
          <w:i/>
        </w:rPr>
      </w:pPr>
    </w:p>
    <w:p w:rsidR="00F932A2" w:rsidRPr="002D3E30" w:rsidRDefault="00F932A2" w:rsidP="00F932A2">
      <w:pPr>
        <w:ind w:firstLine="567"/>
        <w:jc w:val="both"/>
        <w:rPr>
          <w:rFonts w:ascii="Tahoma" w:hAnsi="Tahoma" w:cs="Tahoma"/>
        </w:rPr>
      </w:pPr>
      <w:r w:rsidRPr="002D3E30">
        <w:rPr>
          <w:rFonts w:ascii="Tahoma" w:hAnsi="Tahoma" w:cs="Tahoma"/>
          <w:i/>
        </w:rPr>
        <w:t>- Cuando corresponda, advertencias de la autoridad sanitaria”</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Asimismo, el numeral 8 de la de </w:t>
      </w:r>
      <w:smartTag w:uri="urn:schemas-microsoft-com:office:smarttags" w:element="PersonName">
        <w:smartTagPr>
          <w:attr w:name="ProductID" w:val="la Secci￳n IV"/>
        </w:smartTagPr>
        <w:smartTag w:uri="urn:schemas-microsoft-com:office:smarttags" w:element="PersonName">
          <w:smartTagPr>
            <w:attr w:name="ProductID" w:val="la Secci￳n"/>
          </w:smartTagPr>
          <w:r w:rsidRPr="002D3E30">
            <w:rPr>
              <w:rFonts w:ascii="Tahoma" w:hAnsi="Tahoma" w:cs="Tahoma"/>
            </w:rPr>
            <w:t>la Sección</w:t>
          </w:r>
        </w:smartTag>
        <w:r w:rsidRPr="002D3E30">
          <w:rPr>
            <w:rFonts w:ascii="Tahoma" w:hAnsi="Tahoma" w:cs="Tahoma"/>
          </w:rPr>
          <w:t xml:space="preserve"> IV</w:t>
        </w:r>
      </w:smartTag>
      <w:r w:rsidRPr="002D3E30">
        <w:rPr>
          <w:rFonts w:ascii="Tahoma" w:hAnsi="Tahoma" w:cs="Tahoma"/>
        </w:rPr>
        <w:t xml:space="preserve"> del Capítulo III “</w:t>
      </w:r>
      <w:r w:rsidRPr="002D3E30">
        <w:rPr>
          <w:rFonts w:ascii="Tahoma" w:hAnsi="Tahoma" w:cs="Tahoma"/>
          <w:i/>
        </w:rPr>
        <w:t xml:space="preserve">De </w:t>
      </w:r>
      <w:smartTag w:uri="urn:schemas-microsoft-com:office:smarttags" w:element="PersonName">
        <w:smartTagPr>
          <w:attr w:name="ProductID" w:val="la Presentaci￳n"/>
        </w:smartTagPr>
        <w:r w:rsidRPr="002D3E30">
          <w:rPr>
            <w:rFonts w:ascii="Tahoma" w:hAnsi="Tahoma" w:cs="Tahoma"/>
            <w:i/>
          </w:rPr>
          <w:t>la Presentación</w:t>
        </w:r>
      </w:smartTag>
      <w:r w:rsidRPr="002D3E30">
        <w:rPr>
          <w:rFonts w:ascii="Tahoma" w:hAnsi="Tahoma" w:cs="Tahoma"/>
          <w:i/>
        </w:rPr>
        <w:t xml:space="preserve"> de Muestras</w:t>
      </w:r>
      <w:r w:rsidRPr="002D3E30">
        <w:rPr>
          <w:rFonts w:ascii="Tahoma" w:hAnsi="Tahoma" w:cs="Tahoma"/>
        </w:rPr>
        <w:t>” de las Bases, dispone que serán descalificados los postores cuyas muestras que no cumplan con los requisitos señalados en las Bases, indicando que los postores que presenten problemas para incluir todo la información requerida, debido al tamaño de su muestra, debían efectuar su consulta al Comité Especial.</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Por su parte, el ganador de la buena pro presentó su muestra en envase inmediato o primario, el cual no presentaba impresa la fecha de vencimiento del producto ni el número de registro sanitario, indicando en su absolución del recurso de apelación que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había determinado que su muestra era correcta.</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Con relación a ello,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sostiene que la información contenida en la muestra es la necesaria y suficiente para la evaluación del producto y que los datos faltantes son relevantes sólo para la etapa de ejecución del contrato.</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Debe tenerse presente que las Bases establecieron como requisito técnico mínimo la presentación de muestras. Asimismo, estas exigían a los postores que dichas muestras debían cumplir con las características de rotulado especificadas en el literal a) de </w:t>
      </w:r>
      <w:smartTag w:uri="urn:schemas-microsoft-com:office:smarttags" w:element="PersonName">
        <w:smartTagPr>
          <w:attr w:name="ProductID" w:val="la Secci￳n IV"/>
        </w:smartTagPr>
        <w:smartTag w:uri="urn:schemas-microsoft-com:office:smarttags" w:element="PersonName">
          <w:smartTagPr>
            <w:attr w:name="ProductID" w:val="la Secci￳n"/>
          </w:smartTagPr>
          <w:r w:rsidRPr="002D3E30">
            <w:rPr>
              <w:rFonts w:ascii="Tahoma" w:hAnsi="Tahoma" w:cs="Tahoma"/>
            </w:rPr>
            <w:t>la Sección</w:t>
          </w:r>
        </w:smartTag>
        <w:r w:rsidRPr="002D3E30">
          <w:rPr>
            <w:rFonts w:ascii="Tahoma" w:hAnsi="Tahoma" w:cs="Tahoma"/>
          </w:rPr>
          <w:t xml:space="preserve"> IV</w:t>
        </w:r>
      </w:smartTag>
      <w:r w:rsidRPr="002D3E30">
        <w:rPr>
          <w:rFonts w:ascii="Tahoma" w:hAnsi="Tahoma" w:cs="Tahoma"/>
        </w:rPr>
        <w:t xml:space="preserve"> del Capítulo III titulado “</w:t>
      </w:r>
      <w:r w:rsidRPr="002D3E30">
        <w:rPr>
          <w:rFonts w:ascii="Tahoma" w:hAnsi="Tahoma" w:cs="Tahoma"/>
          <w:i/>
        </w:rPr>
        <w:t xml:space="preserve">De </w:t>
      </w:r>
      <w:smartTag w:uri="urn:schemas-microsoft-com:office:smarttags" w:element="PersonName">
        <w:smartTagPr>
          <w:attr w:name="ProductID" w:val="la Presentaci￳n"/>
        </w:smartTagPr>
        <w:r w:rsidRPr="002D3E30">
          <w:rPr>
            <w:rFonts w:ascii="Tahoma" w:hAnsi="Tahoma" w:cs="Tahoma"/>
            <w:i/>
          </w:rPr>
          <w:t>la Presentación</w:t>
        </w:r>
      </w:smartTag>
      <w:r w:rsidRPr="002D3E30">
        <w:rPr>
          <w:rFonts w:ascii="Tahoma" w:hAnsi="Tahoma" w:cs="Tahoma"/>
          <w:i/>
        </w:rPr>
        <w:t xml:space="preserve"> de Muestras</w:t>
      </w:r>
      <w:r w:rsidRPr="002D3E30">
        <w:rPr>
          <w:rFonts w:ascii="Tahoma" w:hAnsi="Tahoma" w:cs="Tahoma"/>
        </w:rPr>
        <w:t>”. Es más, el numeral 8 de la misma Sección de las Bases dispone la descalificación de los postores cuyas muestras no cumplan con las características anteriormente reseñadas. Por ello, este asunto no es del arbitrio de los postores, quienes debían sujetarse forzosamente a las Bases.</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En suma, las Bases contienen disposiciones expresas cuya naturaleza es de simple adhesión por parte de los postores que conjuntamente con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tienen el deber de respetar las reglas que rigen el proceso. Por tanto, de la revisión de la propuesta técnica del ganador de la buena pro se advierte que éste no respetó lo establecido en las Bases para la presentación de muestras en relación al rotulado del producto, no cumpliendo con las especificaciones técnicas mínimas.</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lastRenderedPageBreak/>
        <w:t>En este punto de análisis debe tenerse en cuenta que si bien la muestra de un producto no necesariamente forma parte del lote que va a ser entregado en la etapa de ejecución contractual, ésta se solicita como modelo de lo que será entregado en caso se gane el proceso de selección, constituyendo una presentación del producto, y como tal debe cumplir con todos los requisitos establecidos en las Bases, debido a que la etapa idónea y pertinente para evaluar la muestra es justamente la referida a la postulación y no a la ejecución. Como resulta lógico, primero se debe evaluar si un producto cumple con los requisitos para otorgar la buena pro, características que serán exigidas en la etapa de ejecución contractual al producto ganador.</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De la misma manera, no debe obviarse que estos requerimientos en cuanto al rotulado de las muestras, fueron solicitados por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xml:space="preserve"> en concordancia con lo dispuesto por el artículo 115 del Reglamento para el Registro Control y Vigilancia Sanitaria de Productos Farmacéuticos y Afines aprobado por Decreto Supremo № 010-97-SA y modificado por Decreto Supremo № 020-2001-SA.</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La información omitida por el postor adjudicatario no es superficial ni baladí, por el contrario es información básica y de suma importancia, que todos los productos farmacéuticos, insumos, instrumental y equipos de uso médico deben contener, pues permite tener conocimiento de manera directa y sin mayor dilación la vida útil del producto, si se encuentra vigente y si se encuentra aprobado por la autoridad sanitaria nacional para su comercialización y uso.</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En consecuencia, del caso de autos se ha verificado que el postor ganador de </w:t>
      </w:r>
      <w:smartTag w:uri="urn:schemas-microsoft-com:office:smarttags" w:element="PersonName">
        <w:smartTagPr>
          <w:attr w:name="ProductID" w:val="la Buena Pro"/>
        </w:smartTagPr>
        <w:r w:rsidRPr="002D3E30">
          <w:rPr>
            <w:rFonts w:ascii="Tahoma" w:hAnsi="Tahoma" w:cs="Tahoma"/>
          </w:rPr>
          <w:t>la Buena Pro</w:t>
        </w:r>
      </w:smartTag>
      <w:r w:rsidRPr="002D3E30">
        <w:rPr>
          <w:rFonts w:ascii="Tahoma" w:hAnsi="Tahoma" w:cs="Tahoma"/>
        </w:rPr>
        <w:t xml:space="preserve"> no consignó la fecha de vencimiento ni el número de registro sanitario en la muestra entregada para el ítem 5 del presente proceso, incumpliendo de esta manera con lo establecido en las Bases para este tipo de productos, por lo que su propuesta técnica debe ser descalificada.</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40"/>
        </w:tabs>
        <w:ind w:left="540" w:hanging="540"/>
        <w:jc w:val="both"/>
        <w:rPr>
          <w:rFonts w:ascii="Tahoma" w:hAnsi="Tahoma" w:cs="Tahoma"/>
        </w:rPr>
      </w:pPr>
      <w:r w:rsidRPr="002D3E30">
        <w:rPr>
          <w:rFonts w:ascii="Tahoma" w:hAnsi="Tahoma" w:cs="Tahoma"/>
        </w:rPr>
        <w:t>Sin perjuicio de lo expuesto, el Tercero Administrado remitió una nueva muestra de su producto con fecha 24 de septiembre de 2007, esta vez conteniendo toda la información requerida por las Bases. Sin embargo, debemos recordar que la muestra objeto de evaluación fue la que originalmente se presentó en el proceso de selección, por lo que no cabe subsanar estos aspectos de manera posterior.</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40"/>
        </w:tabs>
        <w:ind w:left="540" w:hanging="540"/>
        <w:jc w:val="both"/>
        <w:rPr>
          <w:rFonts w:ascii="Tahoma" w:hAnsi="Tahoma" w:cs="Tahoma"/>
        </w:rPr>
      </w:pPr>
      <w:r w:rsidRPr="002D3E30">
        <w:rPr>
          <w:rFonts w:ascii="Tahoma" w:hAnsi="Tahoma" w:cs="Tahoma"/>
        </w:rPr>
        <w:t xml:space="preserve">En este sentido, el proceso de selección es un procedimiento normado, cuyo diseño y estructura contempla etapas o fases sucesivas y </w:t>
      </w:r>
      <w:proofErr w:type="spellStart"/>
      <w:r w:rsidRPr="002D3E30">
        <w:rPr>
          <w:rFonts w:ascii="Tahoma" w:hAnsi="Tahoma" w:cs="Tahoma"/>
        </w:rPr>
        <w:t>preclusivas</w:t>
      </w:r>
      <w:proofErr w:type="spellEnd"/>
      <w:r w:rsidRPr="002D3E30">
        <w:rPr>
          <w:rFonts w:ascii="Tahoma" w:hAnsi="Tahoma" w:cs="Tahoma"/>
        </w:rPr>
        <w:t xml:space="preserve">, de modo que se siga un orden lógico que permita determinar e identificar la mejor propuesta para </w:t>
      </w:r>
      <w:smartTag w:uri="urn:schemas-microsoft-com:office:smarttags" w:element="PersonName">
        <w:smartTagPr>
          <w:attr w:name="ProductID" w:val="la Entidad"/>
        </w:smartTagPr>
        <w:r w:rsidRPr="002D3E30">
          <w:rPr>
            <w:rFonts w:ascii="Tahoma" w:hAnsi="Tahoma" w:cs="Tahoma"/>
          </w:rPr>
          <w:t>la Entidad</w:t>
        </w:r>
      </w:smartTag>
      <w:r w:rsidRPr="002D3E30">
        <w:rPr>
          <w:rFonts w:ascii="Tahoma" w:hAnsi="Tahoma" w:cs="Tahoma"/>
        </w:rPr>
        <w:t>, de manera que la oportunidad para acreditar las condiciones y cualidades del postor o su producto se encuentra dentro del proceso de selección, específicamente en la etapa de evaluación de propuestas, de acuerdo a lo dispuesto expresamente por el inciso 1 del artículo 69 del Reglamento.</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40"/>
        </w:tabs>
        <w:ind w:left="540" w:hanging="540"/>
        <w:jc w:val="both"/>
        <w:rPr>
          <w:rFonts w:ascii="Tahoma" w:hAnsi="Tahoma" w:cs="Tahoma"/>
        </w:rPr>
      </w:pPr>
      <w:r w:rsidRPr="002D3E30">
        <w:rPr>
          <w:rFonts w:ascii="Tahoma" w:hAnsi="Tahoma" w:cs="Tahoma"/>
        </w:rPr>
        <w:t>Cabe destacar que la formulación y presentación de la propuesta técnica es de entera y exclusiva responsabilidad de cada postor, por lo que las consecuencias de cualquier deficiencia o defecto en su elaboración o en los documentos que la integran, deben ser asumidas por aquél, sin que los demás competidores se vean perjudicados por su falta de cuidado o diligencia.</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lastRenderedPageBreak/>
        <w:t xml:space="preserve">Por otro lado, </w:t>
      </w:r>
      <w:smartTag w:uri="urn:schemas-microsoft-com:office:smarttags" w:element="PersonName">
        <w:smartTagPr>
          <w:attr w:name="ProductID" w:val="la Impugnante"/>
        </w:smartTagPr>
        <w:r w:rsidRPr="002D3E30">
          <w:rPr>
            <w:rFonts w:ascii="Tahoma" w:hAnsi="Tahoma" w:cs="Tahoma"/>
          </w:rPr>
          <w:t>la Impugnante</w:t>
        </w:r>
      </w:smartTag>
      <w:r w:rsidRPr="002D3E30">
        <w:rPr>
          <w:rFonts w:ascii="Tahoma" w:hAnsi="Tahoma" w:cs="Tahoma"/>
        </w:rPr>
        <w:t xml:space="preserve"> sostuvo que el postor adjudicatario debió ser descalificado por no presentar la traducción de su Certificado de Análisis. Respecto a este punto, el artículo 119 del Reglamento dispone que todos los documentos que contienen información esencial de las propuestas deben presentarse en idioma castellano o en su defecto acompañados de traducción oficial.</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En este sentido, las traducciones pueden ser solicitadas respecto de documentos efectivamente presentados. No debe soslayarse el hecho de que si bien las traducciones deben ser presentadas, en los casos de documentos redactados en idiomas distintos al castellano, tales traducciones no son independientes del documento principal requerido en las Bases sino que son accesorias a él, pues permiten tomar conocimiento cabal del contenido del documento principal traducido. Es decir, que tienen razón de ser siempre y cuando se hayan presentado los originales en la propuesta.</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Sobre el particular, el artículo 125 del Reglamento establece que si existieran defectos de forma tales como omisiones o errores subsanables en los documentos presentados que no modifiquen el alcance de la propuesta técnica, el Comité Especial otorgará un plazo máximo de dos (2) días, desde el día siguiente de la notificación para que el postor los subsane, en cuyo caso la propuesta continuará vigente para todo efecto, a condición de la efectiva enmienda del defecto encontrado dentro del plazo previsto.</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Consecuencia de este razonamiento es que la falta de presentación de la traducción es una omisión referida a un documento presentado, que no modifica el alcance de la propuesta y en los términos del artículo 125 del Reglamento es pasible, por lo tanto, de subsanación.</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Esta posición respecto a la subsanación de la traducción de documentos presentados en idioma distinto al castellano, ha sido sustentada por el  Tribunal a través de reiterada jurisprudencia, en la que se incluye las Resoluciones N.° 593/2003.TC-S1, N.° 229/2006.TC-SU y el Acuerdo de Sala Plena del Tribunal N.° 016/10 del 4 de septiembre de 2002, que si bien se refiere a una norma ya derogada, mantiene la misma línea interpretativa respecto a la subsanación de documentos efectivamente presentados.</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En lo referido a la falta de identidad entre el número de lote de la muestra y el del Certificado de Análisis del ganador de la buena pro, debemos acotar que del análisis de los documentos que se encuentran comprendidos en la oferta técnica del ganador de la buena pro se advierte que la muestra consigna el lote PM030504A y en el segundo párrafo del Certificado de Análisis hace alusión al lote PM030504A. Asimismo, el nombre del producto es </w:t>
      </w:r>
      <w:proofErr w:type="spellStart"/>
      <w:r w:rsidRPr="002D3E30">
        <w:rPr>
          <w:rFonts w:ascii="Tahoma" w:hAnsi="Tahoma" w:cs="Tahoma"/>
          <w:i/>
        </w:rPr>
        <w:t>Drug</w:t>
      </w:r>
      <w:proofErr w:type="spellEnd"/>
      <w:r w:rsidRPr="002D3E30">
        <w:rPr>
          <w:rFonts w:ascii="Tahoma" w:hAnsi="Tahoma" w:cs="Tahoma"/>
          <w:i/>
        </w:rPr>
        <w:t xml:space="preserve"> </w:t>
      </w:r>
      <w:proofErr w:type="spellStart"/>
      <w:r w:rsidRPr="002D3E30">
        <w:rPr>
          <w:rFonts w:ascii="Tahoma" w:hAnsi="Tahoma" w:cs="Tahoma"/>
          <w:i/>
        </w:rPr>
        <w:t>Check</w:t>
      </w:r>
      <w:proofErr w:type="spellEnd"/>
      <w:r w:rsidRPr="002D3E30">
        <w:rPr>
          <w:rFonts w:ascii="Tahoma" w:hAnsi="Tahoma" w:cs="Tahoma"/>
        </w:rPr>
        <w:t xml:space="preserve"> </w:t>
      </w:r>
      <w:r w:rsidRPr="002D3E30">
        <w:rPr>
          <w:rFonts w:ascii="Tahoma" w:hAnsi="Tahoma" w:cs="Tahoma"/>
          <w:i/>
        </w:rPr>
        <w:t>THC/COC/MDMA Test</w:t>
      </w:r>
      <w:r w:rsidRPr="002D3E30">
        <w:rPr>
          <w:rFonts w:ascii="Tahoma" w:hAnsi="Tahoma" w:cs="Tahoma"/>
        </w:rPr>
        <w:t xml:space="preserve"> el que coincide con el de la muestra, por lo que queda demostrado que no existe incongruencia alguna al respecto.</w:t>
      </w:r>
    </w:p>
    <w:p w:rsidR="00F932A2" w:rsidRPr="002D3E30" w:rsidRDefault="00F932A2" w:rsidP="00F932A2">
      <w:pPr>
        <w:jc w:val="both"/>
        <w:rPr>
          <w:rFonts w:ascii="Tahoma" w:hAnsi="Tahoma" w:cs="Tahoma"/>
        </w:rPr>
      </w:pPr>
    </w:p>
    <w:p w:rsidR="00F932A2" w:rsidRPr="002D3E30" w:rsidRDefault="00F932A2" w:rsidP="00F932A2">
      <w:pPr>
        <w:numPr>
          <w:ilvl w:val="0"/>
          <w:numId w:val="1"/>
        </w:numPr>
        <w:tabs>
          <w:tab w:val="clear" w:pos="720"/>
          <w:tab w:val="num" w:pos="567"/>
        </w:tabs>
        <w:ind w:left="567" w:hanging="567"/>
        <w:jc w:val="both"/>
        <w:rPr>
          <w:rFonts w:ascii="Tahoma" w:hAnsi="Tahoma" w:cs="Tahoma"/>
        </w:rPr>
      </w:pPr>
      <w:r w:rsidRPr="002D3E30">
        <w:rPr>
          <w:rFonts w:ascii="Tahoma" w:hAnsi="Tahoma" w:cs="Tahoma"/>
        </w:rPr>
        <w:t xml:space="preserve">En consecuencia, de los fundamentos expresos anteriormente corresponde declarar fundado el recurso de apelación interpuesto por el postor MONT GROUP S.A.C. y, por su efecto, otorgar a su favor la buena pro del ítem 5 de </w:t>
      </w:r>
      <w:smartTag w:uri="urn:schemas-microsoft-com:office:smarttags" w:element="PersonName">
        <w:smartTagPr>
          <w:attr w:name="ProductID" w:val="la Adjudicaci￳n Directa"/>
        </w:smartTagPr>
        <w:r w:rsidRPr="002D3E30">
          <w:rPr>
            <w:rFonts w:ascii="Tahoma" w:hAnsi="Tahoma" w:cs="Tahoma"/>
          </w:rPr>
          <w:t>la Adjudicación Directa</w:t>
        </w:r>
      </w:smartTag>
      <w:r w:rsidRPr="002D3E30">
        <w:rPr>
          <w:rFonts w:ascii="Tahoma" w:hAnsi="Tahoma" w:cs="Tahoma"/>
        </w:rPr>
        <w:t xml:space="preserve"> Selectiva № 0016-2007-SESAN/FAP, descalificando al postor LKG CLINIMARK S.R.L.</w:t>
      </w:r>
    </w:p>
    <w:p w:rsidR="00F932A2" w:rsidRPr="00FF02EB" w:rsidRDefault="00F932A2" w:rsidP="00F932A2">
      <w:pPr>
        <w:tabs>
          <w:tab w:val="num" w:pos="720"/>
        </w:tabs>
        <w:jc w:val="both"/>
        <w:rPr>
          <w:rFonts w:ascii="Tahoma" w:hAnsi="Tahoma" w:cs="Tahoma"/>
        </w:rPr>
      </w:pPr>
    </w:p>
    <w:p w:rsidR="00F932A2" w:rsidRPr="009D33C5" w:rsidRDefault="00F932A2" w:rsidP="00F932A2">
      <w:pPr>
        <w:jc w:val="both"/>
        <w:rPr>
          <w:rFonts w:ascii="Tahoma" w:hAnsi="Tahoma" w:cs="Tahoma"/>
        </w:rPr>
      </w:pPr>
      <w:r w:rsidRPr="009D33C5">
        <w:rPr>
          <w:rFonts w:ascii="Tahoma" w:hAnsi="Tahoma" w:cs="Tahoma"/>
        </w:rPr>
        <w:t xml:space="preserve">Por estos fundamentos de conformidad con el informe del Vocal Ponente Dr. </w:t>
      </w:r>
      <w:r>
        <w:rPr>
          <w:rFonts w:ascii="Tahoma" w:hAnsi="Tahoma" w:cs="Tahoma"/>
        </w:rPr>
        <w:t xml:space="preserve">Martín Zumaeta </w:t>
      </w:r>
      <w:proofErr w:type="spellStart"/>
      <w:r>
        <w:rPr>
          <w:rFonts w:ascii="Tahoma" w:hAnsi="Tahoma" w:cs="Tahoma"/>
        </w:rPr>
        <w:t>Giuduchi</w:t>
      </w:r>
      <w:proofErr w:type="spellEnd"/>
      <w:r>
        <w:rPr>
          <w:rFonts w:ascii="Tahoma" w:hAnsi="Tahoma" w:cs="Tahoma"/>
        </w:rPr>
        <w:t xml:space="preserve"> </w:t>
      </w:r>
      <w:r w:rsidRPr="009D33C5">
        <w:rPr>
          <w:rFonts w:ascii="Tahoma" w:hAnsi="Tahoma" w:cs="Tahoma"/>
        </w:rPr>
        <w:t>y la intervención de los Vocales Dr</w:t>
      </w:r>
      <w:r>
        <w:rPr>
          <w:rFonts w:ascii="Tahoma" w:hAnsi="Tahoma" w:cs="Tahoma"/>
        </w:rPr>
        <w:t xml:space="preserve">. Carlos Salazar Romero y </w:t>
      </w:r>
      <w:smartTag w:uri="urn:schemas-microsoft-com:office:smarttags" w:element="PersonName">
        <w:smartTagPr>
          <w:attr w:name="ProductID" w:val="la Dra. Monica"/>
        </w:smartTagPr>
        <w:r>
          <w:rPr>
            <w:rFonts w:ascii="Tahoma" w:hAnsi="Tahoma" w:cs="Tahoma"/>
          </w:rPr>
          <w:t>la</w:t>
        </w:r>
        <w:r w:rsidRPr="009D33C5">
          <w:rPr>
            <w:rFonts w:ascii="Tahoma" w:hAnsi="Tahoma" w:cs="Tahoma"/>
          </w:rPr>
          <w:t xml:space="preserve"> </w:t>
        </w:r>
        <w:r>
          <w:rPr>
            <w:rFonts w:ascii="Tahoma" w:hAnsi="Tahoma" w:cs="Tahoma"/>
          </w:rPr>
          <w:t xml:space="preserve">Dra. </w:t>
        </w:r>
        <w:proofErr w:type="spellStart"/>
        <w:r>
          <w:rPr>
            <w:rFonts w:ascii="Tahoma" w:hAnsi="Tahoma" w:cs="Tahoma"/>
          </w:rPr>
          <w:t>Monica</w:t>
        </w:r>
      </w:smartTag>
      <w:proofErr w:type="spellEnd"/>
      <w:r>
        <w:rPr>
          <w:rFonts w:ascii="Tahoma" w:hAnsi="Tahoma" w:cs="Tahoma"/>
        </w:rPr>
        <w:t xml:space="preserve"> Yaya Luyo</w:t>
      </w:r>
      <w:r w:rsidRPr="009D33C5">
        <w:rPr>
          <w:rFonts w:ascii="Tahoma" w:hAnsi="Tahoma" w:cs="Tahoma"/>
        </w:rPr>
        <w:t xml:space="preserve">, atendiendo </w:t>
      </w:r>
      <w:r>
        <w:rPr>
          <w:rFonts w:ascii="Tahoma" w:hAnsi="Tahoma" w:cs="Tahoma"/>
        </w:rPr>
        <w:t xml:space="preserve">a la conformación de </w:t>
      </w:r>
      <w:smartTag w:uri="urn:schemas-microsoft-com:office:smarttags" w:element="PersonName">
        <w:smartTagPr>
          <w:attr w:name="ProductID" w:val="la Segunda Sala"/>
        </w:smartTagPr>
        <w:r>
          <w:rPr>
            <w:rFonts w:ascii="Tahoma" w:hAnsi="Tahoma" w:cs="Tahoma"/>
          </w:rPr>
          <w:t>la Segunda</w:t>
        </w:r>
        <w:r w:rsidRPr="009D33C5">
          <w:rPr>
            <w:rFonts w:ascii="Tahoma" w:hAnsi="Tahoma" w:cs="Tahoma"/>
          </w:rPr>
          <w:t xml:space="preserve"> Sala</w:t>
        </w:r>
      </w:smartTag>
      <w:r w:rsidRPr="009D33C5">
        <w:rPr>
          <w:rFonts w:ascii="Tahoma" w:hAnsi="Tahoma" w:cs="Tahoma"/>
        </w:rPr>
        <w:t xml:space="preserve"> del Tribunal de Contrataciones y Adquisiciones del Estado según lo </w:t>
      </w:r>
      <w:r>
        <w:rPr>
          <w:rFonts w:ascii="Tahoma" w:hAnsi="Tahoma" w:cs="Tahoma"/>
        </w:rPr>
        <w:t xml:space="preserve">dispuesto en </w:t>
      </w:r>
      <w:smartTag w:uri="urn:schemas-microsoft-com:office:smarttags" w:element="PersonName">
        <w:smartTagPr>
          <w:attr w:name="ProductID" w:val="la Resoluci￳n"/>
        </w:smartTagPr>
        <w:r>
          <w:rPr>
            <w:rFonts w:ascii="Tahoma" w:hAnsi="Tahoma" w:cs="Tahoma"/>
          </w:rPr>
          <w:t>la Resolución</w:t>
        </w:r>
      </w:smartTag>
      <w:r>
        <w:rPr>
          <w:rFonts w:ascii="Tahoma" w:hAnsi="Tahoma" w:cs="Tahoma"/>
        </w:rPr>
        <w:t xml:space="preserve"> № 279</w:t>
      </w:r>
      <w:r w:rsidRPr="009D33C5">
        <w:rPr>
          <w:rFonts w:ascii="Tahoma" w:hAnsi="Tahoma" w:cs="Tahoma"/>
        </w:rPr>
        <w:t>-20</w:t>
      </w:r>
      <w:r>
        <w:rPr>
          <w:rFonts w:ascii="Tahoma" w:hAnsi="Tahoma" w:cs="Tahoma"/>
        </w:rPr>
        <w:t xml:space="preserve">07-CONSUCODE/PRE, </w:t>
      </w:r>
      <w:r>
        <w:rPr>
          <w:rFonts w:ascii="Tahoma" w:hAnsi="Tahoma" w:cs="Tahoma"/>
        </w:rPr>
        <w:lastRenderedPageBreak/>
        <w:t>expedida el 21 de may</w:t>
      </w:r>
      <w:r w:rsidRPr="009D33C5">
        <w:rPr>
          <w:rFonts w:ascii="Tahoma" w:hAnsi="Tahoma" w:cs="Tahoma"/>
        </w:rPr>
        <w:t xml:space="preserve">o de 2007 y de conformidad con las facultades conferidas en los artículos 53, 59 y 61 del Texto Único Ordenado de </w:t>
      </w:r>
      <w:smartTag w:uri="urn:schemas-microsoft-com:office:smarttags" w:element="PersonName">
        <w:smartTagPr>
          <w:attr w:name="ProductID" w:val="la Ley"/>
        </w:smartTagPr>
        <w:r w:rsidRPr="009D33C5">
          <w:rPr>
            <w:rFonts w:ascii="Tahoma" w:hAnsi="Tahoma" w:cs="Tahoma"/>
          </w:rPr>
          <w:t>la Ley</w:t>
        </w:r>
      </w:smartTag>
      <w:r w:rsidRPr="009D33C5">
        <w:rPr>
          <w:rFonts w:ascii="Tahoma" w:hAnsi="Tahoma" w:cs="Tahoma"/>
        </w:rPr>
        <w:t xml:space="preserve"> de Contrataciones y Adquisiciones del Estado, aprobado por Decreto Supremo № 083-2004-PCM, el artículo 171 de su Reglamento, aprobado por Decreto Supremo № 084-2004-PCM, y los artículos 74 y 75 del Reglamento de Organización y Funciones del CONSUCODE, aprobado por Decreto Supremo № 040-2006-EF; analizados los antecedentes y luego de agotado el correspondiente debate, por unanimidad;</w:t>
      </w:r>
    </w:p>
    <w:p w:rsidR="00F932A2" w:rsidRPr="009D33C5" w:rsidRDefault="00F932A2" w:rsidP="00F932A2">
      <w:pPr>
        <w:jc w:val="both"/>
        <w:rPr>
          <w:rFonts w:ascii="Tahoma" w:hAnsi="Tahoma" w:cs="Tahoma"/>
        </w:rPr>
      </w:pPr>
    </w:p>
    <w:p w:rsidR="00F932A2" w:rsidRPr="009D33C5" w:rsidRDefault="00F932A2" w:rsidP="00F932A2">
      <w:pPr>
        <w:rPr>
          <w:rFonts w:ascii="Tahoma" w:hAnsi="Tahoma" w:cs="Tahoma"/>
          <w:b/>
        </w:rPr>
      </w:pPr>
      <w:smartTag w:uri="urn:schemas-microsoft-com:office:smarttags" w:element="PersonName">
        <w:smartTagPr>
          <w:attr w:name="ProductID" w:val="LA SALA RESUELVE"/>
        </w:smartTagPr>
        <w:r w:rsidRPr="009D33C5">
          <w:rPr>
            <w:rFonts w:ascii="Tahoma" w:hAnsi="Tahoma" w:cs="Tahoma"/>
            <w:b/>
          </w:rPr>
          <w:t>LA SALA RESUELVE</w:t>
        </w:r>
      </w:smartTag>
      <w:r w:rsidRPr="009D33C5">
        <w:rPr>
          <w:rFonts w:ascii="Tahoma" w:hAnsi="Tahoma" w:cs="Tahoma"/>
          <w:b/>
        </w:rPr>
        <w:t>:</w:t>
      </w:r>
    </w:p>
    <w:p w:rsidR="00F932A2" w:rsidRPr="009D33C5" w:rsidRDefault="00F932A2" w:rsidP="00F932A2">
      <w:pPr>
        <w:rPr>
          <w:rFonts w:ascii="Tahoma" w:hAnsi="Tahoma" w:cs="Tahoma"/>
        </w:rPr>
      </w:pPr>
    </w:p>
    <w:p w:rsidR="00F932A2" w:rsidRPr="002D3E30" w:rsidRDefault="00F932A2" w:rsidP="00F932A2">
      <w:pPr>
        <w:numPr>
          <w:ilvl w:val="0"/>
          <w:numId w:val="3"/>
        </w:numPr>
        <w:jc w:val="both"/>
        <w:rPr>
          <w:rFonts w:ascii="Tahoma" w:hAnsi="Tahoma" w:cs="Tahoma"/>
        </w:rPr>
      </w:pPr>
      <w:r w:rsidRPr="002D3E30">
        <w:rPr>
          <w:rFonts w:ascii="Tahoma" w:hAnsi="Tahoma" w:cs="Tahoma"/>
        </w:rPr>
        <w:t xml:space="preserve">Declarar fundado el recurso de apelación interpuesto por el postor MONT GROUP S.A.C. y, por su efecto, descalificar la propuesta técnica del postor LKG CLINIMARK S.R.L. y otorgar la buena pro del ítem 5 de </w:t>
      </w:r>
      <w:smartTag w:uri="urn:schemas-microsoft-com:office:smarttags" w:element="PersonName">
        <w:smartTagPr>
          <w:attr w:name="ProductID" w:val="la Adjudicaci￳n Directa"/>
        </w:smartTagPr>
        <w:r w:rsidRPr="002D3E30">
          <w:rPr>
            <w:rFonts w:ascii="Tahoma" w:hAnsi="Tahoma" w:cs="Tahoma"/>
          </w:rPr>
          <w:t>la Adjudicación Directa</w:t>
        </w:r>
      </w:smartTag>
      <w:r w:rsidRPr="002D3E30">
        <w:rPr>
          <w:rFonts w:ascii="Tahoma" w:hAnsi="Tahoma" w:cs="Tahoma"/>
        </w:rPr>
        <w:t xml:space="preserve"> Selectiva № 0016-2007-SESAN/FAP a favor del postor MONT GROUP S.A.C., por los fundamentos expuestos en la parte considerativa de la presente Resolución.</w:t>
      </w:r>
    </w:p>
    <w:p w:rsidR="00F932A2" w:rsidRPr="002D3E30" w:rsidRDefault="00F932A2" w:rsidP="00F932A2">
      <w:pPr>
        <w:jc w:val="both"/>
        <w:rPr>
          <w:rFonts w:ascii="Tahoma" w:hAnsi="Tahoma" w:cs="Tahoma"/>
        </w:rPr>
      </w:pPr>
    </w:p>
    <w:p w:rsidR="00F932A2" w:rsidRPr="002D3E30" w:rsidRDefault="00F932A2" w:rsidP="00F932A2">
      <w:pPr>
        <w:numPr>
          <w:ilvl w:val="0"/>
          <w:numId w:val="3"/>
        </w:numPr>
        <w:jc w:val="both"/>
        <w:rPr>
          <w:rFonts w:ascii="Tahoma" w:hAnsi="Tahoma" w:cs="Tahoma"/>
        </w:rPr>
      </w:pPr>
      <w:r w:rsidRPr="002D3E30">
        <w:rPr>
          <w:rFonts w:ascii="Tahoma" w:hAnsi="Tahoma" w:cs="Tahoma"/>
        </w:rPr>
        <w:t>Devolver al postor MONT GROUP S.A.C. la garantía otorgada para la interposición del recurso de apelación.</w:t>
      </w:r>
    </w:p>
    <w:p w:rsidR="00F932A2" w:rsidRPr="002D3E30" w:rsidRDefault="00F932A2" w:rsidP="00F932A2">
      <w:pPr>
        <w:pStyle w:val="Textoindependiente"/>
        <w:rPr>
          <w:rFonts w:cs="Tahoma"/>
          <w:sz w:val="20"/>
        </w:rPr>
      </w:pPr>
    </w:p>
    <w:p w:rsidR="00F932A2" w:rsidRPr="00DD5242" w:rsidRDefault="00F932A2" w:rsidP="00F932A2">
      <w:pPr>
        <w:pStyle w:val="Textoindependiente"/>
        <w:numPr>
          <w:ilvl w:val="0"/>
          <w:numId w:val="3"/>
        </w:numPr>
        <w:rPr>
          <w:rFonts w:cs="Tahoma"/>
          <w:sz w:val="20"/>
        </w:rPr>
      </w:pPr>
      <w:r w:rsidRPr="00DD5242">
        <w:rPr>
          <w:rFonts w:cs="Tahoma"/>
          <w:sz w:val="20"/>
        </w:rPr>
        <w:t xml:space="preserve">Disponer la devolución de los antecedentes administrativos a </w:t>
      </w:r>
      <w:smartTag w:uri="urn:schemas-microsoft-com:office:smarttags" w:element="PersonName">
        <w:smartTagPr>
          <w:attr w:name="ProductID" w:val="la Entidad"/>
        </w:smartTagPr>
        <w:r w:rsidRPr="00DD5242">
          <w:rPr>
            <w:rFonts w:cs="Tahoma"/>
            <w:sz w:val="20"/>
          </w:rPr>
          <w:t>La Entidad</w:t>
        </w:r>
      </w:smartTag>
      <w:r w:rsidRPr="00DD5242">
        <w:rPr>
          <w:rFonts w:cs="Tahoma"/>
          <w:sz w:val="20"/>
        </w:rPr>
        <w:t xml:space="preserve">, la cual deberá recabarlos en la mesa de partes del Tribunal dentro del plazo de 30 días calendario de notificada la presente resolución; debiendo autorizar por escrito a la persona que realizará  dicha diligencia. En caso contrario, los antecedentes administrativos serán enviados al Archivo Central de CONSUCODE para su custodia por un plazo de seis (6) meses, luego del cual serán remitidos al Archivo General de </w:t>
      </w:r>
      <w:smartTag w:uri="urn:schemas-microsoft-com:office:smarttags" w:element="PersonName">
        <w:smartTagPr>
          <w:attr w:name="ProductID" w:val="la Naci￳n"/>
        </w:smartTagPr>
        <w:r w:rsidRPr="00DD5242">
          <w:rPr>
            <w:rFonts w:cs="Tahoma"/>
            <w:sz w:val="20"/>
          </w:rPr>
          <w:t>la Nación</w:t>
        </w:r>
      </w:smartTag>
      <w:r w:rsidRPr="00DD5242">
        <w:rPr>
          <w:rFonts w:cs="Tahoma"/>
          <w:sz w:val="20"/>
        </w:rPr>
        <w:t>, bajo responsabilidad.</w:t>
      </w:r>
    </w:p>
    <w:p w:rsidR="00F932A2" w:rsidRPr="002D3E30" w:rsidRDefault="00F932A2" w:rsidP="00F932A2">
      <w:pPr>
        <w:pStyle w:val="Textoindependiente"/>
        <w:rPr>
          <w:rFonts w:cs="Tahoma"/>
          <w:sz w:val="20"/>
        </w:rPr>
      </w:pPr>
    </w:p>
    <w:p w:rsidR="00F932A2" w:rsidRPr="002D3E30" w:rsidRDefault="00F932A2" w:rsidP="00F932A2">
      <w:pPr>
        <w:pStyle w:val="Textoindependiente"/>
        <w:numPr>
          <w:ilvl w:val="0"/>
          <w:numId w:val="3"/>
        </w:numPr>
        <w:rPr>
          <w:rFonts w:cs="Tahoma"/>
          <w:sz w:val="20"/>
        </w:rPr>
      </w:pPr>
      <w:r w:rsidRPr="002D3E30">
        <w:rPr>
          <w:rFonts w:cs="Tahoma"/>
          <w:sz w:val="20"/>
        </w:rPr>
        <w:t>Dar por agotada la vía administrativa.</w:t>
      </w:r>
    </w:p>
    <w:p w:rsidR="00F932A2" w:rsidRPr="002D3E30" w:rsidRDefault="00F932A2" w:rsidP="00F932A2">
      <w:pPr>
        <w:pStyle w:val="Textoindependiente"/>
        <w:tabs>
          <w:tab w:val="left" w:pos="0"/>
          <w:tab w:val="left" w:pos="360"/>
        </w:tabs>
        <w:rPr>
          <w:rFonts w:cs="Tahoma"/>
          <w:sz w:val="20"/>
        </w:rPr>
      </w:pPr>
    </w:p>
    <w:p w:rsidR="00F932A2" w:rsidRPr="009D33C5" w:rsidRDefault="00F932A2" w:rsidP="00F932A2">
      <w:pPr>
        <w:pStyle w:val="BodyText2"/>
        <w:rPr>
          <w:rFonts w:cs="Tahoma"/>
          <w:sz w:val="20"/>
        </w:rPr>
      </w:pPr>
      <w:r w:rsidRPr="009D33C5">
        <w:rPr>
          <w:rFonts w:cs="Tahoma"/>
          <w:sz w:val="20"/>
        </w:rPr>
        <w:t>Regístrese, comuníquese y publíquese.</w:t>
      </w:r>
    </w:p>
    <w:p w:rsidR="00F932A2" w:rsidRPr="009D33C5" w:rsidRDefault="00F932A2" w:rsidP="00F932A2">
      <w:pPr>
        <w:jc w:val="center"/>
        <w:rPr>
          <w:rFonts w:ascii="Tahoma" w:hAnsi="Tahoma" w:cs="Tahoma"/>
          <w:b/>
        </w:rPr>
      </w:pPr>
    </w:p>
    <w:p w:rsidR="00F932A2" w:rsidRPr="009D33C5" w:rsidRDefault="00F932A2" w:rsidP="00F932A2">
      <w:pPr>
        <w:jc w:val="center"/>
        <w:rPr>
          <w:rFonts w:ascii="Tahoma" w:hAnsi="Tahoma" w:cs="Tahoma"/>
          <w:b/>
        </w:rPr>
      </w:pPr>
    </w:p>
    <w:p w:rsidR="00F932A2" w:rsidRDefault="00F932A2" w:rsidP="00F932A2">
      <w:pPr>
        <w:jc w:val="center"/>
        <w:rPr>
          <w:rFonts w:ascii="Tahoma" w:hAnsi="Tahoma" w:cs="Tahoma"/>
          <w:b/>
        </w:rPr>
      </w:pPr>
    </w:p>
    <w:p w:rsidR="00F932A2" w:rsidRDefault="00F932A2" w:rsidP="00F932A2">
      <w:pPr>
        <w:jc w:val="center"/>
        <w:rPr>
          <w:rFonts w:ascii="Tahoma" w:hAnsi="Tahoma" w:cs="Tahoma"/>
          <w:b/>
        </w:rPr>
      </w:pPr>
    </w:p>
    <w:p w:rsidR="00F932A2" w:rsidRDefault="00F932A2" w:rsidP="00F932A2">
      <w:pPr>
        <w:jc w:val="center"/>
        <w:rPr>
          <w:rFonts w:ascii="Tahoma" w:hAnsi="Tahoma" w:cs="Tahoma"/>
          <w:b/>
        </w:rPr>
      </w:pPr>
    </w:p>
    <w:p w:rsidR="00F932A2" w:rsidRPr="009D33C5" w:rsidRDefault="00F932A2" w:rsidP="00F932A2">
      <w:pPr>
        <w:jc w:val="center"/>
        <w:rPr>
          <w:rFonts w:ascii="Tahoma" w:hAnsi="Tahoma" w:cs="Tahoma"/>
          <w:b/>
        </w:rPr>
      </w:pPr>
    </w:p>
    <w:p w:rsidR="00F932A2" w:rsidRPr="009D33C5" w:rsidRDefault="00F932A2" w:rsidP="00F932A2">
      <w:pPr>
        <w:jc w:val="center"/>
        <w:rPr>
          <w:rFonts w:ascii="Tahoma" w:hAnsi="Tahoma" w:cs="Tahoma"/>
          <w:b/>
          <w:lang w:val="pt-BR"/>
        </w:rPr>
      </w:pPr>
      <w:r w:rsidRPr="009D33C5">
        <w:rPr>
          <w:rFonts w:ascii="Tahoma" w:hAnsi="Tahoma" w:cs="Tahoma"/>
          <w:b/>
          <w:lang w:val="pt-BR"/>
        </w:rPr>
        <w:t>PRESIDENTE</w:t>
      </w:r>
    </w:p>
    <w:p w:rsidR="00F932A2" w:rsidRPr="009D33C5" w:rsidRDefault="00F932A2" w:rsidP="00F932A2">
      <w:pPr>
        <w:jc w:val="center"/>
        <w:rPr>
          <w:rFonts w:ascii="Tahoma" w:hAnsi="Tahoma" w:cs="Tahoma"/>
          <w:b/>
          <w:lang w:val="pt-BR"/>
        </w:rPr>
      </w:pPr>
    </w:p>
    <w:p w:rsidR="00F932A2" w:rsidRDefault="00F932A2" w:rsidP="00F932A2">
      <w:pPr>
        <w:jc w:val="center"/>
        <w:rPr>
          <w:rFonts w:ascii="Tahoma" w:hAnsi="Tahoma" w:cs="Tahoma"/>
          <w:b/>
          <w:lang w:val="pt-BR"/>
        </w:rPr>
      </w:pPr>
    </w:p>
    <w:p w:rsidR="00F932A2" w:rsidRDefault="00F932A2" w:rsidP="00F932A2">
      <w:pPr>
        <w:jc w:val="center"/>
        <w:rPr>
          <w:rFonts w:ascii="Tahoma" w:hAnsi="Tahoma" w:cs="Tahoma"/>
          <w:b/>
          <w:lang w:val="pt-BR"/>
        </w:rPr>
      </w:pPr>
    </w:p>
    <w:p w:rsidR="00F932A2" w:rsidRPr="009D33C5" w:rsidRDefault="00F932A2" w:rsidP="00F932A2">
      <w:pPr>
        <w:jc w:val="center"/>
        <w:rPr>
          <w:rFonts w:ascii="Tahoma" w:hAnsi="Tahoma" w:cs="Tahoma"/>
          <w:lang w:val="pt-BR"/>
        </w:rPr>
      </w:pPr>
      <w:r w:rsidRPr="009D33C5">
        <w:rPr>
          <w:rFonts w:ascii="Tahoma" w:hAnsi="Tahoma" w:cs="Tahoma"/>
          <w:b/>
          <w:lang w:val="pt-BR"/>
        </w:rPr>
        <w:t xml:space="preserve">VOCAL                                                                                   </w:t>
      </w:r>
      <w:proofErr w:type="spellStart"/>
      <w:r w:rsidRPr="009D33C5">
        <w:rPr>
          <w:rFonts w:ascii="Tahoma" w:hAnsi="Tahoma" w:cs="Tahoma"/>
          <w:b/>
          <w:lang w:val="pt-BR"/>
        </w:rPr>
        <w:t>VOCAL</w:t>
      </w:r>
      <w:proofErr w:type="spellEnd"/>
    </w:p>
    <w:p w:rsidR="00F932A2" w:rsidRDefault="00F932A2" w:rsidP="00F932A2">
      <w:pPr>
        <w:jc w:val="both"/>
        <w:rPr>
          <w:rFonts w:ascii="Tahoma" w:hAnsi="Tahoma" w:cs="Tahoma"/>
          <w:lang w:val="it-IT"/>
        </w:rPr>
      </w:pPr>
    </w:p>
    <w:p w:rsidR="00F932A2" w:rsidRPr="009D33C5" w:rsidRDefault="00F932A2" w:rsidP="00F932A2">
      <w:pPr>
        <w:jc w:val="both"/>
        <w:rPr>
          <w:rFonts w:ascii="Tahoma" w:hAnsi="Tahoma" w:cs="Tahoma"/>
          <w:lang w:val="it-IT"/>
        </w:rPr>
      </w:pPr>
    </w:p>
    <w:p w:rsidR="00F932A2" w:rsidRPr="008C4CDF" w:rsidRDefault="00F932A2" w:rsidP="00F932A2">
      <w:pPr>
        <w:jc w:val="both"/>
        <w:rPr>
          <w:rFonts w:ascii="Tahoma" w:hAnsi="Tahoma" w:cs="Tahoma"/>
          <w:sz w:val="18"/>
          <w:szCs w:val="18"/>
          <w:lang w:val="pt-BR"/>
        </w:rPr>
      </w:pPr>
      <w:proofErr w:type="gramStart"/>
      <w:r w:rsidRPr="008C4CDF">
        <w:rPr>
          <w:rFonts w:ascii="Tahoma" w:hAnsi="Tahoma" w:cs="Tahoma"/>
          <w:sz w:val="18"/>
          <w:szCs w:val="18"/>
          <w:lang w:val="pt-BR"/>
        </w:rPr>
        <w:t>ss.</w:t>
      </w:r>
      <w:proofErr w:type="gramEnd"/>
    </w:p>
    <w:p w:rsidR="00F932A2" w:rsidRDefault="00F932A2" w:rsidP="00F932A2">
      <w:pPr>
        <w:rPr>
          <w:rFonts w:ascii="Tahoma" w:hAnsi="Tahoma" w:cs="Tahoma"/>
          <w:sz w:val="18"/>
          <w:szCs w:val="18"/>
        </w:rPr>
      </w:pPr>
      <w:r>
        <w:rPr>
          <w:rFonts w:ascii="Tahoma" w:hAnsi="Tahoma" w:cs="Tahoma"/>
          <w:sz w:val="18"/>
          <w:szCs w:val="18"/>
        </w:rPr>
        <w:t>Salazar Romero</w:t>
      </w:r>
    </w:p>
    <w:p w:rsidR="00F932A2" w:rsidRPr="008C4CDF" w:rsidRDefault="00F932A2" w:rsidP="00F932A2">
      <w:pPr>
        <w:rPr>
          <w:rFonts w:ascii="Tahoma" w:hAnsi="Tahoma" w:cs="Tahoma"/>
          <w:sz w:val="18"/>
          <w:szCs w:val="18"/>
        </w:rPr>
      </w:pPr>
      <w:r>
        <w:rPr>
          <w:rFonts w:ascii="Tahoma" w:hAnsi="Tahoma" w:cs="Tahoma"/>
          <w:sz w:val="18"/>
          <w:szCs w:val="18"/>
        </w:rPr>
        <w:t xml:space="preserve">Zumaeta </w:t>
      </w:r>
      <w:proofErr w:type="spellStart"/>
      <w:r>
        <w:rPr>
          <w:rFonts w:ascii="Tahoma" w:hAnsi="Tahoma" w:cs="Tahoma"/>
          <w:sz w:val="18"/>
          <w:szCs w:val="18"/>
        </w:rPr>
        <w:t>Guidichi</w:t>
      </w:r>
      <w:proofErr w:type="spellEnd"/>
    </w:p>
    <w:p w:rsidR="00F932A2" w:rsidRDefault="00F932A2" w:rsidP="00F932A2">
      <w:r>
        <w:rPr>
          <w:rFonts w:ascii="Tahoma" w:hAnsi="Tahoma" w:cs="Tahoma"/>
          <w:sz w:val="18"/>
          <w:szCs w:val="18"/>
        </w:rPr>
        <w:t>Yaya Luyo</w:t>
      </w:r>
    </w:p>
    <w:p w:rsidR="00F932A2" w:rsidRDefault="00F932A2" w:rsidP="00F932A2"/>
    <w:p w:rsidR="00F932A2" w:rsidRDefault="00F932A2" w:rsidP="00F932A2"/>
    <w:p w:rsidR="00B23AC2" w:rsidRDefault="00B23AC2"/>
    <w:sectPr w:rsidR="00B23AC2" w:rsidSect="00174D69">
      <w:footerReference w:type="even" r:id="rId5"/>
      <w:footerReference w:type="default" r:id="rId6"/>
      <w:pgSz w:w="11906" w:h="16838"/>
      <w:pgMar w:top="3235"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94" w:rsidRDefault="00702E0D" w:rsidP="00174D69">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136994" w:rsidRDefault="00702E0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94" w:rsidRDefault="00702E0D" w:rsidP="00174D69">
    <w:pPr>
      <w:pStyle w:val="Piedepgina"/>
      <w:jc w:val="center"/>
    </w:pPr>
    <w:r>
      <w:t xml:space="preserve">Página </w:t>
    </w:r>
    <w:r>
      <w:fldChar w:fldCharType="begin"/>
    </w:r>
    <w:r>
      <w:instrText xml:space="preserve"> PAGE </w:instrText>
    </w:r>
    <w:r>
      <w:fldChar w:fldCharType="separate"/>
    </w:r>
    <w:r>
      <w:rPr>
        <w:noProof/>
      </w:rPr>
      <w:t>1</w:t>
    </w:r>
    <w:r>
      <w:fldChar w:fldCharType="end"/>
    </w:r>
    <w:r>
      <w:t xml:space="preserve"> de </w:t>
    </w:r>
    <w:r>
      <w:fldChar w:fldCharType="begin"/>
    </w:r>
    <w:r>
      <w:instrText xml:space="preserve"> NUMPAGES </w:instrText>
    </w:r>
    <w:r>
      <w:fldChar w:fldCharType="separate"/>
    </w:r>
    <w:r>
      <w:rPr>
        <w:noProof/>
      </w:rPr>
      <w:t>7</w:t>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776D"/>
    <w:multiLevelType w:val="hybridMultilevel"/>
    <w:tmpl w:val="37FC4958"/>
    <w:lvl w:ilvl="0" w:tplc="2A1CD4CE">
      <w:start w:val="1"/>
      <w:numFmt w:val="decimal"/>
      <w:lvlText w:val="%1."/>
      <w:lvlJc w:val="left"/>
      <w:pPr>
        <w:tabs>
          <w:tab w:val="num" w:pos="567"/>
        </w:tabs>
        <w:ind w:left="567" w:hanging="567"/>
      </w:pPr>
      <w:rPr>
        <w:rFonts w:ascii="Tahoma" w:hAnsi="Tahoma" w:cs="Tahoma" w:hint="default"/>
        <w:b/>
        <w:i w:val="0"/>
        <w:shadow w:val="0"/>
        <w:sz w:val="20"/>
        <w:szCs w:val="20"/>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285A5154"/>
    <w:multiLevelType w:val="hybridMultilevel"/>
    <w:tmpl w:val="93AA6FBC"/>
    <w:lvl w:ilvl="0" w:tplc="EB54B9AE">
      <w:start w:val="1"/>
      <w:numFmt w:val="decimal"/>
      <w:lvlText w:val="%1."/>
      <w:lvlJc w:val="left"/>
      <w:pPr>
        <w:tabs>
          <w:tab w:val="num" w:pos="720"/>
        </w:tabs>
        <w:ind w:left="720" w:hanging="360"/>
      </w:pPr>
      <w:rPr>
        <w:rFonts w:ascii="Tahoma" w:eastAsia="Times New Roman" w:hAnsi="Tahoma" w:cs="Tahoma" w:hint="default"/>
        <w:b/>
        <w:sz w:val="20"/>
        <w:szCs w:val="20"/>
      </w:rPr>
    </w:lvl>
    <w:lvl w:ilvl="1" w:tplc="A0B845A2">
      <w:start w:val="1"/>
      <w:numFmt w:val="lowerLetter"/>
      <w:lvlText w:val="%2."/>
      <w:lvlJc w:val="left"/>
      <w:pPr>
        <w:tabs>
          <w:tab w:val="num" w:pos="1440"/>
        </w:tabs>
        <w:ind w:left="1440" w:hanging="360"/>
      </w:pPr>
      <w:rPr>
        <w:rFonts w:hint="default"/>
        <w:b w:val="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7EC759A6"/>
    <w:multiLevelType w:val="hybridMultilevel"/>
    <w:tmpl w:val="E7822C06"/>
    <w:lvl w:ilvl="0" w:tplc="59C079CC">
      <w:start w:val="1"/>
      <w:numFmt w:val="decimal"/>
      <w:lvlText w:val="%1."/>
      <w:lvlJc w:val="left"/>
      <w:pPr>
        <w:tabs>
          <w:tab w:val="num" w:pos="360"/>
        </w:tabs>
        <w:ind w:left="360" w:hanging="360"/>
      </w:pPr>
      <w:rPr>
        <w:rFonts w:hint="default"/>
        <w:b/>
        <w:sz w:val="20"/>
        <w:szCs w:val="20"/>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32A2"/>
    <w:rsid w:val="00702E0D"/>
    <w:rsid w:val="00B23AC2"/>
    <w:rsid w:val="00F932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2A2"/>
    <w:pPr>
      <w:spacing w:after="0" w:line="240" w:lineRule="auto"/>
    </w:pPr>
    <w:rPr>
      <w:rFonts w:ascii="Times New Roman" w:eastAsia="Times New Roman" w:hAnsi="Times New Roman" w:cs="Times New Roman"/>
      <w:sz w:val="20"/>
      <w:szCs w:val="20"/>
      <w:lang w:val="es-P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932A2"/>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F932A2"/>
    <w:rPr>
      <w:rFonts w:ascii="Tahoma" w:eastAsia="Times New Roman" w:hAnsi="Tahoma" w:cs="Times New Roman"/>
      <w:szCs w:val="20"/>
      <w:lang w:val="es-ES_tradnl" w:eastAsia="es-ES"/>
    </w:rPr>
  </w:style>
  <w:style w:type="paragraph" w:customStyle="1" w:styleId="BodyText2">
    <w:name w:val="Body Text 2"/>
    <w:basedOn w:val="Normal"/>
    <w:rsid w:val="00F932A2"/>
    <w:pPr>
      <w:jc w:val="both"/>
    </w:pPr>
    <w:rPr>
      <w:rFonts w:ascii="Tahoma" w:hAnsi="Tahoma"/>
      <w:sz w:val="22"/>
      <w:lang w:val="es-ES"/>
    </w:rPr>
  </w:style>
  <w:style w:type="paragraph" w:styleId="Textoindependiente3">
    <w:name w:val="Body Text 3"/>
    <w:basedOn w:val="Normal"/>
    <w:link w:val="Textoindependiente3Car"/>
    <w:rsid w:val="00F932A2"/>
    <w:pPr>
      <w:spacing w:after="120"/>
    </w:pPr>
    <w:rPr>
      <w:sz w:val="16"/>
      <w:szCs w:val="16"/>
    </w:rPr>
  </w:style>
  <w:style w:type="character" w:customStyle="1" w:styleId="Textoindependiente3Car">
    <w:name w:val="Texto independiente 3 Car"/>
    <w:basedOn w:val="Fuentedeprrafopredeter"/>
    <w:link w:val="Textoindependiente3"/>
    <w:rsid w:val="00F932A2"/>
    <w:rPr>
      <w:rFonts w:ascii="Times New Roman" w:eastAsia="Times New Roman" w:hAnsi="Times New Roman" w:cs="Times New Roman"/>
      <w:sz w:val="16"/>
      <w:szCs w:val="16"/>
      <w:lang w:val="es-PE" w:eastAsia="es-ES"/>
    </w:rPr>
  </w:style>
  <w:style w:type="paragraph" w:customStyle="1" w:styleId="CarCar1Car">
    <w:name w:val=" Car Car1 Car"/>
    <w:basedOn w:val="Normal"/>
    <w:rsid w:val="00F932A2"/>
    <w:pPr>
      <w:spacing w:after="160" w:line="240" w:lineRule="exact"/>
    </w:pPr>
    <w:rPr>
      <w:rFonts w:ascii="Verdana" w:hAnsi="Verdana"/>
      <w:lang w:val="en-US" w:eastAsia="en-US"/>
    </w:rPr>
  </w:style>
  <w:style w:type="paragraph" w:styleId="Piedepgina">
    <w:name w:val="footer"/>
    <w:basedOn w:val="Normal"/>
    <w:link w:val="PiedepginaCar"/>
    <w:rsid w:val="00F932A2"/>
    <w:pPr>
      <w:tabs>
        <w:tab w:val="center" w:pos="4252"/>
        <w:tab w:val="right" w:pos="8504"/>
      </w:tabs>
    </w:pPr>
  </w:style>
  <w:style w:type="character" w:customStyle="1" w:styleId="PiedepginaCar">
    <w:name w:val="Pie de página Car"/>
    <w:basedOn w:val="Fuentedeprrafopredeter"/>
    <w:link w:val="Piedepgina"/>
    <w:rsid w:val="00F932A2"/>
    <w:rPr>
      <w:rFonts w:ascii="Times New Roman" w:eastAsia="Times New Roman" w:hAnsi="Times New Roman" w:cs="Times New Roman"/>
      <w:sz w:val="20"/>
      <w:szCs w:val="20"/>
      <w:lang w:val="es-PE" w:eastAsia="es-ES"/>
    </w:rPr>
  </w:style>
  <w:style w:type="character" w:styleId="Nmerodepgina">
    <w:name w:val="page number"/>
    <w:basedOn w:val="Fuentedeprrafopredeter"/>
    <w:rsid w:val="00F932A2"/>
  </w:style>
  <w:style w:type="table" w:styleId="Tablaconcuadrcula">
    <w:name w:val="Table Grid"/>
    <w:basedOn w:val="Tablanormal"/>
    <w:rsid w:val="00F932A2"/>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2907</Words>
  <Characters>15993</Characters>
  <Application>Microsoft Office Word</Application>
  <DocSecurity>0</DocSecurity>
  <Lines>133</Lines>
  <Paragraphs>37</Paragraphs>
  <ScaleCrop>false</ScaleCrop>
  <Company/>
  <LinksUpToDate>false</LinksUpToDate>
  <CharactersWithSpaces>18863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1529-2007-TC-S2</dc:title>
  <dc:subject>RECURSO DE APELACIÓN INTERPUESTO POR LA EMPRESA MONT GROUP</dc:subject>
  <dc:creator>TRIBUNAL</dc:creator>
  <cp:keywords>BASES, RTM</cp:keywords>
  <dc:description/>
  <cp:lastModifiedBy>cpuerta</cp:lastModifiedBy>
  <cp:revision>2</cp:revision>
  <dcterms:created xsi:type="dcterms:W3CDTF">2007-12-13T21:38:00Z</dcterms:created>
  <dcterms:modified xsi:type="dcterms:W3CDTF">2007-12-13T21:40:00Z</dcterms:modified>
  <cp:category>RESOLUCION-TRIBUNAL</cp:category>
</cp:coreProperties>
</file>